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4.xml" ContentType="application/vnd.openxmlformats-officedocument.wordprocessingml.header+xml"/>
  <Override PartName="/word/footer24.xml" ContentType="application/vnd.openxmlformats-officedocument.wordprocessingml.footer+xml"/>
  <Override PartName="/word/header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6.xml" ContentType="application/vnd.openxmlformats-officedocument.wordprocessingml.header+xml"/>
  <Override PartName="/word/footer31.xml" ContentType="application/vnd.openxmlformats-officedocument.wordprocessingml.footer+xml"/>
  <Override PartName="/word/header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8.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10.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header11.xml" ContentType="application/vnd.openxmlformats-officedocument.wordprocessingml.header+xml"/>
  <Override PartName="/word/footer49.xml" ContentType="application/vnd.openxmlformats-officedocument.wordprocessingml.footer+xml"/>
  <Override PartName="/word/header12.xml" ContentType="application/vnd.openxmlformats-officedocument.wordprocessingml.header+xml"/>
  <Override PartName="/word/footer50.xml" ContentType="application/vnd.openxmlformats-officedocument.wordprocessingml.footer+xml"/>
  <Override PartName="/word/footer5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806" w:val="left" w:leader="none"/>
          <w:tab w:pos="8856" w:val="left" w:leader="none"/>
        </w:tabs>
        <w:spacing w:before="23"/>
        <w:ind w:left="1603" w:right="0" w:firstLine="0"/>
        <w:jc w:val="left"/>
        <w:rPr>
          <w:rFonts w:ascii="宋体" w:hAnsi="宋体" w:cs="宋体" w:eastAsia="宋体" w:hint="default"/>
          <w:sz w:val="21"/>
          <w:szCs w:val="21"/>
        </w:rPr>
      </w:pPr>
      <w:r>
        <w:rPr>
          <w:rFonts w:ascii="宋体" w:hAnsi="宋体" w:cs="宋体" w:eastAsia="宋体" w:hint="default"/>
          <w:spacing w:val="-2"/>
          <w:sz w:val="21"/>
          <w:szCs w:val="21"/>
        </w:rPr>
        <w:t>北京超图软件股份有限公司</w:t>
        <w:tab/>
      </w:r>
      <w:r>
        <w:rPr>
          <w:rFonts w:ascii="Calibri" w:hAnsi="Calibri" w:cs="Calibri" w:eastAsia="Calibri" w:hint="default"/>
          <w:spacing w:val="-1"/>
          <w:sz w:val="21"/>
          <w:szCs w:val="21"/>
        </w:rPr>
        <w:t>300036</w:t>
        <w:tab/>
      </w:r>
      <w:r>
        <w:rPr>
          <w:rFonts w:ascii="Calibri" w:hAnsi="Calibri" w:cs="Calibri" w:eastAsia="Calibri" w:hint="default"/>
          <w:sz w:val="21"/>
          <w:szCs w:val="21"/>
        </w:rPr>
        <w:t>2011</w:t>
      </w:r>
      <w:r>
        <w:rPr>
          <w:rFonts w:ascii="Calibri" w:hAnsi="Calibri" w:cs="Calibri" w:eastAsia="Calibri" w:hint="default"/>
          <w:spacing w:val="14"/>
          <w:sz w:val="21"/>
          <w:szCs w:val="21"/>
        </w:rPr>
        <w:t> </w:t>
      </w:r>
      <w:r>
        <w:rPr>
          <w:rFonts w:ascii="宋体" w:hAnsi="宋体" w:cs="宋体" w:eastAsia="宋体" w:hint="default"/>
          <w:spacing w:val="-1"/>
          <w:sz w:val="21"/>
          <w:szCs w:val="21"/>
        </w:rPr>
        <w:t>年度报告</w:t>
      </w: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577.8pt;height:.75pt;mso-position-horizontal-relative:char;mso-position-vertical-relative:line" coordorigin="0,0" coordsize="11556,15">
            <v:group style="position:absolute;left:7;top:7;width:11542;height:2" coordorigin="7,7" coordsize="11542,2">
              <v:shape style="position:absolute;left:7;top:7;width:11542;height:2" coordorigin="7,7" coordsize="11542,0" path="m7,7l1154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621" w:lineRule="exact" w:before="0"/>
        <w:ind w:left="2770" w:right="0" w:firstLine="0"/>
        <w:jc w:val="left"/>
        <w:rPr>
          <w:rFonts w:ascii="黑体" w:hAnsi="黑体" w:cs="黑体" w:eastAsia="黑体" w:hint="default"/>
          <w:sz w:val="52"/>
          <w:szCs w:val="52"/>
        </w:rPr>
      </w:pPr>
      <w:r>
        <w:rPr>
          <w:rFonts w:ascii="黑体" w:hAnsi="黑体" w:cs="黑体" w:eastAsia="黑体" w:hint="default"/>
          <w:sz w:val="52"/>
          <w:szCs w:val="52"/>
        </w:rPr>
        <w:t>北京超图软件股份有限公司</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2"/>
          <w:szCs w:val="12"/>
        </w:rPr>
      </w:pPr>
    </w:p>
    <w:p>
      <w:pPr>
        <w:spacing w:line="1117" w:lineRule="exact"/>
        <w:ind w:left="3890" w:right="0" w:firstLine="0"/>
        <w:rPr>
          <w:rFonts w:ascii="黑体" w:hAnsi="黑体" w:cs="黑体" w:eastAsia="黑体" w:hint="default"/>
          <w:sz w:val="20"/>
          <w:szCs w:val="20"/>
        </w:rPr>
      </w:pPr>
      <w:r>
        <w:rPr>
          <w:rFonts w:ascii="黑体" w:hAnsi="黑体" w:cs="黑体" w:eastAsia="黑体" w:hint="default"/>
          <w:position w:val="-21"/>
          <w:sz w:val="20"/>
          <w:szCs w:val="20"/>
        </w:rPr>
        <w:drawing>
          <wp:inline distT="0" distB="0" distL="0" distR="0">
            <wp:extent cx="2526267" cy="70980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526267" cy="709802"/>
                    </a:xfrm>
                    <a:prstGeom prst="rect">
                      <a:avLst/>
                    </a:prstGeom>
                  </pic:spPr>
                </pic:pic>
              </a:graphicData>
            </a:graphic>
          </wp:inline>
        </w:drawing>
      </w:r>
      <w:r>
        <w:rPr>
          <w:rFonts w:ascii="黑体" w:hAnsi="黑体" w:cs="黑体" w:eastAsia="黑体" w:hint="default"/>
          <w:position w:val="-21"/>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8"/>
          <w:szCs w:val="18"/>
        </w:rPr>
      </w:pPr>
    </w:p>
    <w:p>
      <w:pPr>
        <w:spacing w:line="874" w:lineRule="exact" w:before="0"/>
        <w:ind w:left="3276" w:right="3276" w:firstLine="0"/>
        <w:jc w:val="center"/>
        <w:rPr>
          <w:rFonts w:ascii="黑体" w:hAnsi="黑体" w:cs="黑体" w:eastAsia="黑体" w:hint="default"/>
          <w:sz w:val="72"/>
          <w:szCs w:val="72"/>
        </w:rPr>
      </w:pPr>
      <w:r>
        <w:rPr>
          <w:rFonts w:ascii="Times New Roman" w:hAnsi="Times New Roman" w:cs="Times New Roman" w:eastAsia="Times New Roman" w:hint="default"/>
          <w:spacing w:val="-7"/>
          <w:sz w:val="72"/>
          <w:szCs w:val="72"/>
        </w:rPr>
        <w:t>2011</w:t>
      </w:r>
      <w:r>
        <w:rPr>
          <w:rFonts w:ascii="Times New Roman" w:hAnsi="Times New Roman" w:cs="Times New Roman" w:eastAsia="Times New Roman" w:hint="default"/>
          <w:spacing w:val="2"/>
          <w:sz w:val="72"/>
          <w:szCs w:val="72"/>
        </w:rPr>
        <w:t> </w:t>
      </w:r>
      <w:r>
        <w:rPr>
          <w:rFonts w:ascii="黑体" w:hAnsi="黑体" w:cs="黑体" w:eastAsia="黑体" w:hint="default"/>
          <w:sz w:val="72"/>
          <w:szCs w:val="72"/>
        </w:rPr>
        <w:t>年年度报告</w:t>
      </w:r>
    </w:p>
    <w:p>
      <w:pPr>
        <w:spacing w:line="240" w:lineRule="auto" w:before="0"/>
        <w:rPr>
          <w:rFonts w:ascii="黑体" w:hAnsi="黑体" w:cs="黑体" w:eastAsia="黑体" w:hint="default"/>
          <w:sz w:val="76"/>
          <w:szCs w:val="76"/>
        </w:rPr>
      </w:pPr>
    </w:p>
    <w:p>
      <w:pPr>
        <w:spacing w:line="240" w:lineRule="auto" w:before="0"/>
        <w:rPr>
          <w:rFonts w:ascii="黑体" w:hAnsi="黑体" w:cs="黑体" w:eastAsia="黑体" w:hint="default"/>
          <w:sz w:val="76"/>
          <w:szCs w:val="76"/>
        </w:rPr>
      </w:pPr>
    </w:p>
    <w:p>
      <w:pPr>
        <w:spacing w:line="240" w:lineRule="auto" w:before="13"/>
        <w:rPr>
          <w:rFonts w:ascii="黑体" w:hAnsi="黑体" w:cs="黑体" w:eastAsia="黑体" w:hint="default"/>
          <w:sz w:val="112"/>
          <w:szCs w:val="112"/>
        </w:rPr>
      </w:pPr>
    </w:p>
    <w:p>
      <w:pPr>
        <w:pStyle w:val="Heading2"/>
        <w:spacing w:line="427" w:lineRule="auto"/>
        <w:ind w:right="3276"/>
        <w:jc w:val="center"/>
        <w:rPr>
          <w:rFonts w:ascii="Times New Roman" w:hAnsi="Times New Roman" w:cs="Times New Roman" w:eastAsia="Times New Roman" w:hint="default"/>
          <w:b w:val="0"/>
          <w:bCs w:val="0"/>
        </w:rPr>
      </w:pPr>
      <w:r>
        <w:rPr>
          <w:w w:val="95"/>
        </w:rPr>
        <w:t>股票简称：超图软件</w:t>
      </w:r>
      <w:r>
        <w:rPr>
          <w:spacing w:val="-18"/>
          <w:w w:val="95"/>
        </w:rPr>
        <w:t> </w:t>
      </w:r>
      <w:r>
        <w:rPr>
          <w:spacing w:val="-18"/>
          <w:w w:val="95"/>
        </w:rPr>
      </w:r>
      <w:r>
        <w:rPr/>
        <w:t>股票代码：</w:t>
      </w:r>
      <w:r>
        <w:rPr>
          <w:rFonts w:ascii="Times New Roman" w:hAnsi="Times New Roman" w:cs="Times New Roman" w:eastAsia="Times New Roman" w:hint="default"/>
        </w:rPr>
        <w:t>300036</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34"/>
          <w:szCs w:val="34"/>
        </w:rPr>
      </w:pPr>
    </w:p>
    <w:p>
      <w:pPr>
        <w:spacing w:before="257"/>
        <w:ind w:left="3274" w:right="3276" w:firstLine="0"/>
        <w:jc w:val="center"/>
        <w:rPr>
          <w:rFonts w:ascii="黑体" w:hAnsi="黑体" w:cs="黑体" w:eastAsia="黑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2"/>
          <w:sz w:val="32"/>
          <w:szCs w:val="32"/>
        </w:rPr>
        <w:t> </w:t>
      </w:r>
      <w:r>
        <w:rPr>
          <w:rFonts w:ascii="黑体" w:hAnsi="黑体" w:cs="黑体" w:eastAsia="黑体" w:hint="default"/>
          <w:b/>
          <w:bCs/>
          <w:sz w:val="32"/>
          <w:szCs w:val="32"/>
        </w:rPr>
        <w:t>年</w:t>
      </w:r>
      <w:r>
        <w:rPr>
          <w:rFonts w:ascii="黑体" w:hAnsi="黑体" w:cs="黑体" w:eastAsia="黑体" w:hint="default"/>
          <w:b/>
          <w:bCs/>
          <w:spacing w:val="-82"/>
          <w:sz w:val="32"/>
          <w:szCs w:val="32"/>
        </w:rPr>
        <w:t> </w:t>
      </w:r>
      <w:r>
        <w:rPr>
          <w:rFonts w:ascii="Times New Roman" w:hAnsi="Times New Roman" w:cs="Times New Roman" w:eastAsia="Times New Roman" w:hint="default"/>
          <w:b/>
          <w:bCs/>
          <w:sz w:val="32"/>
          <w:szCs w:val="32"/>
        </w:rPr>
        <w:t>3</w:t>
      </w:r>
      <w:r>
        <w:rPr>
          <w:rFonts w:ascii="Times New Roman" w:hAnsi="Times New Roman" w:cs="Times New Roman" w:eastAsia="Times New Roman" w:hint="default"/>
          <w:b/>
          <w:bCs/>
          <w:spacing w:val="-2"/>
          <w:sz w:val="32"/>
          <w:szCs w:val="32"/>
        </w:rPr>
        <w:t> </w:t>
      </w:r>
      <w:r>
        <w:rPr>
          <w:rFonts w:ascii="黑体" w:hAnsi="黑体" w:cs="黑体" w:eastAsia="黑体" w:hint="default"/>
          <w:b/>
          <w:bCs/>
          <w:sz w:val="32"/>
          <w:szCs w:val="32"/>
        </w:rPr>
        <w:t>月</w:t>
      </w:r>
      <w:r>
        <w:rPr>
          <w:rFonts w:ascii="黑体" w:hAnsi="黑体" w:cs="黑体" w:eastAsia="黑体" w:hint="default"/>
          <w:b/>
          <w:bCs/>
          <w:spacing w:val="-82"/>
          <w:sz w:val="32"/>
          <w:szCs w:val="32"/>
        </w:rPr>
        <w:t> </w:t>
      </w:r>
      <w:r>
        <w:rPr>
          <w:rFonts w:ascii="Times New Roman" w:hAnsi="Times New Roman" w:cs="Times New Roman" w:eastAsia="Times New Roman" w:hint="default"/>
          <w:b/>
          <w:bCs/>
          <w:sz w:val="32"/>
          <w:szCs w:val="32"/>
        </w:rPr>
        <w:t>9</w:t>
      </w:r>
      <w:r>
        <w:rPr>
          <w:rFonts w:ascii="Times New Roman" w:hAnsi="Times New Roman" w:cs="Times New Roman" w:eastAsia="Times New Roman" w:hint="default"/>
          <w:b/>
          <w:bCs/>
          <w:spacing w:val="-2"/>
          <w:sz w:val="32"/>
          <w:szCs w:val="32"/>
        </w:rPr>
        <w:t> </w:t>
      </w:r>
      <w:r>
        <w:rPr>
          <w:rFonts w:ascii="黑体" w:hAnsi="黑体" w:cs="黑体" w:eastAsia="黑体" w:hint="default"/>
          <w:b/>
          <w:bCs/>
          <w:sz w:val="32"/>
          <w:szCs w:val="32"/>
        </w:rPr>
        <w:t>日</w:t>
      </w:r>
      <w:r>
        <w:rPr>
          <w:rFonts w:ascii="黑体" w:hAnsi="黑体" w:cs="黑体" w:eastAsia="黑体" w:hint="default"/>
          <w:sz w:val="32"/>
          <w:szCs w:val="32"/>
        </w:rPr>
      </w:r>
    </w:p>
    <w:p>
      <w:pPr>
        <w:spacing w:after="0"/>
        <w:jc w:val="center"/>
        <w:rPr>
          <w:rFonts w:ascii="黑体" w:hAnsi="黑体" w:cs="黑体" w:eastAsia="黑体" w:hint="default"/>
          <w:sz w:val="32"/>
          <w:szCs w:val="32"/>
        </w:rPr>
        <w:sectPr>
          <w:type w:val="continuous"/>
          <w:pgSz w:w="11910" w:h="16840"/>
          <w:pgMar w:top="440" w:bottom="280" w:left="60" w:right="6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13"/>
          <w:szCs w:val="13"/>
        </w:rPr>
      </w:pPr>
    </w:p>
    <w:p>
      <w:pPr>
        <w:pStyle w:val="Heading1"/>
        <w:spacing w:line="460" w:lineRule="exact"/>
        <w:ind w:left="2577" w:right="0"/>
        <w:jc w:val="left"/>
        <w:rPr>
          <w:b w:val="0"/>
          <w:bCs w:val="0"/>
        </w:rPr>
      </w:pPr>
      <w:bookmarkStart w:name="_TOC_250087" w:id="1"/>
      <w:r>
        <w:rPr>
          <w:spacing w:val="3"/>
        </w:rPr>
        <w:t>第一节</w:t>
      </w:r>
      <w:r>
        <w:rPr>
          <w:spacing w:val="-25"/>
        </w:rPr>
        <w:t> </w:t>
      </w:r>
      <w:r>
        <w:rPr>
          <w:spacing w:val="4"/>
        </w:rPr>
        <w:t>重要提示和目录</w:t>
      </w:r>
      <w:bookmarkEnd w:id="1"/>
      <w:r>
        <w:rPr>
          <w:b w:val="0"/>
          <w:bCs w:val="0"/>
          <w:spacing w:val="4"/>
        </w:rPr>
      </w: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37"/>
          <w:szCs w:val="37"/>
        </w:rPr>
      </w:pPr>
    </w:p>
    <w:p>
      <w:pPr>
        <w:pStyle w:val="BodyText"/>
        <w:spacing w:line="352" w:lineRule="auto"/>
        <w:ind w:left="260" w:right="215" w:firstLine="479"/>
        <w:jc w:val="both"/>
      </w:pPr>
      <w:r>
        <w:rPr>
          <w:rFonts w:ascii="Times New Roman" w:hAnsi="Times New Roman" w:cs="Times New Roman" w:eastAsia="Times New Roman" w:hint="default"/>
          <w:spacing w:val="-1"/>
        </w:rPr>
        <w:t>1</w:t>
      </w:r>
      <w:r>
        <w:rPr>
          <w:spacing w:val="-1"/>
        </w:rPr>
        <w:t>、本公司董事会、监事会及董事、监事、高级管理人员保证本报告所载资料</w:t>
      </w:r>
      <w:r>
        <w:rPr/>
        <w:t> </w:t>
      </w:r>
      <w:r>
        <w:rPr>
          <w:spacing w:val="-4"/>
        </w:rPr>
        <w:t>不存在任何虚假记载、误导性陈述或者重大遗漏，并对其内容的真实性、准确性和</w:t>
      </w:r>
      <w:r>
        <w:rPr>
          <w:spacing w:val="-115"/>
        </w:rPr>
        <w:t> </w:t>
      </w:r>
      <w:r>
        <w:rPr>
          <w:spacing w:val="-115"/>
        </w:rPr>
      </w:r>
      <w:r>
        <w:rPr>
          <w:spacing w:val="-4"/>
        </w:rPr>
        <w:t>完整性承担个别及连带责任。本年度报告摘要摘自年度报告全文，报告全文同时刊</w:t>
      </w:r>
      <w:r>
        <w:rPr>
          <w:spacing w:val="-115"/>
        </w:rPr>
        <w:t> </w:t>
      </w:r>
      <w:r>
        <w:rPr>
          <w:spacing w:val="-115"/>
        </w:rPr>
      </w:r>
      <w:r>
        <w:rPr>
          <w:spacing w:val="-4"/>
        </w:rPr>
        <w:t>载于证监会指定网站和公司网站。为全面了解本公司生产经营状况和财务成果及公</w:t>
      </w:r>
      <w:r>
        <w:rPr>
          <w:spacing w:val="-114"/>
        </w:rPr>
        <w:t> </w:t>
      </w:r>
      <w:r>
        <w:rPr>
          <w:spacing w:val="-114"/>
        </w:rPr>
      </w:r>
      <w:r>
        <w:rPr/>
        <w:t>司的未来发展规划，投资者应到指定网站仔细阅读年度报告全文。</w:t>
      </w:r>
    </w:p>
    <w:p>
      <w:pPr>
        <w:pStyle w:val="BodyText"/>
        <w:spacing w:line="338" w:lineRule="auto" w:before="41"/>
        <w:ind w:left="260" w:right="221" w:firstLine="479"/>
        <w:jc w:val="both"/>
      </w:pPr>
      <w:r>
        <w:rPr>
          <w:rFonts w:ascii="Times New Roman" w:hAnsi="Times New Roman" w:cs="Times New Roman" w:eastAsia="Times New Roman" w:hint="default"/>
          <w:spacing w:val="-1"/>
        </w:rPr>
        <w:t>2</w:t>
      </w:r>
      <w:r>
        <w:rPr>
          <w:spacing w:val="-1"/>
        </w:rPr>
        <w:t>、没有董事、监事、高级管理人员声明对年度报告内容的真实性、准确性和</w:t>
      </w:r>
      <w:r>
        <w:rPr/>
        <w:t> 完整性无法保证或存在异议。</w:t>
      </w:r>
    </w:p>
    <w:p>
      <w:pPr>
        <w:pStyle w:val="BodyText"/>
        <w:spacing w:line="240" w:lineRule="auto" w:before="55"/>
        <w:ind w:left="740" w:right="0"/>
        <w:jc w:val="left"/>
      </w:pPr>
      <w:r>
        <w:rPr>
          <w:rFonts w:ascii="Times New Roman" w:hAnsi="Times New Roman" w:cs="Times New Roman" w:eastAsia="Times New Roman" w:hint="default"/>
        </w:rPr>
        <w:t>3</w:t>
      </w:r>
      <w:r>
        <w:rPr/>
        <w:t>、所有董事均已亲自出席审议本次年报的董事会会议。</w:t>
      </w:r>
    </w:p>
    <w:p>
      <w:pPr>
        <w:pStyle w:val="BodyText"/>
        <w:spacing w:line="338" w:lineRule="auto" w:before="135"/>
        <w:ind w:left="260" w:right="222" w:firstLine="479"/>
        <w:jc w:val="both"/>
      </w:pPr>
      <w:r>
        <w:rPr>
          <w:rFonts w:ascii="Times New Roman" w:hAnsi="Times New Roman" w:cs="Times New Roman" w:eastAsia="Times New Roman" w:hint="default"/>
          <w:spacing w:val="5"/>
        </w:rPr>
        <w:t>4</w:t>
      </w:r>
      <w:r>
        <w:rPr>
          <w:spacing w:val="5"/>
        </w:rPr>
        <w:t>、京都天华会计师事务所有限公司为本公司</w:t>
      </w:r>
      <w:r>
        <w:rPr>
          <w:spacing w:val="-6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年度财务报告出具了标准 无保留意见的审计报告。</w:t>
      </w:r>
    </w:p>
    <w:p>
      <w:pPr>
        <w:pStyle w:val="BodyText"/>
        <w:spacing w:line="338" w:lineRule="auto" w:before="56"/>
        <w:ind w:left="260" w:right="224" w:firstLine="479"/>
        <w:jc w:val="both"/>
      </w:pPr>
      <w:r>
        <w:rPr>
          <w:rFonts w:ascii="Times New Roman" w:hAnsi="Times New Roman" w:cs="Times New Roman" w:eastAsia="Times New Roman" w:hint="default"/>
          <w:spacing w:val="-1"/>
        </w:rPr>
        <w:t>5</w:t>
      </w:r>
      <w:r>
        <w:rPr>
          <w:spacing w:val="-1"/>
        </w:rPr>
        <w:t>、公司法定代表人兼董事长钟耳顺先生、总经理宋关福先生、财务负责人及</w:t>
      </w:r>
      <w:r>
        <w:rPr/>
        <w:t> 会计机构负责人鹿麒先生声明：保证年度报告中财务报告的真实、完整。</w:t>
      </w:r>
    </w:p>
    <w:p>
      <w:pPr>
        <w:spacing w:after="0" w:line="338" w:lineRule="auto"/>
        <w:jc w:val="both"/>
        <w:sectPr>
          <w:headerReference w:type="default" r:id="rId6"/>
          <w:footerReference w:type="default" r:id="rId7"/>
          <w:pgSz w:w="11910" w:h="16840"/>
          <w:pgMar w:header="884" w:footer="1007" w:top="1140" w:bottom="1200" w:left="1660" w:right="1260"/>
          <w:pgNumType w:start="2"/>
        </w:sectPr>
      </w:pPr>
    </w:p>
    <w:p>
      <w:pPr>
        <w:spacing w:line="240" w:lineRule="auto" w:before="10"/>
        <w:rPr>
          <w:rFonts w:ascii="宋体" w:hAnsi="宋体" w:cs="宋体" w:eastAsia="宋体" w:hint="default"/>
          <w:sz w:val="20"/>
          <w:szCs w:val="20"/>
        </w:rPr>
      </w:pPr>
    </w:p>
    <w:p>
      <w:pPr>
        <w:spacing w:line="539" w:lineRule="exact" w:before="0"/>
        <w:ind w:left="4289" w:right="377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spacing w:after="0" w:line="539" w:lineRule="exact"/>
        <w:jc w:val="center"/>
        <w:rPr>
          <w:rFonts w:ascii="宋体" w:hAnsi="宋体" w:cs="宋体" w:eastAsia="宋体" w:hint="default"/>
          <w:sz w:val="44"/>
          <w:szCs w:val="44"/>
        </w:rPr>
        <w:sectPr>
          <w:pgSz w:w="11910" w:h="16840"/>
          <w:pgMar w:header="884" w:footer="1007" w:top="1140" w:bottom="1670" w:left="1660" w:right="1260"/>
        </w:sectPr>
      </w:pPr>
    </w:p>
    <w:sdt>
      <w:sdtPr>
        <w:docPartObj>
          <w:docPartGallery w:val="Table of Contents"/>
          <w:docPartUnique/>
        </w:docPartObj>
      </w:sdtPr>
      <w:sdtEndPr/>
      <w:sdtContent>
        <w:p>
          <w:pPr>
            <w:pStyle w:val="TOC1"/>
            <w:tabs>
              <w:tab w:pos="1400" w:val="left" w:leader="none"/>
              <w:tab w:pos="8824" w:val="right" w:leader="dot"/>
            </w:tabs>
            <w:spacing w:line="240" w:lineRule="auto" w:before="705"/>
            <w:ind w:right="0"/>
            <w:jc w:val="left"/>
            <w:rPr>
              <w:rFonts w:ascii="Calibri" w:hAnsi="Calibri" w:cs="Calibri" w:eastAsia="Calibri" w:hint="default"/>
            </w:rPr>
          </w:pPr>
          <w:hyperlink w:history="true" w:anchor="_TOC_250087">
            <w:r>
              <w:rPr/>
              <w:t>第一节</w:t>
              <w:tab/>
              <w:t>重要提示和目录</w:t>
            </w:r>
            <w:r>
              <w:rPr>
                <w:rFonts w:ascii="Calibri" w:hAnsi="Calibri" w:cs="Calibri" w:eastAsia="Calibri" w:hint="default"/>
              </w:rPr>
              <w:tab/>
              <w:t>2</w:t>
            </w:r>
          </w:hyperlink>
        </w:p>
        <w:p>
          <w:pPr>
            <w:pStyle w:val="TOC1"/>
            <w:tabs>
              <w:tab w:pos="8824" w:val="right" w:leader="dot"/>
            </w:tabs>
            <w:spacing w:line="240" w:lineRule="auto"/>
            <w:ind w:right="0"/>
            <w:jc w:val="left"/>
            <w:rPr>
              <w:rFonts w:ascii="Calibri" w:hAnsi="Calibri" w:cs="Calibri" w:eastAsia="Calibri" w:hint="default"/>
            </w:rPr>
          </w:pPr>
          <w:hyperlink w:history="true" w:anchor="_TOC_250086">
            <w:r>
              <w:rPr/>
              <w:t>第二节</w:t>
            </w:r>
            <w:r>
              <w:rPr>
                <w:spacing w:val="5"/>
              </w:rPr>
              <w:t> </w:t>
            </w:r>
            <w:r>
              <w:rPr/>
              <w:t>公司基本情况简介</w:t>
            </w:r>
            <w:r>
              <w:rPr>
                <w:rFonts w:ascii="Calibri" w:hAnsi="Calibri" w:cs="Calibri" w:eastAsia="Calibri" w:hint="default"/>
              </w:rPr>
              <w:tab/>
              <w:t>6</w:t>
            </w:r>
          </w:hyperlink>
        </w:p>
        <w:p>
          <w:pPr>
            <w:pStyle w:val="TOC1"/>
            <w:tabs>
              <w:tab w:pos="1400" w:val="left" w:leader="none"/>
              <w:tab w:pos="8824" w:val="right" w:leader="dot"/>
            </w:tabs>
            <w:spacing w:line="240" w:lineRule="auto"/>
            <w:ind w:right="0"/>
            <w:jc w:val="left"/>
            <w:rPr>
              <w:rFonts w:ascii="Calibri" w:hAnsi="Calibri" w:cs="Calibri" w:eastAsia="Calibri" w:hint="default"/>
            </w:rPr>
          </w:pPr>
          <w:hyperlink w:history="true" w:anchor="_TOC_250085">
            <w:r>
              <w:rPr/>
              <w:t>第三节</w:t>
              <w:tab/>
              <w:t>会计数据和业务数据摘要</w:t>
            </w:r>
            <w:r>
              <w:rPr>
                <w:rFonts w:ascii="Calibri" w:hAnsi="Calibri" w:cs="Calibri" w:eastAsia="Calibri" w:hint="default"/>
              </w:rPr>
              <w:tab/>
              <w:t>8</w:t>
            </w:r>
          </w:hyperlink>
        </w:p>
        <w:p>
          <w:pPr>
            <w:pStyle w:val="TOC2"/>
            <w:tabs>
              <w:tab w:pos="8824" w:val="right" w:leader="dot"/>
            </w:tabs>
            <w:spacing w:line="240" w:lineRule="auto"/>
            <w:ind w:right="0"/>
            <w:jc w:val="left"/>
            <w:rPr>
              <w:rFonts w:ascii="Calibri" w:hAnsi="Calibri" w:cs="Calibri" w:eastAsia="Calibri" w:hint="default"/>
            </w:rPr>
          </w:pPr>
          <w:hyperlink w:history="true" w:anchor="_TOC_250084">
            <w:r>
              <w:rPr/>
              <w:t>一、主要会计数据</w:t>
            </w:r>
            <w:r>
              <w:rPr>
                <w:rFonts w:ascii="Calibri" w:hAnsi="Calibri" w:cs="Calibri" w:eastAsia="Calibri" w:hint="default"/>
              </w:rPr>
              <w:tab/>
              <w:t>8</w:t>
            </w:r>
          </w:hyperlink>
        </w:p>
        <w:p>
          <w:pPr>
            <w:pStyle w:val="TOC2"/>
            <w:tabs>
              <w:tab w:pos="8824" w:val="right" w:leader="dot"/>
            </w:tabs>
            <w:spacing w:line="240" w:lineRule="auto"/>
            <w:ind w:right="0"/>
            <w:jc w:val="left"/>
            <w:rPr>
              <w:rFonts w:ascii="Calibri" w:hAnsi="Calibri" w:cs="Calibri" w:eastAsia="Calibri" w:hint="default"/>
            </w:rPr>
          </w:pPr>
          <w:hyperlink w:history="true" w:anchor="_TOC_250083">
            <w:r>
              <w:rPr/>
              <w:t>二、主要财务指标</w:t>
            </w:r>
            <w:r>
              <w:rPr>
                <w:rFonts w:ascii="Calibri" w:hAnsi="Calibri" w:cs="Calibri" w:eastAsia="Calibri" w:hint="default"/>
              </w:rPr>
              <w:tab/>
              <w:t>8</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82">
            <w:r>
              <w:rPr/>
              <w:t>三、非经常性损益项目</w:t>
            </w:r>
            <w:r>
              <w:rPr>
                <w:rFonts w:ascii="Calibri" w:hAnsi="Calibri" w:cs="Calibri" w:eastAsia="Calibri" w:hint="default"/>
              </w:rPr>
              <w:tab/>
              <w:t>11</w:t>
            </w:r>
          </w:hyperlink>
        </w:p>
        <w:p>
          <w:pPr>
            <w:pStyle w:val="TOC1"/>
            <w:tabs>
              <w:tab w:pos="1400" w:val="left" w:leader="none"/>
              <w:tab w:pos="8825" w:val="right" w:leader="dot"/>
            </w:tabs>
            <w:spacing w:line="240" w:lineRule="auto"/>
            <w:ind w:right="0"/>
            <w:jc w:val="left"/>
            <w:rPr>
              <w:rFonts w:ascii="Calibri" w:hAnsi="Calibri" w:cs="Calibri" w:eastAsia="Calibri" w:hint="default"/>
            </w:rPr>
          </w:pPr>
          <w:hyperlink w:history="true" w:anchor="_TOC_250081">
            <w:r>
              <w:rPr/>
              <w:t>第四节</w:t>
              <w:tab/>
              <w:t>董事会报告</w:t>
            </w:r>
            <w:r>
              <w:rPr>
                <w:rFonts w:ascii="Calibri" w:hAnsi="Calibri" w:cs="Calibri" w:eastAsia="Calibri" w:hint="default"/>
              </w:rPr>
              <w:tab/>
              <w:t>12</w:t>
            </w:r>
          </w:hyperlink>
        </w:p>
        <w:p>
          <w:pPr>
            <w:pStyle w:val="TOC2"/>
            <w:tabs>
              <w:tab w:pos="8825" w:val="right" w:leader="dot"/>
            </w:tabs>
            <w:spacing w:line="240" w:lineRule="auto" w:before="11"/>
            <w:ind w:right="0"/>
            <w:jc w:val="left"/>
            <w:rPr>
              <w:rFonts w:ascii="Calibri" w:hAnsi="Calibri" w:cs="Calibri" w:eastAsia="Calibri" w:hint="default"/>
            </w:rPr>
          </w:pPr>
          <w:hyperlink w:history="true" w:anchor="_TOC_250080">
            <w:r>
              <w:rPr/>
              <w:t>一、公司经营情况</w:t>
            </w:r>
            <w:r>
              <w:rPr>
                <w:rFonts w:ascii="Calibri" w:hAnsi="Calibri" w:cs="Calibri" w:eastAsia="Calibri" w:hint="default"/>
              </w:rPr>
              <w:tab/>
              <w:t>12</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79">
            <w:r>
              <w:rPr/>
              <w:t>二、对公司未来发展的展望</w:t>
            </w:r>
            <w:r>
              <w:rPr>
                <w:rFonts w:ascii="Calibri" w:hAnsi="Calibri" w:cs="Calibri" w:eastAsia="Calibri" w:hint="default"/>
              </w:rPr>
              <w:tab/>
              <w:t>28</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8">
            <w:r>
              <w:rPr/>
              <w:t>（一）地理信息产业市场发展趋势和预测</w:t>
            </w:r>
            <w:r>
              <w:rPr>
                <w:rFonts w:ascii="Calibri" w:hAnsi="Calibri" w:cs="Calibri" w:eastAsia="Calibri" w:hint="default"/>
              </w:rPr>
              <w:tab/>
              <w:t>28</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7">
            <w:r>
              <w:rPr/>
              <w:t>（二）公司面临的机遇和挑战</w:t>
            </w:r>
            <w:r>
              <w:rPr>
                <w:rFonts w:ascii="Calibri" w:hAnsi="Calibri" w:cs="Calibri" w:eastAsia="Calibri" w:hint="default"/>
              </w:rPr>
              <w:tab/>
              <w:t>30</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6">
            <w:r>
              <w:rPr/>
              <w:t>（三）公司未来发展战略规划及</w:t>
            </w:r>
            <w:r>
              <w:rPr>
                <w:spacing w:val="-53"/>
              </w:rPr>
              <w:t> </w:t>
            </w:r>
            <w:r>
              <w:rPr>
                <w:rFonts w:ascii="Times New Roman" w:hAnsi="Times New Roman" w:cs="Times New Roman" w:eastAsia="Times New Roman" w:hint="default"/>
              </w:rPr>
              <w:t>2012 </w:t>
            </w:r>
            <w:r>
              <w:rPr/>
              <w:t>年经营计划</w:t>
            </w:r>
            <w:r>
              <w:rPr>
                <w:rFonts w:ascii="Calibri" w:hAnsi="Calibri" w:cs="Calibri" w:eastAsia="Calibri" w:hint="default"/>
              </w:rPr>
              <w:tab/>
              <w:t>31</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5">
            <w:r>
              <w:rPr/>
              <w:t>（五）对公司未来发展战略和经营目标的实现产生不利影响的风险因素分析</w:t>
            </w:r>
            <w:r>
              <w:rPr>
                <w:rFonts w:ascii="Calibri" w:hAnsi="Calibri" w:cs="Calibri" w:eastAsia="Calibri" w:hint="default"/>
              </w:rPr>
              <w:tab/>
              <w:t>35</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4">
            <w:r>
              <w:rPr/>
              <w:t>（六）管理层所关注的公司发展机遇和挑战</w:t>
            </w:r>
            <w:r>
              <w:rPr>
                <w:rFonts w:ascii="Calibri" w:hAnsi="Calibri" w:cs="Calibri" w:eastAsia="Calibri" w:hint="default"/>
              </w:rPr>
              <w:tab/>
              <w:t>36</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3">
            <w:r>
              <w:rPr/>
              <w:t>（七）实现未来发展战略所需资金的计划</w:t>
            </w:r>
            <w:r>
              <w:rPr>
                <w:rFonts w:ascii="Calibri" w:hAnsi="Calibri" w:cs="Calibri" w:eastAsia="Calibri" w:hint="default"/>
              </w:rPr>
              <w:tab/>
              <w:t>38</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72">
            <w:r>
              <w:rPr/>
              <w:t>三、报告期内公司投资情况</w:t>
            </w:r>
            <w:r>
              <w:rPr>
                <w:rFonts w:ascii="Calibri" w:hAnsi="Calibri" w:cs="Calibri" w:eastAsia="Calibri" w:hint="default"/>
              </w:rPr>
              <w:tab/>
              <w:t>39</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1">
            <w:r>
              <w:rPr/>
              <w:t>（一）报告期内募集资金使用情况</w:t>
            </w:r>
            <w:r>
              <w:rPr>
                <w:rFonts w:ascii="Calibri" w:hAnsi="Calibri" w:cs="Calibri" w:eastAsia="Calibri" w:hint="default"/>
              </w:rPr>
              <w:tab/>
              <w:t>39</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70">
            <w:r>
              <w:rPr/>
              <w:t>（二）公司正在从事的其它非募投项目及进展情况</w:t>
            </w:r>
            <w:r>
              <w:rPr>
                <w:rFonts w:ascii="Calibri" w:hAnsi="Calibri" w:cs="Calibri" w:eastAsia="Calibri" w:hint="default"/>
              </w:rPr>
              <w:tab/>
              <w:t>46</w:t>
            </w:r>
          </w:hyperlink>
        </w:p>
        <w:p>
          <w:pPr>
            <w:pStyle w:val="TOC3"/>
            <w:tabs>
              <w:tab w:pos="8820" w:val="right" w:leader="dot"/>
            </w:tabs>
            <w:spacing w:line="240" w:lineRule="auto"/>
            <w:ind w:right="0"/>
            <w:jc w:val="left"/>
            <w:rPr>
              <w:rFonts w:ascii="Calibri" w:hAnsi="Calibri" w:cs="Calibri" w:eastAsia="Calibri" w:hint="default"/>
            </w:rPr>
          </w:pPr>
          <w:hyperlink w:history="true" w:anchor="_TOC_250069">
            <w:r>
              <w:rPr/>
              <w:t>（三）其它投资情况</w:t>
            </w:r>
            <w:r>
              <w:rPr>
                <w:rFonts w:ascii="Calibri" w:hAnsi="Calibri" w:cs="Calibri" w:eastAsia="Calibri" w:hint="default"/>
              </w:rPr>
              <w:tab/>
            </w:r>
            <w:r>
              <w:rPr>
                <w:rFonts w:ascii="Calibri" w:hAnsi="Calibri" w:cs="Calibri" w:eastAsia="Calibri" w:hint="default"/>
                <w:spacing w:val="-4"/>
              </w:rPr>
              <w:t>47</w:t>
            </w:r>
            <w:r>
              <w:rPr>
                <w:rFonts w:ascii="Calibri" w:hAnsi="Calibri" w:cs="Calibri" w:eastAsia="Calibri" w:hint="default"/>
              </w:rPr>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68">
            <w:r>
              <w:rPr/>
              <w:t>四、公司董事会日常工作情况</w:t>
            </w:r>
            <w:r>
              <w:rPr>
                <w:rFonts w:ascii="Calibri" w:hAnsi="Calibri" w:cs="Calibri" w:eastAsia="Calibri" w:hint="default"/>
              </w:rPr>
              <w:tab/>
            </w:r>
            <w:r>
              <w:rPr>
                <w:rFonts w:ascii="Calibri" w:hAnsi="Calibri" w:cs="Calibri" w:eastAsia="Calibri" w:hint="default"/>
                <w:spacing w:val="-4"/>
              </w:rPr>
              <w:t>47</w:t>
            </w:r>
            <w:r>
              <w:rPr>
                <w:rFonts w:ascii="Calibri" w:hAnsi="Calibri" w:cs="Calibri" w:eastAsia="Calibri" w:hint="default"/>
              </w:rPr>
            </w:r>
          </w:hyperlink>
        </w:p>
        <w:p>
          <w:pPr>
            <w:pStyle w:val="TOC3"/>
            <w:tabs>
              <w:tab w:pos="8820" w:val="right" w:leader="dot"/>
            </w:tabs>
            <w:spacing w:line="240" w:lineRule="auto"/>
            <w:ind w:right="0"/>
            <w:jc w:val="left"/>
            <w:rPr>
              <w:rFonts w:ascii="Calibri" w:hAnsi="Calibri" w:cs="Calibri" w:eastAsia="Calibri" w:hint="default"/>
            </w:rPr>
          </w:pPr>
          <w:hyperlink w:history="true" w:anchor="_TOC_250067">
            <w:r>
              <w:rPr/>
              <w:t>（一）董事会的会议情况及决议内容</w:t>
            </w:r>
            <w:r>
              <w:rPr>
                <w:rFonts w:ascii="Calibri" w:hAnsi="Calibri" w:cs="Calibri" w:eastAsia="Calibri" w:hint="default"/>
              </w:rPr>
              <w:tab/>
            </w:r>
            <w:r>
              <w:rPr>
                <w:rFonts w:ascii="Calibri" w:hAnsi="Calibri" w:cs="Calibri" w:eastAsia="Calibri" w:hint="default"/>
                <w:spacing w:val="-4"/>
              </w:rPr>
              <w:t>47</w:t>
            </w:r>
            <w:r>
              <w:rPr>
                <w:rFonts w:ascii="Calibri" w:hAnsi="Calibri" w:cs="Calibri" w:eastAsia="Calibri" w:hint="default"/>
              </w:rPr>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66">
            <w:r>
              <w:rPr/>
              <w:t>（二）董事会对股东大会决议的执行情况</w:t>
            </w:r>
            <w:r>
              <w:rPr>
                <w:rFonts w:ascii="Calibri" w:hAnsi="Calibri" w:cs="Calibri" w:eastAsia="Calibri" w:hint="default"/>
              </w:rPr>
              <w:tab/>
              <w:t>50</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65">
            <w:r>
              <w:rPr/>
              <w:t>（三）公司董事会审计委员会履行职责情况汇总报告</w:t>
            </w:r>
            <w:r>
              <w:rPr>
                <w:rFonts w:ascii="Calibri" w:hAnsi="Calibri" w:cs="Calibri" w:eastAsia="Calibri" w:hint="default"/>
              </w:rPr>
              <w:tab/>
              <w:t>50</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64">
            <w:r>
              <w:rPr/>
              <w:t>（四）公司董事会薪酬与考核委员会履行职责情况汇总报告</w:t>
            </w:r>
            <w:r>
              <w:rPr>
                <w:rFonts w:ascii="Calibri" w:hAnsi="Calibri" w:cs="Calibri" w:eastAsia="Calibri" w:hint="default"/>
              </w:rPr>
              <w:tab/>
              <w:t>51</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63">
            <w:r>
              <w:rPr/>
              <w:t>五、利润分配或资本公积转增股本预案</w:t>
            </w:r>
            <w:r>
              <w:rPr>
                <w:rFonts w:ascii="Calibri" w:hAnsi="Calibri" w:cs="Calibri" w:eastAsia="Calibri" w:hint="default"/>
              </w:rPr>
              <w:tab/>
              <w:t>51</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62">
            <w:r>
              <w:rPr/>
              <w:t>（一）</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年利润分配预案</w:t>
            </w:r>
            <w:r>
              <w:rPr>
                <w:rFonts w:ascii="Calibri" w:hAnsi="Calibri" w:cs="Calibri" w:eastAsia="Calibri" w:hint="default"/>
              </w:rPr>
              <w:tab/>
              <w:t>51</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61">
            <w:r>
              <w:rPr/>
              <w:t>（二）公司利润分配政策和前三年利润分配情况</w:t>
            </w:r>
            <w:r>
              <w:rPr>
                <w:rFonts w:ascii="Calibri" w:hAnsi="Calibri" w:cs="Calibri" w:eastAsia="Calibri" w:hint="default"/>
              </w:rPr>
              <w:tab/>
              <w:t>52</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60">
            <w:r>
              <w:rPr/>
              <w:t>（三）公司最近三年股本具体变动情况</w:t>
            </w:r>
            <w:r>
              <w:rPr>
                <w:rFonts w:ascii="Calibri" w:hAnsi="Calibri" w:cs="Calibri" w:eastAsia="Calibri" w:hint="default"/>
              </w:rPr>
              <w:tab/>
              <w:t>52</w:t>
            </w:r>
          </w:hyperlink>
        </w:p>
        <w:p>
          <w:pPr>
            <w:pStyle w:val="TOC2"/>
            <w:tabs>
              <w:tab w:pos="8822" w:val="right" w:leader="dot"/>
            </w:tabs>
            <w:spacing w:line="240" w:lineRule="auto" w:before="11"/>
            <w:ind w:right="0"/>
            <w:jc w:val="left"/>
            <w:rPr>
              <w:rFonts w:ascii="Calibri" w:hAnsi="Calibri" w:cs="Calibri" w:eastAsia="Calibri" w:hint="default"/>
            </w:rPr>
          </w:pPr>
          <w:hyperlink w:history="true" w:anchor="_TOC_250059">
            <w:r>
              <w:rPr/>
              <w:t>六、董事会内部控制责任的声明</w:t>
            </w:r>
            <w:r>
              <w:rPr>
                <w:rFonts w:ascii="Calibri" w:hAnsi="Calibri" w:cs="Calibri" w:eastAsia="Calibri" w:hint="default"/>
              </w:rPr>
              <w:tab/>
              <w:t>53</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58">
            <w:r>
              <w:rPr/>
              <w:t>七、内幕信息知情人管理制度的执行情况</w:t>
            </w:r>
            <w:r>
              <w:rPr>
                <w:rFonts w:ascii="Calibri" w:hAnsi="Calibri" w:cs="Calibri" w:eastAsia="Calibri" w:hint="default"/>
              </w:rPr>
              <w:tab/>
              <w:t>54</w:t>
            </w:r>
          </w:hyperlink>
        </w:p>
        <w:p>
          <w:pPr>
            <w:pStyle w:val="TOC1"/>
            <w:tabs>
              <w:tab w:pos="8822" w:val="right" w:leader="dot"/>
            </w:tabs>
            <w:spacing w:line="240" w:lineRule="auto"/>
            <w:ind w:right="0"/>
            <w:jc w:val="left"/>
            <w:rPr>
              <w:rFonts w:ascii="Calibri" w:hAnsi="Calibri" w:cs="Calibri" w:eastAsia="Calibri" w:hint="default"/>
            </w:rPr>
          </w:pPr>
          <w:hyperlink w:history="true" w:anchor="_TOC_250057">
            <w:r>
              <w:rPr/>
              <w:t>第五节</w:t>
            </w:r>
            <w:r>
              <w:rPr>
                <w:spacing w:val="5"/>
              </w:rPr>
              <w:t> </w:t>
            </w:r>
            <w:r>
              <w:rPr/>
              <w:t>重要事项</w:t>
            </w:r>
            <w:r>
              <w:rPr>
                <w:rFonts w:ascii="Calibri" w:hAnsi="Calibri" w:cs="Calibri" w:eastAsia="Calibri" w:hint="default"/>
              </w:rPr>
              <w:tab/>
              <w:t>55</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56">
            <w:r>
              <w:rPr/>
              <w:t>一、重大诉讼、仲裁事项</w:t>
            </w:r>
            <w:r>
              <w:rPr>
                <w:rFonts w:ascii="Calibri" w:hAnsi="Calibri" w:cs="Calibri" w:eastAsia="Calibri" w:hint="default"/>
              </w:rPr>
              <w:tab/>
              <w:t>55</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55">
            <w:r>
              <w:rPr/>
              <w:t>二、破产重组相关事项</w:t>
            </w:r>
            <w:r>
              <w:rPr>
                <w:rFonts w:ascii="Calibri" w:hAnsi="Calibri" w:cs="Calibri" w:eastAsia="Calibri" w:hint="default"/>
              </w:rPr>
              <w:tab/>
              <w:t>55</w:t>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54">
            <w:r>
              <w:rPr/>
              <w:t>三、重大收购及出售资产、吸收合并事项</w:t>
            </w:r>
            <w:r>
              <w:rPr>
                <w:rFonts w:ascii="Calibri" w:hAnsi="Calibri" w:cs="Calibri" w:eastAsia="Calibri" w:hint="default"/>
              </w:rPr>
              <w:tab/>
              <w:t>55</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53">
            <w:r>
              <w:rPr/>
              <w:t>（一）北京研发及办公用房购置情况</w:t>
            </w:r>
            <w:r>
              <w:rPr>
                <w:rFonts w:ascii="Calibri" w:hAnsi="Calibri" w:cs="Calibri" w:eastAsia="Calibri" w:hint="default"/>
              </w:rPr>
              <w:tab/>
              <w:t>55</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52">
            <w:r>
              <w:rPr/>
              <w:t>（二）成都技术中心建设所涉房产购置情况</w:t>
            </w:r>
            <w:r>
              <w:rPr>
                <w:rFonts w:ascii="Calibri" w:hAnsi="Calibri" w:cs="Calibri" w:eastAsia="Calibri" w:hint="default"/>
              </w:rPr>
              <w:tab/>
              <w:t>56</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51">
            <w:r>
              <w:rPr/>
              <w:t>四、股权激励计划情况</w:t>
            </w:r>
            <w:r>
              <w:rPr>
                <w:rFonts w:ascii="Calibri" w:hAnsi="Calibri" w:cs="Calibri" w:eastAsia="Calibri" w:hint="default"/>
              </w:rPr>
              <w:tab/>
              <w:t>56</w:t>
            </w:r>
          </w:hyperlink>
        </w:p>
        <w:p>
          <w:pPr>
            <w:pStyle w:val="TOC3"/>
            <w:tabs>
              <w:tab w:pos="8825" w:val="right" w:leader="dot"/>
            </w:tabs>
            <w:spacing w:line="240" w:lineRule="auto"/>
            <w:ind w:right="0"/>
            <w:jc w:val="left"/>
            <w:rPr>
              <w:rFonts w:ascii="Calibri" w:hAnsi="Calibri" w:cs="Calibri" w:eastAsia="Calibri" w:hint="default"/>
            </w:rPr>
          </w:pPr>
          <w:r>
            <w:rPr/>
            <w:t>（一）股权激励方案所履行的相关程序及总体情况</w:t>
          </w:r>
          <w:r>
            <w:rPr>
              <w:rFonts w:ascii="Calibri" w:hAnsi="Calibri" w:cs="Calibri" w:eastAsia="Calibri" w:hint="default"/>
            </w:rPr>
            <w:tab/>
            <w:t>56</w:t>
          </w:r>
        </w:p>
        <w:p>
          <w:pPr>
            <w:pStyle w:val="TOC3"/>
            <w:tabs>
              <w:tab w:pos="8825" w:val="right" w:leader="dot"/>
            </w:tabs>
            <w:spacing w:line="240" w:lineRule="auto"/>
            <w:ind w:right="0"/>
            <w:jc w:val="left"/>
            <w:rPr>
              <w:rFonts w:ascii="Calibri" w:hAnsi="Calibri" w:cs="Calibri" w:eastAsia="Calibri" w:hint="default"/>
            </w:rPr>
          </w:pPr>
          <w:r>
            <w:rPr/>
            <w:t>（二）股权激励基金提取及分配情况</w:t>
          </w:r>
          <w:r>
            <w:rPr>
              <w:rFonts w:ascii="Calibri" w:hAnsi="Calibri" w:cs="Calibri" w:eastAsia="Calibri" w:hint="default"/>
            </w:rPr>
            <w:tab/>
            <w:t>58</w:t>
          </w:r>
        </w:p>
        <w:p>
          <w:pPr>
            <w:pStyle w:val="TOC3"/>
            <w:tabs>
              <w:tab w:pos="8825" w:val="right" w:leader="dot"/>
            </w:tabs>
            <w:spacing w:line="240" w:lineRule="auto"/>
            <w:ind w:right="0"/>
            <w:jc w:val="left"/>
            <w:rPr>
              <w:rFonts w:ascii="Calibri" w:hAnsi="Calibri" w:cs="Calibri" w:eastAsia="Calibri" w:hint="default"/>
            </w:rPr>
          </w:pPr>
          <w:r>
            <w:rPr/>
            <w:t>（三）股权激励股份来源情况</w:t>
          </w:r>
          <w:r>
            <w:rPr>
              <w:rFonts w:ascii="Calibri" w:hAnsi="Calibri" w:cs="Calibri" w:eastAsia="Calibri" w:hint="default"/>
            </w:rPr>
            <w:tab/>
            <w:t>58</w:t>
          </w:r>
        </w:p>
        <w:p>
          <w:pPr>
            <w:pStyle w:val="TOC3"/>
            <w:tabs>
              <w:tab w:pos="8825" w:val="right" w:leader="dot"/>
            </w:tabs>
            <w:spacing w:line="240" w:lineRule="auto" w:before="268"/>
            <w:ind w:right="0"/>
            <w:jc w:val="left"/>
            <w:rPr>
              <w:rFonts w:ascii="Calibri" w:hAnsi="Calibri" w:cs="Calibri" w:eastAsia="Calibri" w:hint="default"/>
            </w:rPr>
          </w:pPr>
          <w:r>
            <w:rPr/>
            <w:t>（四）对激励对象的考核情况</w:t>
          </w:r>
          <w:r>
            <w:rPr>
              <w:rFonts w:ascii="Calibri" w:hAnsi="Calibri" w:cs="Calibri" w:eastAsia="Calibri" w:hint="default"/>
            </w:rPr>
            <w:tab/>
            <w:t>58</w:t>
          </w:r>
        </w:p>
        <w:p>
          <w:pPr>
            <w:pStyle w:val="TOC3"/>
            <w:tabs>
              <w:tab w:pos="8825" w:val="right" w:leader="dot"/>
            </w:tabs>
            <w:spacing w:line="240" w:lineRule="auto"/>
            <w:ind w:right="0"/>
            <w:jc w:val="left"/>
            <w:rPr>
              <w:rFonts w:ascii="Calibri" w:hAnsi="Calibri" w:cs="Calibri" w:eastAsia="Calibri" w:hint="default"/>
            </w:rPr>
          </w:pPr>
          <w:r>
            <w:rPr/>
            <w:t>（五）对激励对象范围的调整情况</w:t>
          </w:r>
          <w:r>
            <w:rPr>
              <w:rFonts w:ascii="Calibri" w:hAnsi="Calibri" w:cs="Calibri" w:eastAsia="Calibri" w:hint="default"/>
            </w:rPr>
            <w:tab/>
            <w:t>59</w:t>
          </w:r>
        </w:p>
        <w:p>
          <w:pPr>
            <w:pStyle w:val="TOC3"/>
            <w:tabs>
              <w:tab w:pos="8825" w:val="right" w:leader="dot"/>
            </w:tabs>
            <w:spacing w:line="240" w:lineRule="auto"/>
            <w:ind w:right="0"/>
            <w:jc w:val="left"/>
            <w:rPr>
              <w:rFonts w:ascii="Calibri" w:hAnsi="Calibri" w:cs="Calibri" w:eastAsia="Calibri" w:hint="default"/>
            </w:rPr>
          </w:pPr>
          <w:r>
            <w:rPr/>
            <w:t>（六）股权激励股份授予数量</w:t>
          </w:r>
          <w:r>
            <w:rPr>
              <w:rFonts w:ascii="Calibri" w:hAnsi="Calibri" w:cs="Calibri" w:eastAsia="Calibri" w:hint="default"/>
            </w:rPr>
            <w:tab/>
            <w:t>59</w:t>
          </w:r>
        </w:p>
        <w:p>
          <w:pPr>
            <w:pStyle w:val="TOC3"/>
            <w:tabs>
              <w:tab w:pos="8825" w:val="right" w:leader="dot"/>
            </w:tabs>
            <w:spacing w:line="240" w:lineRule="auto"/>
            <w:ind w:right="0"/>
            <w:jc w:val="left"/>
            <w:rPr>
              <w:rFonts w:ascii="Calibri" w:hAnsi="Calibri" w:cs="Calibri" w:eastAsia="Calibri" w:hint="default"/>
            </w:rPr>
          </w:pPr>
          <w:r>
            <w:rPr/>
            <w:t>（七）股票期权授予及行权情况</w:t>
          </w:r>
          <w:r>
            <w:rPr>
              <w:rFonts w:ascii="Calibri" w:hAnsi="Calibri" w:cs="Calibri" w:eastAsia="Calibri" w:hint="default"/>
            </w:rPr>
            <w:tab/>
            <w:t>59</w:t>
          </w:r>
        </w:p>
        <w:p>
          <w:pPr>
            <w:pStyle w:val="TOC3"/>
            <w:tabs>
              <w:tab w:pos="8825" w:val="right" w:leader="dot"/>
            </w:tabs>
            <w:spacing w:line="240" w:lineRule="auto"/>
            <w:ind w:right="0"/>
            <w:jc w:val="left"/>
            <w:rPr>
              <w:rFonts w:ascii="Calibri" w:hAnsi="Calibri" w:cs="Calibri" w:eastAsia="Calibri" w:hint="default"/>
            </w:rPr>
          </w:pPr>
          <w:r>
            <w:rPr/>
            <w:t>（八）股票期权行权价格及行权比例等的调整情况</w:t>
          </w:r>
          <w:r>
            <w:rPr>
              <w:rFonts w:ascii="Calibri" w:hAnsi="Calibri" w:cs="Calibri" w:eastAsia="Calibri" w:hint="default"/>
            </w:rPr>
            <w:tab/>
            <w:t>60</w:t>
          </w:r>
        </w:p>
        <w:p>
          <w:pPr>
            <w:pStyle w:val="TOC3"/>
            <w:tabs>
              <w:tab w:pos="8825" w:val="right" w:leader="dot"/>
            </w:tabs>
            <w:spacing w:line="240" w:lineRule="auto"/>
            <w:ind w:right="0"/>
            <w:jc w:val="left"/>
            <w:rPr>
              <w:rFonts w:ascii="Calibri" w:hAnsi="Calibri" w:cs="Calibri" w:eastAsia="Calibri" w:hint="default"/>
            </w:rPr>
          </w:pPr>
          <w:r>
            <w:rPr/>
            <w:t>（九）股票期权的授予对公司相关年度财务状况和经营成果的影响</w:t>
          </w:r>
          <w:r>
            <w:rPr>
              <w:rFonts w:ascii="Calibri" w:hAnsi="Calibri" w:cs="Calibri" w:eastAsia="Calibri" w:hint="default"/>
            </w:rPr>
            <w:tab/>
            <w:t>60</w:t>
          </w:r>
        </w:p>
        <w:p>
          <w:pPr>
            <w:pStyle w:val="TOC2"/>
            <w:tabs>
              <w:tab w:pos="8825" w:val="right" w:leader="dot"/>
            </w:tabs>
            <w:spacing w:line="240" w:lineRule="auto"/>
            <w:ind w:right="0"/>
            <w:jc w:val="left"/>
            <w:rPr>
              <w:rFonts w:ascii="Calibri" w:hAnsi="Calibri" w:cs="Calibri" w:eastAsia="Calibri" w:hint="default"/>
            </w:rPr>
          </w:pPr>
          <w:hyperlink w:history="true" w:anchor="_TOC_250050">
            <w:r>
              <w:rPr/>
              <w:t>五、重大关联交易事项</w:t>
            </w:r>
            <w:r>
              <w:rPr>
                <w:rFonts w:ascii="Calibri" w:hAnsi="Calibri" w:cs="Calibri" w:eastAsia="Calibri" w:hint="default"/>
              </w:rPr>
              <w:tab/>
              <w:t>61</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49">
            <w:r>
              <w:rPr/>
              <w:t>六、重大合同及履行情况</w:t>
            </w:r>
            <w:r>
              <w:rPr>
                <w:rFonts w:ascii="Calibri" w:hAnsi="Calibri" w:cs="Calibri" w:eastAsia="Calibri" w:hint="default"/>
              </w:rPr>
              <w:tab/>
              <w:t>61</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48">
            <w:r>
              <w:rPr/>
              <w:t>七、承诺事项履行情况</w:t>
            </w:r>
            <w:r>
              <w:rPr>
                <w:rFonts w:ascii="Calibri" w:hAnsi="Calibri" w:cs="Calibri" w:eastAsia="Calibri" w:hint="default"/>
              </w:rPr>
              <w:tab/>
              <w:t>61</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47">
            <w:r>
              <w:rPr/>
              <w:t>（一）实际控制人避免同业竞争和关联交易的承诺</w:t>
            </w:r>
            <w:r>
              <w:rPr>
                <w:rFonts w:ascii="Calibri" w:hAnsi="Calibri" w:cs="Calibri" w:eastAsia="Calibri" w:hint="default"/>
              </w:rPr>
              <w:tab/>
              <w:t>61</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46">
            <w:r>
              <w:rPr/>
              <w:t>（二）持股</w:t>
            </w:r>
            <w:r>
              <w:rPr>
                <w:spacing w:val="-54"/>
              </w:rPr>
              <w:t> </w:t>
            </w:r>
            <w:r>
              <w:rPr>
                <w:rFonts w:ascii="Times New Roman" w:hAnsi="Times New Roman" w:cs="Times New Roman" w:eastAsia="Times New Roman" w:hint="default"/>
              </w:rPr>
              <w:t>5%</w:t>
            </w:r>
            <w:r>
              <w:rPr/>
              <w:t>以上股东的限售承诺</w:t>
            </w:r>
            <w:r>
              <w:rPr>
                <w:rFonts w:ascii="Calibri" w:hAnsi="Calibri" w:cs="Calibri" w:eastAsia="Calibri" w:hint="default"/>
              </w:rPr>
              <w:tab/>
              <w:t>62</w:t>
            </w:r>
          </w:hyperlink>
        </w:p>
        <w:p>
          <w:pPr>
            <w:pStyle w:val="TOC3"/>
            <w:tabs>
              <w:tab w:pos="8822" w:val="right" w:leader="dot"/>
            </w:tabs>
            <w:spacing w:line="240" w:lineRule="auto" w:before="11"/>
            <w:ind w:right="0"/>
            <w:jc w:val="left"/>
            <w:rPr>
              <w:rFonts w:ascii="Calibri" w:hAnsi="Calibri" w:cs="Calibri" w:eastAsia="Calibri" w:hint="default"/>
            </w:rPr>
          </w:pPr>
          <w:hyperlink w:history="true" w:anchor="_TOC_250045">
            <w:r>
              <w:rPr/>
              <w:t>（三）高级管理人员承诺</w:t>
            </w:r>
            <w:r>
              <w:rPr>
                <w:rFonts w:ascii="Calibri" w:hAnsi="Calibri" w:cs="Calibri" w:eastAsia="Calibri" w:hint="default"/>
              </w:rPr>
              <w:tab/>
              <w:t>62</w:t>
            </w:r>
          </w:hyperlink>
        </w:p>
        <w:p>
          <w:pPr>
            <w:pStyle w:val="TOC3"/>
            <w:tabs>
              <w:tab w:pos="8822" w:val="right" w:leader="dot"/>
            </w:tabs>
            <w:spacing w:line="240" w:lineRule="auto"/>
            <w:ind w:right="0"/>
            <w:jc w:val="left"/>
            <w:rPr>
              <w:rFonts w:ascii="Calibri" w:hAnsi="Calibri" w:cs="Calibri" w:eastAsia="Calibri" w:hint="default"/>
            </w:rPr>
          </w:pPr>
          <w:hyperlink w:history="true" w:anchor="_TOC_250044">
            <w:r>
              <w:rPr/>
              <w:t>（四）支持股权激励的承诺</w:t>
            </w:r>
            <w:r>
              <w:rPr>
                <w:rFonts w:ascii="Calibri" w:hAnsi="Calibri" w:cs="Calibri" w:eastAsia="Calibri" w:hint="default"/>
              </w:rPr>
              <w:tab/>
              <w:t>62</w:t>
            </w:r>
          </w:hyperlink>
        </w:p>
        <w:p>
          <w:pPr>
            <w:pStyle w:val="TOC2"/>
            <w:tabs>
              <w:tab w:pos="8825" w:val="right" w:leader="dot"/>
            </w:tabs>
            <w:spacing w:line="240" w:lineRule="auto"/>
            <w:ind w:right="0"/>
            <w:jc w:val="left"/>
            <w:rPr>
              <w:rFonts w:ascii="Calibri" w:hAnsi="Calibri" w:cs="Calibri" w:eastAsia="Calibri" w:hint="default"/>
            </w:rPr>
          </w:pPr>
          <w:r>
            <w:rPr/>
            <w:t>八、报告期内，公司无证券投资情况。</w:t>
          </w:r>
          <w:r>
            <w:rPr>
              <w:rFonts w:ascii="Calibri" w:hAnsi="Calibri" w:cs="Calibri" w:eastAsia="Calibri" w:hint="default"/>
            </w:rPr>
            <w:tab/>
            <w:t>63</w:t>
          </w:r>
        </w:p>
        <w:p>
          <w:pPr>
            <w:pStyle w:val="TOC2"/>
            <w:tabs>
              <w:tab w:pos="8824" w:val="right" w:leader="dot"/>
            </w:tabs>
            <w:spacing w:line="240" w:lineRule="auto"/>
            <w:ind w:right="0"/>
            <w:jc w:val="left"/>
            <w:rPr>
              <w:rFonts w:ascii="Calibri" w:hAnsi="Calibri" w:cs="Calibri" w:eastAsia="Calibri" w:hint="default"/>
            </w:rPr>
          </w:pPr>
          <w:r>
            <w:rPr/>
            <w:t>九、报告期内，公司未发生对外担保事项。</w:t>
          </w:r>
          <w:r>
            <w:rPr>
              <w:rFonts w:ascii="Calibri" w:hAnsi="Calibri" w:cs="Calibri" w:eastAsia="Calibri" w:hint="default"/>
            </w:rPr>
            <w:tab/>
            <w:t>63</w:t>
          </w:r>
        </w:p>
        <w:p>
          <w:pPr>
            <w:pStyle w:val="TOC2"/>
            <w:tabs>
              <w:tab w:pos="8825" w:val="right" w:leader="dot"/>
            </w:tabs>
            <w:spacing w:line="240" w:lineRule="auto"/>
            <w:ind w:right="0"/>
            <w:jc w:val="left"/>
            <w:rPr>
              <w:rFonts w:ascii="Calibri" w:hAnsi="Calibri" w:cs="Calibri" w:eastAsia="Calibri" w:hint="default"/>
            </w:rPr>
          </w:pPr>
          <w:r>
            <w:rPr/>
            <w:t>十、报告期内，公司未委托他人进行现金资产管理。</w:t>
          </w:r>
          <w:r>
            <w:rPr>
              <w:rFonts w:ascii="Calibri" w:hAnsi="Calibri" w:cs="Calibri" w:eastAsia="Calibri" w:hint="default"/>
            </w:rPr>
            <w:tab/>
            <w:t>63</w:t>
          </w:r>
        </w:p>
        <w:p>
          <w:pPr>
            <w:pStyle w:val="TOC2"/>
            <w:tabs>
              <w:tab w:pos="8825" w:val="right" w:leader="dot"/>
            </w:tabs>
            <w:spacing w:line="240" w:lineRule="auto"/>
            <w:ind w:right="0"/>
            <w:jc w:val="left"/>
            <w:rPr>
              <w:rFonts w:ascii="Calibri" w:hAnsi="Calibri" w:cs="Calibri" w:eastAsia="Calibri" w:hint="default"/>
            </w:rPr>
          </w:pPr>
          <w:r>
            <w:rPr/>
            <w:t>十一、报告期内，公司关联方资金占用情况。</w:t>
          </w:r>
          <w:r>
            <w:rPr>
              <w:rFonts w:ascii="Calibri" w:hAnsi="Calibri" w:cs="Calibri" w:eastAsia="Calibri" w:hint="default"/>
            </w:rPr>
            <w:tab/>
            <w:t>63</w:t>
          </w:r>
        </w:p>
        <w:p>
          <w:pPr>
            <w:pStyle w:val="TOC2"/>
            <w:tabs>
              <w:tab w:pos="8825" w:val="right" w:leader="dot"/>
            </w:tabs>
            <w:spacing w:line="240" w:lineRule="auto"/>
            <w:ind w:right="0"/>
            <w:jc w:val="left"/>
            <w:rPr>
              <w:rFonts w:ascii="Calibri" w:hAnsi="Calibri" w:cs="Calibri" w:eastAsia="Calibri" w:hint="default"/>
            </w:rPr>
          </w:pPr>
          <w:hyperlink w:history="true" w:anchor="_TOC_250043">
            <w:r>
              <w:rPr/>
              <w:t>十二、报告期内的重大关联交易事项</w:t>
            </w:r>
            <w:r>
              <w:rPr>
                <w:rFonts w:ascii="Calibri" w:hAnsi="Calibri" w:cs="Calibri" w:eastAsia="Calibri" w:hint="default"/>
              </w:rPr>
              <w:tab/>
              <w:t>63</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42">
            <w:r>
              <w:rPr/>
              <w:t>十三、解聘、聘任会计师事务所情况及支付报酬情况</w:t>
            </w:r>
            <w:r>
              <w:rPr>
                <w:rFonts w:ascii="Calibri" w:hAnsi="Calibri" w:cs="Calibri" w:eastAsia="Calibri" w:hint="default"/>
              </w:rPr>
              <w:tab/>
              <w:t>63</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41">
            <w:r>
              <w:rPr/>
              <w:t>十四、受监管部门处罚、通报批评、公开谴责情况。</w:t>
            </w:r>
            <w:r>
              <w:rPr>
                <w:rFonts w:ascii="Calibri" w:hAnsi="Calibri" w:cs="Calibri" w:eastAsia="Calibri" w:hint="default"/>
              </w:rPr>
              <w:tab/>
              <w:t>63</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40">
            <w:r>
              <w:rPr/>
              <w:t>（一）整体情况</w:t>
            </w:r>
            <w:r>
              <w:rPr>
                <w:rFonts w:ascii="Calibri" w:hAnsi="Calibri" w:cs="Calibri" w:eastAsia="Calibri" w:hint="default"/>
              </w:rPr>
              <w:tab/>
              <w:t>63</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9">
            <w:r>
              <w:rPr/>
              <w:t>（二）被中国证监会及其派出机构提出整改意见的情况</w:t>
            </w:r>
            <w:r>
              <w:rPr>
                <w:rFonts w:ascii="Calibri" w:hAnsi="Calibri" w:cs="Calibri" w:eastAsia="Calibri" w:hint="default"/>
              </w:rPr>
              <w:tab/>
              <w:t>64</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38">
            <w:r>
              <w:rPr/>
              <w:t>十五、报告期内，公司发生的其他重大事件</w:t>
            </w:r>
            <w:r>
              <w:rPr>
                <w:rFonts w:ascii="Calibri" w:hAnsi="Calibri" w:cs="Calibri" w:eastAsia="Calibri" w:hint="default"/>
              </w:rPr>
              <w:tab/>
              <w:t>64</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7">
            <w:r>
              <w:rPr/>
              <w:t>（一）</w:t>
            </w:r>
            <w:r>
              <w:rPr>
                <w:rFonts w:ascii="Times New Roman" w:hAnsi="Times New Roman" w:cs="Times New Roman" w:eastAsia="Times New Roman" w:hint="default"/>
              </w:rPr>
              <w:t>1/3 </w:t>
            </w:r>
            <w:r>
              <w:rPr/>
              <w:t>以上监事变动行为情况</w:t>
            </w:r>
            <w:r>
              <w:rPr>
                <w:rFonts w:ascii="Calibri" w:hAnsi="Calibri" w:cs="Calibri" w:eastAsia="Calibri" w:hint="default"/>
              </w:rPr>
              <w:tab/>
              <w:t>64</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6">
            <w:r>
              <w:rPr/>
              <w:t>（二）董事会、监事会换届事宜</w:t>
            </w:r>
            <w:r>
              <w:rPr>
                <w:rFonts w:ascii="Calibri" w:hAnsi="Calibri" w:cs="Calibri" w:eastAsia="Calibri" w:hint="default"/>
              </w:rPr>
              <w:tab/>
              <w:t>64</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35">
            <w:r>
              <w:rPr/>
              <w:t>十六、其他事项</w:t>
            </w:r>
            <w:r>
              <w:rPr>
                <w:rFonts w:ascii="Calibri" w:hAnsi="Calibri" w:cs="Calibri" w:eastAsia="Calibri" w:hint="default"/>
              </w:rPr>
              <w:tab/>
              <w:t>64</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4">
            <w:r>
              <w:rPr/>
              <w:t>（一）公司内部审计机构的设置、人员安排和内部审计制度的执行情况</w:t>
            </w:r>
            <w:r>
              <w:rPr>
                <w:rFonts w:ascii="Calibri" w:hAnsi="Calibri" w:cs="Calibri" w:eastAsia="Calibri" w:hint="default"/>
              </w:rPr>
              <w:tab/>
              <w:t>64</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3">
            <w:r>
              <w:rPr/>
              <w:t>（二）信息披露媒体</w:t>
            </w:r>
            <w:r>
              <w:rPr>
                <w:rFonts w:ascii="Calibri" w:hAnsi="Calibri" w:cs="Calibri" w:eastAsia="Calibri" w:hint="default"/>
              </w:rPr>
              <w:tab/>
              <w:t>65</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2">
            <w:r>
              <w:rPr/>
              <w:t>（三）公司投资者关系管理</w:t>
            </w:r>
            <w:r>
              <w:rPr>
                <w:rFonts w:ascii="Calibri" w:hAnsi="Calibri" w:cs="Calibri" w:eastAsia="Calibri" w:hint="default"/>
              </w:rPr>
              <w:tab/>
              <w:t>65</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1">
            <w:r>
              <w:rPr/>
              <w:t>（一）</w:t>
            </w:r>
            <w:r>
              <w:rPr>
                <w:rFonts w:ascii="Times New Roman" w:hAnsi="Times New Roman" w:cs="Times New Roman" w:eastAsia="Times New Roman" w:hint="default"/>
              </w:rPr>
              <w:t>2010 </w:t>
            </w:r>
            <w:r>
              <w:rPr/>
              <w:t>年度报告业绩说明会</w:t>
            </w:r>
            <w:r>
              <w:rPr>
                <w:rFonts w:ascii="Calibri" w:hAnsi="Calibri" w:cs="Calibri" w:eastAsia="Calibri" w:hint="default"/>
              </w:rPr>
              <w:tab/>
              <w:t>65</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30">
            <w:r>
              <w:rPr/>
              <w:t>（二）接待实地调研</w:t>
            </w:r>
            <w:r>
              <w:rPr>
                <w:rFonts w:ascii="Calibri" w:hAnsi="Calibri" w:cs="Calibri" w:eastAsia="Calibri" w:hint="default"/>
              </w:rPr>
              <w:tab/>
              <w:t>65</w:t>
            </w:r>
          </w:hyperlink>
        </w:p>
        <w:p>
          <w:pPr>
            <w:pStyle w:val="TOC3"/>
            <w:tabs>
              <w:tab w:pos="8825" w:val="right" w:leader="dot"/>
            </w:tabs>
            <w:spacing w:line="240" w:lineRule="auto"/>
            <w:ind w:right="0"/>
            <w:jc w:val="left"/>
            <w:rPr>
              <w:rFonts w:ascii="Calibri" w:hAnsi="Calibri" w:cs="Calibri" w:eastAsia="Calibri" w:hint="default"/>
            </w:rPr>
          </w:pPr>
          <w:hyperlink w:history="true" w:anchor="_TOC_250029">
            <w:r>
              <w:rPr/>
              <w:t>（四）报告期内公司公告索引</w:t>
            </w:r>
            <w:r>
              <w:rPr>
                <w:rFonts w:ascii="Calibri" w:hAnsi="Calibri" w:cs="Calibri" w:eastAsia="Calibri" w:hint="default"/>
              </w:rPr>
              <w:tab/>
              <w:t>66</w:t>
            </w:r>
          </w:hyperlink>
        </w:p>
        <w:p>
          <w:pPr>
            <w:pStyle w:val="TOC1"/>
            <w:tabs>
              <w:tab w:pos="1001" w:val="left" w:leader="none"/>
              <w:tab w:pos="8825" w:val="right" w:leader="dot"/>
            </w:tabs>
            <w:spacing w:line="240" w:lineRule="auto" w:before="11"/>
            <w:ind w:right="0"/>
            <w:jc w:val="left"/>
            <w:rPr>
              <w:rFonts w:ascii="Calibri" w:hAnsi="Calibri" w:cs="Calibri" w:eastAsia="Calibri" w:hint="default"/>
            </w:rPr>
          </w:pPr>
          <w:hyperlink w:history="true" w:anchor="_TOC_250028">
            <w:r>
              <w:rPr/>
              <w:t>第六节</w:t>
              <w:tab/>
              <w:t>股本变动及股本情况</w:t>
            </w:r>
            <w:r>
              <w:rPr>
                <w:rFonts w:ascii="Calibri" w:hAnsi="Calibri" w:cs="Calibri" w:eastAsia="Calibri" w:hint="default"/>
              </w:rPr>
              <w:tab/>
              <w:t>68</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27">
            <w:r>
              <w:rPr/>
              <w:t>一、股份情况变动情况</w:t>
            </w:r>
            <w:r>
              <w:rPr>
                <w:rFonts w:ascii="Calibri" w:hAnsi="Calibri" w:cs="Calibri" w:eastAsia="Calibri" w:hint="default"/>
              </w:rPr>
              <w:tab/>
              <w:t>68</w:t>
            </w:r>
          </w:hyperlink>
        </w:p>
        <w:p>
          <w:pPr>
            <w:pStyle w:val="TOC2"/>
            <w:spacing w:line="240" w:lineRule="auto"/>
            <w:ind w:right="0"/>
            <w:jc w:val="left"/>
            <w:rPr>
              <w:rFonts w:ascii="Calibri" w:hAnsi="Calibri" w:cs="Calibri" w:eastAsia="Calibri" w:hint="default"/>
            </w:rPr>
          </w:pPr>
          <w:r>
            <w:rPr/>
            <w:t>二、公司前</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名股东和前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名无限售条件股东情况介绍（截至</w:t>
          </w:r>
          <w:r>
            <w:rPr>
              <w:spacing w:val="-53"/>
            </w:rPr>
            <w:t> </w:t>
          </w:r>
          <w:r>
            <w:rPr>
              <w:rFonts w:ascii="Times New Roman" w:hAnsi="Times New Roman" w:cs="Times New Roman" w:eastAsia="Times New Roman" w:hint="default"/>
              <w:spacing w:val="-3"/>
            </w:rPr>
            <w:t>2011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spacing w:val="-57"/>
            </w:rPr>
            <w:t> </w:t>
          </w:r>
          <w:r>
            <w:rPr>
              <w:rFonts w:ascii="Calibri" w:hAnsi="Calibri" w:cs="Calibri" w:eastAsia="Calibri" w:hint="default"/>
            </w:rPr>
            <w:t>..</w:t>
          </w:r>
          <w:r>
            <w:rPr>
              <w:rFonts w:ascii="Calibri" w:hAnsi="Calibri" w:cs="Calibri" w:eastAsia="Calibri" w:hint="default"/>
              <w:spacing w:val="-20"/>
            </w:rPr>
            <w:t> </w:t>
          </w:r>
          <w:r>
            <w:rPr>
              <w:rFonts w:ascii="Calibri" w:hAnsi="Calibri" w:cs="Calibri" w:eastAsia="Calibri" w:hint="default"/>
              <w:spacing w:val="-4"/>
            </w:rPr>
            <w:t>70</w:t>
          </w:r>
          <w:r>
            <w:rPr>
              <w:rFonts w:ascii="Calibri" w:hAnsi="Calibri" w:cs="Calibri" w:eastAsia="Calibri" w:hint="default"/>
            </w:rPr>
          </w:r>
        </w:p>
        <w:p>
          <w:pPr>
            <w:pStyle w:val="TOC2"/>
            <w:tabs>
              <w:tab w:pos="8827" w:val="right" w:leader="dot"/>
            </w:tabs>
            <w:spacing w:line="240" w:lineRule="auto"/>
            <w:ind w:right="0"/>
            <w:jc w:val="left"/>
            <w:rPr>
              <w:rFonts w:ascii="Calibri" w:hAnsi="Calibri" w:cs="Calibri" w:eastAsia="Calibri" w:hint="default"/>
            </w:rPr>
          </w:pPr>
          <w:hyperlink w:history="true" w:anchor="_TOC_250026">
            <w:r>
              <w:rPr/>
              <w:t>三、证券发行与上市情况</w:t>
            </w:r>
            <w:r>
              <w:rPr>
                <w:rFonts w:ascii="Calibri" w:hAnsi="Calibri" w:cs="Calibri" w:eastAsia="Calibri" w:hint="default"/>
              </w:rPr>
              <w:tab/>
              <w:t>71</w:t>
            </w:r>
          </w:hyperlink>
        </w:p>
        <w:p>
          <w:pPr>
            <w:pStyle w:val="TOC2"/>
            <w:tabs>
              <w:tab w:pos="8827" w:val="right" w:leader="dot"/>
            </w:tabs>
            <w:spacing w:line="240" w:lineRule="auto"/>
            <w:ind w:right="0"/>
            <w:jc w:val="left"/>
            <w:rPr>
              <w:rFonts w:ascii="Calibri" w:hAnsi="Calibri" w:cs="Calibri" w:eastAsia="Calibri" w:hint="default"/>
            </w:rPr>
          </w:pPr>
          <w:hyperlink w:history="true" w:anchor="_TOC_250025">
            <w:r>
              <w:rPr/>
              <w:t>四、控股股东及实际控制人情况介绍</w:t>
            </w:r>
            <w:r>
              <w:rPr>
                <w:rFonts w:ascii="Calibri" w:hAnsi="Calibri" w:cs="Calibri" w:eastAsia="Calibri" w:hint="default"/>
              </w:rPr>
              <w:tab/>
              <w:t>71</w:t>
            </w:r>
          </w:hyperlink>
        </w:p>
        <w:p>
          <w:pPr>
            <w:pStyle w:val="TOC1"/>
            <w:tabs>
              <w:tab w:pos="982" w:val="left" w:leader="none"/>
              <w:tab w:pos="8820" w:val="right" w:leader="dot"/>
            </w:tabs>
            <w:spacing w:line="240" w:lineRule="auto"/>
            <w:ind w:right="0"/>
            <w:jc w:val="left"/>
            <w:rPr>
              <w:rFonts w:ascii="Calibri" w:hAnsi="Calibri" w:cs="Calibri" w:eastAsia="Calibri" w:hint="default"/>
            </w:rPr>
          </w:pPr>
          <w:hyperlink w:history="true" w:anchor="_TOC_250024">
            <w:r>
              <w:rPr/>
              <w:t>第七节</w:t>
              <w:tab/>
              <w:t>董事、监事和高级管理人员的情况</w:t>
            </w:r>
            <w:r>
              <w:rPr>
                <w:rFonts w:ascii="Calibri" w:hAnsi="Calibri" w:cs="Calibri" w:eastAsia="Calibri" w:hint="default"/>
              </w:rPr>
              <w:tab/>
            </w:r>
            <w:r>
              <w:rPr>
                <w:rFonts w:ascii="Calibri" w:hAnsi="Calibri" w:cs="Calibri" w:eastAsia="Calibri" w:hint="default"/>
                <w:spacing w:val="-4"/>
              </w:rPr>
              <w:t>72</w:t>
            </w:r>
            <w:r>
              <w:rPr>
                <w:rFonts w:ascii="Calibri" w:hAnsi="Calibri" w:cs="Calibri" w:eastAsia="Calibri" w:hint="default"/>
              </w:rPr>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23">
            <w:r>
              <w:rPr/>
              <w:t>一、董事、监事和高级管理人员持股变动及报酬情况</w:t>
            </w:r>
            <w:r>
              <w:rPr>
                <w:rFonts w:ascii="Calibri" w:hAnsi="Calibri" w:cs="Calibri" w:eastAsia="Calibri" w:hint="default"/>
              </w:rPr>
              <w:tab/>
            </w:r>
            <w:r>
              <w:rPr>
                <w:rFonts w:ascii="Calibri" w:hAnsi="Calibri" w:cs="Calibri" w:eastAsia="Calibri" w:hint="default"/>
                <w:spacing w:val="-4"/>
              </w:rPr>
              <w:t>72</w:t>
            </w:r>
            <w:r>
              <w:rPr>
                <w:rFonts w:ascii="Calibri" w:hAnsi="Calibri" w:cs="Calibri" w:eastAsia="Calibri" w:hint="default"/>
              </w:rPr>
            </w:r>
          </w:hyperlink>
        </w:p>
        <w:p>
          <w:pPr>
            <w:pStyle w:val="TOC2"/>
            <w:tabs>
              <w:tab w:pos="8822" w:val="right" w:leader="dot"/>
            </w:tabs>
            <w:spacing w:line="240" w:lineRule="auto"/>
            <w:ind w:right="0"/>
            <w:jc w:val="left"/>
            <w:rPr>
              <w:rFonts w:ascii="Calibri" w:hAnsi="Calibri" w:cs="Calibri" w:eastAsia="Calibri" w:hint="default"/>
            </w:rPr>
          </w:pPr>
          <w:hyperlink w:history="true" w:anchor="_TOC_250022">
            <w:r>
              <w:rPr/>
              <w:t>二、董事、监事、高级管理人员报告期内被授予的股权激励情况</w:t>
            </w:r>
            <w:r>
              <w:rPr>
                <w:rFonts w:ascii="Calibri" w:hAnsi="Calibri" w:cs="Calibri" w:eastAsia="Calibri" w:hint="default"/>
              </w:rPr>
              <w:tab/>
              <w:t>73</w:t>
            </w:r>
          </w:hyperlink>
        </w:p>
        <w:p>
          <w:pPr>
            <w:pStyle w:val="TOC2"/>
            <w:spacing w:line="240" w:lineRule="auto"/>
            <w:ind w:right="0"/>
            <w:jc w:val="left"/>
          </w:pPr>
          <w:r>
            <w:rPr/>
            <w:t>三、董事、监事、高级管理人员最近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年的主要工作经历和在除股东单位外的其他单位的</w:t>
          </w:r>
        </w:p>
        <w:p>
          <w:pPr>
            <w:pStyle w:val="TOC2"/>
            <w:tabs>
              <w:tab w:pos="8820" w:val="right" w:leader="dot"/>
            </w:tabs>
            <w:spacing w:line="240" w:lineRule="auto" w:before="21"/>
            <w:ind w:right="0"/>
            <w:jc w:val="left"/>
            <w:rPr>
              <w:rFonts w:ascii="Calibri" w:hAnsi="Calibri" w:cs="Calibri" w:eastAsia="Calibri" w:hint="default"/>
            </w:rPr>
          </w:pPr>
          <w:r>
            <w:rPr/>
            <w:t>任职或兼职情况</w:t>
          </w:r>
          <w:r>
            <w:rPr>
              <w:rFonts w:ascii="Calibri" w:hAnsi="Calibri" w:cs="Calibri" w:eastAsia="Calibri" w:hint="default"/>
            </w:rPr>
            <w:tab/>
          </w:r>
          <w:r>
            <w:rPr>
              <w:rFonts w:ascii="Calibri" w:hAnsi="Calibri" w:cs="Calibri" w:eastAsia="Calibri" w:hint="default"/>
              <w:spacing w:val="-4"/>
            </w:rPr>
            <w:t>74</w:t>
          </w:r>
          <w:r>
            <w:rPr>
              <w:rFonts w:ascii="Calibri" w:hAnsi="Calibri" w:cs="Calibri" w:eastAsia="Calibri" w:hint="default"/>
            </w:rPr>
          </w:r>
        </w:p>
        <w:p>
          <w:pPr>
            <w:pStyle w:val="TOC2"/>
            <w:tabs>
              <w:tab w:pos="8825" w:val="right" w:leader="dot"/>
            </w:tabs>
            <w:spacing w:line="240" w:lineRule="auto"/>
            <w:ind w:right="0"/>
            <w:jc w:val="left"/>
            <w:rPr>
              <w:rFonts w:ascii="Calibri" w:hAnsi="Calibri" w:cs="Calibri" w:eastAsia="Calibri" w:hint="default"/>
            </w:rPr>
          </w:pPr>
          <w:hyperlink w:history="true" w:anchor="_TOC_250021">
            <w:r>
              <w:rPr/>
              <w:t>三、报告期内，董事、监事、高管变动情况</w:t>
            </w:r>
            <w:r>
              <w:rPr>
                <w:rFonts w:ascii="Calibri" w:hAnsi="Calibri" w:cs="Calibri" w:eastAsia="Calibri" w:hint="default"/>
              </w:rPr>
              <w:tab/>
              <w:t>77</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20">
            <w:r>
              <w:rPr/>
              <w:t>四、报告期内公司核心技术团队和关键技术人员变动情况</w:t>
            </w:r>
            <w:r>
              <w:rPr>
                <w:rFonts w:ascii="Calibri" w:hAnsi="Calibri" w:cs="Calibri" w:eastAsia="Calibri" w:hint="default"/>
              </w:rPr>
              <w:tab/>
              <w:t>77</w:t>
            </w:r>
          </w:hyperlink>
        </w:p>
        <w:p>
          <w:pPr>
            <w:pStyle w:val="TOC2"/>
            <w:tabs>
              <w:tab w:pos="8825" w:val="right" w:leader="dot"/>
            </w:tabs>
            <w:spacing w:line="240" w:lineRule="auto" w:before="268"/>
            <w:ind w:right="0"/>
            <w:jc w:val="left"/>
            <w:rPr>
              <w:rFonts w:ascii="Calibri" w:hAnsi="Calibri" w:cs="Calibri" w:eastAsia="Calibri" w:hint="default"/>
            </w:rPr>
          </w:pPr>
          <w:hyperlink w:history="true" w:anchor="_TOC_250019">
            <w:r>
              <w:rPr/>
              <w:t>五、员工情况</w:t>
            </w:r>
            <w:r>
              <w:rPr>
                <w:rFonts w:ascii="Calibri" w:hAnsi="Calibri" w:cs="Calibri" w:eastAsia="Calibri" w:hint="default"/>
              </w:rPr>
              <w:tab/>
              <w:t>77</w:t>
            </w:r>
          </w:hyperlink>
        </w:p>
        <w:p>
          <w:pPr>
            <w:pStyle w:val="TOC1"/>
            <w:tabs>
              <w:tab w:pos="982" w:val="left" w:leader="none"/>
              <w:tab w:pos="8825" w:val="right" w:leader="dot"/>
            </w:tabs>
            <w:spacing w:line="240" w:lineRule="auto"/>
            <w:ind w:right="0"/>
            <w:jc w:val="left"/>
            <w:rPr>
              <w:rFonts w:ascii="Calibri" w:hAnsi="Calibri" w:cs="Calibri" w:eastAsia="Calibri" w:hint="default"/>
            </w:rPr>
          </w:pPr>
          <w:hyperlink w:history="true" w:anchor="_TOC_250018">
            <w:r>
              <w:rPr/>
              <w:t>第八节</w:t>
              <w:tab/>
              <w:t>公司治理结构</w:t>
            </w:r>
            <w:r>
              <w:rPr>
                <w:rFonts w:ascii="Calibri" w:hAnsi="Calibri" w:cs="Calibri" w:eastAsia="Calibri" w:hint="default"/>
              </w:rPr>
              <w:tab/>
              <w:t>79</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7">
            <w:r>
              <w:rPr/>
              <w:t>一、公司治理情况</w:t>
            </w:r>
            <w:r>
              <w:rPr>
                <w:rFonts w:ascii="Calibri" w:hAnsi="Calibri" w:cs="Calibri" w:eastAsia="Calibri" w:hint="default"/>
              </w:rPr>
              <w:tab/>
              <w:t>79</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6">
            <w:r>
              <w:rPr/>
              <w:t>二、报告期内股东大会、董事运作情况</w:t>
            </w:r>
            <w:r>
              <w:rPr>
                <w:rFonts w:ascii="Calibri" w:hAnsi="Calibri" w:cs="Calibri" w:eastAsia="Calibri" w:hint="default"/>
              </w:rPr>
              <w:tab/>
              <w:t>80</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5">
            <w:r>
              <w:rPr/>
              <w:t>三、公司董事会下设委员会工作情况</w:t>
            </w:r>
            <w:r>
              <w:rPr>
                <w:rFonts w:ascii="Calibri" w:hAnsi="Calibri" w:cs="Calibri" w:eastAsia="Calibri" w:hint="default"/>
              </w:rPr>
              <w:tab/>
              <w:t>83</w:t>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14">
            <w:r>
              <w:rPr/>
              <w:t>四、独立董事履行职责情况</w:t>
            </w:r>
            <w:r>
              <w:rPr>
                <w:rFonts w:ascii="Calibri" w:hAnsi="Calibri" w:cs="Calibri" w:eastAsia="Calibri" w:hint="default"/>
              </w:rPr>
              <w:tab/>
            </w:r>
            <w:r>
              <w:rPr>
                <w:rFonts w:ascii="Calibri" w:hAnsi="Calibri" w:cs="Calibri" w:eastAsia="Calibri" w:hint="default"/>
                <w:spacing w:val="-4"/>
              </w:rPr>
              <w:t>87</w:t>
            </w:r>
            <w:r>
              <w:rPr>
                <w:rFonts w:ascii="Calibri" w:hAnsi="Calibri" w:cs="Calibri" w:eastAsia="Calibri" w:hint="default"/>
              </w:rPr>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3">
            <w:r>
              <w:rPr/>
              <w:t>五、公司独立性情况</w:t>
            </w:r>
            <w:r>
              <w:rPr>
                <w:rFonts w:ascii="Calibri" w:hAnsi="Calibri" w:cs="Calibri" w:eastAsia="Calibri" w:hint="default"/>
              </w:rPr>
              <w:tab/>
              <w:t>88</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2">
            <w:r>
              <w:rPr/>
              <w:t>六、公司内部控制制度的建立健全情况</w:t>
            </w:r>
            <w:r>
              <w:rPr>
                <w:rFonts w:ascii="Calibri" w:hAnsi="Calibri" w:cs="Calibri" w:eastAsia="Calibri" w:hint="default"/>
              </w:rPr>
              <w:tab/>
              <w:t>90</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11">
            <w:r>
              <w:rPr/>
              <w:t>七、同业竞争以及关联交易情况</w:t>
            </w:r>
            <w:r>
              <w:rPr>
                <w:rFonts w:ascii="Calibri" w:hAnsi="Calibri" w:cs="Calibri" w:eastAsia="Calibri" w:hint="default"/>
              </w:rPr>
              <w:tab/>
              <w:t>95</w:t>
            </w:r>
          </w:hyperlink>
        </w:p>
        <w:p>
          <w:pPr>
            <w:pStyle w:val="TOC1"/>
            <w:tabs>
              <w:tab w:pos="982" w:val="left" w:leader="none"/>
              <w:tab w:pos="8825" w:val="right" w:leader="dot"/>
            </w:tabs>
            <w:spacing w:line="240" w:lineRule="auto"/>
            <w:ind w:right="0"/>
            <w:jc w:val="left"/>
            <w:rPr>
              <w:rFonts w:ascii="Calibri" w:hAnsi="Calibri" w:cs="Calibri" w:eastAsia="Calibri" w:hint="default"/>
            </w:rPr>
          </w:pPr>
          <w:hyperlink w:history="true" w:anchor="_TOC_250010">
            <w:r>
              <w:rPr/>
              <w:t>第九节</w:t>
              <w:tab/>
              <w:t>监事会报告</w:t>
            </w:r>
            <w:r>
              <w:rPr>
                <w:rFonts w:ascii="Calibri" w:hAnsi="Calibri" w:cs="Calibri" w:eastAsia="Calibri" w:hint="default"/>
              </w:rPr>
              <w:tab/>
              <w:t>96</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09">
            <w:r>
              <w:rPr/>
              <w:t>一、报告期内监事会的工作情况</w:t>
            </w:r>
            <w:r>
              <w:rPr>
                <w:rFonts w:ascii="Calibri" w:hAnsi="Calibri" w:cs="Calibri" w:eastAsia="Calibri" w:hint="default"/>
              </w:rPr>
              <w:tab/>
              <w:t>96</w:t>
            </w:r>
          </w:hyperlink>
        </w:p>
        <w:p>
          <w:pPr>
            <w:pStyle w:val="TOC2"/>
            <w:tabs>
              <w:tab w:pos="8825" w:val="right" w:leader="dot"/>
            </w:tabs>
            <w:spacing w:line="240" w:lineRule="auto" w:before="11"/>
            <w:ind w:right="0"/>
            <w:jc w:val="left"/>
            <w:rPr>
              <w:rFonts w:ascii="Calibri" w:hAnsi="Calibri" w:cs="Calibri" w:eastAsia="Calibri" w:hint="default"/>
            </w:rPr>
          </w:pPr>
          <w:hyperlink w:history="true" w:anchor="_TOC_250008">
            <w:r>
              <w:rPr/>
              <w:t>二、监事会对公司报告期内有关事项的独立意见</w:t>
            </w:r>
            <w:r>
              <w:rPr>
                <w:rFonts w:ascii="Calibri" w:hAnsi="Calibri" w:cs="Calibri" w:eastAsia="Calibri" w:hint="default"/>
              </w:rPr>
              <w:tab/>
              <w:t>96</w:t>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07">
            <w:r>
              <w:rPr/>
              <w:t>（一）公司依法运作情况</w:t>
            </w:r>
            <w:r>
              <w:rPr>
                <w:rFonts w:ascii="Calibri" w:hAnsi="Calibri" w:cs="Calibri" w:eastAsia="Calibri" w:hint="default"/>
              </w:rPr>
              <w:tab/>
            </w:r>
            <w:r>
              <w:rPr>
                <w:rFonts w:ascii="Calibri" w:hAnsi="Calibri" w:cs="Calibri" w:eastAsia="Calibri" w:hint="default"/>
                <w:spacing w:val="-4"/>
              </w:rPr>
              <w:t>97</w:t>
            </w:r>
            <w:r>
              <w:rPr>
                <w:rFonts w:ascii="Calibri" w:hAnsi="Calibri" w:cs="Calibri" w:eastAsia="Calibri" w:hint="default"/>
              </w:rPr>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06">
            <w:r>
              <w:rPr/>
              <w:t>（二）公司财务情况</w:t>
            </w:r>
            <w:r>
              <w:rPr>
                <w:rFonts w:ascii="Calibri" w:hAnsi="Calibri" w:cs="Calibri" w:eastAsia="Calibri" w:hint="default"/>
              </w:rPr>
              <w:tab/>
            </w:r>
            <w:r>
              <w:rPr>
                <w:rFonts w:ascii="Calibri" w:hAnsi="Calibri" w:cs="Calibri" w:eastAsia="Calibri" w:hint="default"/>
                <w:spacing w:val="-4"/>
              </w:rPr>
              <w:t>97</w:t>
            </w:r>
            <w:r>
              <w:rPr>
                <w:rFonts w:ascii="Calibri" w:hAnsi="Calibri" w:cs="Calibri" w:eastAsia="Calibri" w:hint="default"/>
              </w:rPr>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05">
            <w:r>
              <w:rPr/>
              <w:t>（三）公司关联交易、对外担保及实际控制人和大股东占用资金情况</w:t>
            </w:r>
            <w:r>
              <w:rPr>
                <w:rFonts w:ascii="Calibri" w:hAnsi="Calibri" w:cs="Calibri" w:eastAsia="Calibri" w:hint="default"/>
              </w:rPr>
              <w:tab/>
            </w:r>
            <w:r>
              <w:rPr>
                <w:rFonts w:ascii="Calibri" w:hAnsi="Calibri" w:cs="Calibri" w:eastAsia="Calibri" w:hint="default"/>
                <w:spacing w:val="-4"/>
              </w:rPr>
              <w:t>97</w:t>
            </w:r>
            <w:r>
              <w:rPr>
                <w:rFonts w:ascii="Calibri" w:hAnsi="Calibri" w:cs="Calibri" w:eastAsia="Calibri" w:hint="default"/>
              </w:rPr>
            </w:r>
          </w:hyperlink>
        </w:p>
        <w:p>
          <w:pPr>
            <w:pStyle w:val="TOC2"/>
            <w:tabs>
              <w:tab w:pos="8820" w:val="right" w:leader="dot"/>
            </w:tabs>
            <w:spacing w:line="240" w:lineRule="auto"/>
            <w:ind w:right="0"/>
            <w:jc w:val="left"/>
            <w:rPr>
              <w:rFonts w:ascii="Calibri" w:hAnsi="Calibri" w:cs="Calibri" w:eastAsia="Calibri" w:hint="default"/>
            </w:rPr>
          </w:pPr>
          <w:hyperlink w:history="true" w:anchor="_TOC_250004">
            <w:r>
              <w:rPr/>
              <w:t>（四）公司募集资金使用和管理情况</w:t>
            </w:r>
            <w:r>
              <w:rPr>
                <w:rFonts w:ascii="Calibri" w:hAnsi="Calibri" w:cs="Calibri" w:eastAsia="Calibri" w:hint="default"/>
              </w:rPr>
              <w:tab/>
            </w:r>
            <w:r>
              <w:rPr>
                <w:rFonts w:ascii="Calibri" w:hAnsi="Calibri" w:cs="Calibri" w:eastAsia="Calibri" w:hint="default"/>
                <w:spacing w:val="-4"/>
              </w:rPr>
              <w:t>97</w:t>
            </w:r>
            <w:r>
              <w:rPr>
                <w:rFonts w:ascii="Calibri" w:hAnsi="Calibri" w:cs="Calibri" w:eastAsia="Calibri" w:hint="default"/>
              </w:rPr>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03">
            <w:r>
              <w:rPr/>
              <w:t>（五）公司内控建设情况</w:t>
            </w:r>
            <w:r>
              <w:rPr>
                <w:rFonts w:ascii="Calibri" w:hAnsi="Calibri" w:cs="Calibri" w:eastAsia="Calibri" w:hint="default"/>
              </w:rPr>
              <w:tab/>
              <w:t>98</w:t>
            </w:r>
          </w:hyperlink>
        </w:p>
        <w:p>
          <w:pPr>
            <w:pStyle w:val="TOC2"/>
            <w:tabs>
              <w:tab w:pos="8825" w:val="right" w:leader="dot"/>
            </w:tabs>
            <w:spacing w:line="240" w:lineRule="auto"/>
            <w:ind w:right="0"/>
            <w:jc w:val="left"/>
            <w:rPr>
              <w:rFonts w:ascii="Calibri" w:hAnsi="Calibri" w:cs="Calibri" w:eastAsia="Calibri" w:hint="default"/>
            </w:rPr>
          </w:pPr>
          <w:hyperlink w:history="true" w:anchor="_TOC_250002">
            <w:r>
              <w:rPr/>
              <w:t>（六）公司股权激励情况</w:t>
            </w:r>
            <w:r>
              <w:rPr>
                <w:rFonts w:ascii="Calibri" w:hAnsi="Calibri" w:cs="Calibri" w:eastAsia="Calibri" w:hint="default"/>
              </w:rPr>
              <w:tab/>
              <w:t>98</w:t>
            </w:r>
          </w:hyperlink>
        </w:p>
        <w:p>
          <w:pPr>
            <w:pStyle w:val="TOC1"/>
            <w:tabs>
              <w:tab w:pos="982" w:val="left" w:leader="none"/>
              <w:tab w:pos="8825" w:val="right" w:leader="dot"/>
            </w:tabs>
            <w:spacing w:line="240" w:lineRule="auto"/>
            <w:ind w:right="0"/>
            <w:jc w:val="left"/>
            <w:rPr>
              <w:rFonts w:ascii="Calibri" w:hAnsi="Calibri" w:cs="Calibri" w:eastAsia="Calibri" w:hint="default"/>
            </w:rPr>
          </w:pPr>
          <w:hyperlink w:history="true" w:anchor="_TOC_250001">
            <w:r>
              <w:rPr/>
              <w:t>第十节</w:t>
              <w:tab/>
              <w:t>财务报告</w:t>
            </w:r>
            <w:r>
              <w:rPr>
                <w:rFonts w:ascii="Calibri" w:hAnsi="Calibri" w:cs="Calibri" w:eastAsia="Calibri" w:hint="default"/>
              </w:rPr>
              <w:tab/>
              <w:t>99</w:t>
            </w:r>
          </w:hyperlink>
        </w:p>
        <w:p>
          <w:pPr>
            <w:pStyle w:val="TOC1"/>
            <w:tabs>
              <w:tab w:pos="1191" w:val="left" w:leader="none"/>
              <w:tab w:pos="8823" w:val="right" w:leader="dot"/>
            </w:tabs>
            <w:spacing w:line="240" w:lineRule="auto"/>
            <w:ind w:right="0"/>
            <w:jc w:val="left"/>
            <w:rPr>
              <w:rFonts w:ascii="Calibri" w:hAnsi="Calibri" w:cs="Calibri" w:eastAsia="Calibri" w:hint="default"/>
            </w:rPr>
          </w:pPr>
          <w:hyperlink w:history="true" w:anchor="_TOC_250000">
            <w:r>
              <w:rPr>
                <w:spacing w:val="-1"/>
              </w:rPr>
              <w:t>第十一节</w:t>
              <w:tab/>
              <w:t>备查文件目录</w:t>
            </w:r>
            <w:r>
              <w:rPr>
                <w:rFonts w:ascii="Calibri" w:hAnsi="Calibri" w:cs="Calibri" w:eastAsia="Calibri" w:hint="default"/>
                <w:spacing w:val="-1"/>
              </w:rPr>
              <w:tab/>
              <w:t>177</w:t>
            </w:r>
          </w:hyperlink>
        </w:p>
      </w:sdtContent>
    </w:sdt>
    <w:p>
      <w:pPr>
        <w:spacing w:after="0" w:line="240" w:lineRule="auto"/>
        <w:jc w:val="left"/>
        <w:rPr>
          <w:rFonts w:ascii="Calibri" w:hAnsi="Calibri" w:cs="Calibri" w:eastAsia="Calibri" w:hint="default"/>
        </w:rPr>
        <w:sectPr>
          <w:type w:val="continuous"/>
          <w:pgSz w:w="11910" w:h="16840"/>
          <w:pgMar w:top="1407" w:bottom="1670" w:left="1660" w:right="1260"/>
        </w:sectPr>
      </w:pPr>
    </w:p>
    <w:p>
      <w:pPr>
        <w:spacing w:after="0" w:line="240" w:lineRule="auto"/>
        <w:jc w:val="left"/>
        <w:rPr>
          <w:rFonts w:ascii="Calibri" w:hAnsi="Calibri" w:cs="Calibri" w:eastAsia="Calibri" w:hint="default"/>
        </w:rPr>
        <w:sectPr>
          <w:type w:val="continuous"/>
          <w:pgSz w:w="11910" w:h="16840"/>
          <w:pgMar w:top="1140" w:bottom="1200" w:left="1660" w:right="1260"/>
        </w:sectPr>
      </w:pPr>
    </w:p>
    <w:p>
      <w:pPr>
        <w:spacing w:line="240" w:lineRule="auto" w:before="8"/>
        <w:rPr>
          <w:rFonts w:ascii="Calibri" w:hAnsi="Calibri" w:cs="Calibri" w:eastAsia="Calibri" w:hint="default"/>
          <w:sz w:val="52"/>
          <w:szCs w:val="52"/>
        </w:rPr>
      </w:pPr>
    </w:p>
    <w:p>
      <w:pPr>
        <w:pStyle w:val="Heading1"/>
        <w:spacing w:line="240" w:lineRule="auto"/>
        <w:ind w:left="220" w:right="3146"/>
        <w:jc w:val="left"/>
        <w:rPr>
          <w:b w:val="0"/>
          <w:bCs w:val="0"/>
        </w:rPr>
      </w:pPr>
      <w:bookmarkStart w:name="_TOC_250086" w:id="2"/>
      <w:r>
        <w:rPr>
          <w:spacing w:val="3"/>
        </w:rPr>
        <w:t>第二节</w:t>
      </w:r>
      <w:r>
        <w:rPr>
          <w:spacing w:val="-7"/>
        </w:rPr>
        <w:t> </w:t>
      </w:r>
      <w:r>
        <w:rPr>
          <w:spacing w:val="4"/>
        </w:rPr>
        <w:t>公司基本情况简介</w:t>
      </w:r>
      <w:bookmarkEnd w:id="2"/>
      <w:r>
        <w:rPr>
          <w:b w:val="0"/>
          <w:bCs w:val="0"/>
          <w:spacing w:val="4"/>
        </w:rPr>
      </w:r>
    </w:p>
    <w:p>
      <w:pPr>
        <w:spacing w:line="240" w:lineRule="auto" w:before="2"/>
        <w:rPr>
          <w:rFonts w:ascii="宋体" w:hAnsi="宋体" w:cs="宋体" w:eastAsia="宋体" w:hint="default"/>
          <w:b/>
          <w:bCs/>
          <w:sz w:val="38"/>
          <w:szCs w:val="38"/>
        </w:rPr>
      </w:pPr>
    </w:p>
    <w:p>
      <w:pPr>
        <w:pStyle w:val="BodyText"/>
        <w:spacing w:line="357" w:lineRule="auto"/>
        <w:ind w:left="220" w:right="3146"/>
        <w:jc w:val="left"/>
      </w:pPr>
      <w:r>
        <w:rPr/>
        <w:t>（一）公司法定中文名称：北京超图软件股份有限公司 中文简称：超图软件</w:t>
      </w:r>
    </w:p>
    <w:p>
      <w:pPr>
        <w:pStyle w:val="BodyText"/>
        <w:spacing w:line="240" w:lineRule="auto" w:before="36"/>
        <w:ind w:left="220" w:right="3146"/>
        <w:jc w:val="left"/>
        <w:rPr>
          <w:rFonts w:ascii="Times New Roman" w:hAnsi="Times New Roman" w:cs="Times New Roman" w:eastAsia="Times New Roman" w:hint="default"/>
        </w:rPr>
      </w:pPr>
      <w:r>
        <w:rPr/>
        <w:t>法定英文名称：</w:t>
      </w:r>
      <w:r>
        <w:rPr>
          <w:rFonts w:ascii="Times New Roman" w:hAnsi="Times New Roman" w:cs="Times New Roman" w:eastAsia="Times New Roman" w:hint="default"/>
        </w:rPr>
        <w:t>Beijing SuperMap Software Co.,</w:t>
      </w:r>
      <w:r>
        <w:rPr>
          <w:rFonts w:ascii="Times New Roman" w:hAnsi="Times New Roman" w:cs="Times New Roman" w:eastAsia="Times New Roman" w:hint="default"/>
          <w:spacing w:val="-9"/>
        </w:rPr>
        <w:t> </w:t>
      </w:r>
      <w:r>
        <w:rPr>
          <w:rFonts w:ascii="Times New Roman" w:hAnsi="Times New Roman" w:cs="Times New Roman" w:eastAsia="Times New Roman" w:hint="default"/>
        </w:rPr>
        <w:t>Ltd.</w:t>
      </w:r>
    </w:p>
    <w:p>
      <w:pPr>
        <w:pStyle w:val="BodyText"/>
        <w:spacing w:line="338" w:lineRule="auto" w:before="135"/>
        <w:ind w:left="220" w:right="6706"/>
        <w:jc w:val="left"/>
      </w:pPr>
      <w:r>
        <w:rPr/>
        <w:t>英文简称：</w:t>
      </w:r>
      <w:r>
        <w:rPr>
          <w:rFonts w:ascii="Times New Roman" w:hAnsi="Times New Roman" w:cs="Times New Roman" w:eastAsia="Times New Roman" w:hint="default"/>
        </w:rPr>
        <w:t>SuperMap </w:t>
      </w:r>
      <w:r>
        <w:rPr/>
        <w:t>法定代表人：钟耳顺</w:t>
      </w:r>
    </w:p>
    <w:p>
      <w:pPr>
        <w:spacing w:line="240" w:lineRule="auto" w:before="0"/>
        <w:rPr>
          <w:rFonts w:ascii="宋体" w:hAnsi="宋体" w:cs="宋体" w:eastAsia="宋体" w:hint="default"/>
          <w:sz w:val="24"/>
          <w:szCs w:val="24"/>
        </w:rPr>
      </w:pPr>
    </w:p>
    <w:p>
      <w:pPr>
        <w:pStyle w:val="BodyText"/>
        <w:spacing w:line="240" w:lineRule="auto" w:before="209"/>
        <w:ind w:left="220" w:right="3146"/>
        <w:jc w:val="left"/>
      </w:pPr>
      <w:r>
        <w:rPr/>
        <w:t>（二）公司联系人和联系方式</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2192"/>
        <w:gridCol w:w="3437"/>
        <w:gridCol w:w="3279"/>
      </w:tblGrid>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
        </w:tc>
        <w:tc>
          <w:tcPr>
            <w:tcW w:w="3437"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b/>
                <w:bCs/>
                <w:sz w:val="24"/>
                <w:szCs w:val="24"/>
              </w:rPr>
              <w:t>董事会秘书</w:t>
            </w:r>
            <w:r>
              <w:rPr>
                <w:rFonts w:ascii="宋体" w:hAnsi="宋体" w:cs="宋体" w:eastAsia="宋体" w:hint="default"/>
                <w:sz w:val="24"/>
                <w:szCs w:val="24"/>
              </w:rPr>
            </w:r>
          </w:p>
        </w:tc>
        <w:tc>
          <w:tcPr>
            <w:tcW w:w="3279" w:type="dxa"/>
            <w:tcBorders>
              <w:top w:val="single" w:sz="4" w:space="0" w:color="000000"/>
              <w:left w:val="single" w:sz="4" w:space="0" w:color="000000"/>
              <w:bottom w:val="single" w:sz="4" w:space="0" w:color="000000"/>
              <w:right w:val="nil" w:sz="6" w:space="0" w:color="auto"/>
            </w:tcBorders>
            <w:shd w:val="clear" w:color="auto" w:fill="F1F1F1"/>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b/>
                <w:bCs/>
                <w:sz w:val="24"/>
                <w:szCs w:val="24"/>
              </w:rPr>
              <w:t>证券事务代表</w:t>
            </w:r>
            <w:r>
              <w:rPr>
                <w:rFonts w:ascii="宋体" w:hAnsi="宋体" w:cs="宋体" w:eastAsia="宋体" w:hint="default"/>
                <w:sz w:val="24"/>
                <w:szCs w:val="24"/>
              </w:rPr>
            </w:r>
          </w:p>
        </w:tc>
      </w:tr>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4"/>
                <w:szCs w:val="24"/>
              </w:rPr>
            </w:pPr>
            <w:r>
              <w:rPr>
                <w:rFonts w:ascii="宋体" w:hAnsi="宋体" w:cs="宋体" w:eastAsia="宋体" w:hint="default"/>
                <w:sz w:val="24"/>
                <w:szCs w:val="24"/>
              </w:rPr>
              <w:t>龚娅杰</w:t>
            </w:r>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3"/>
              <w:jc w:val="center"/>
              <w:rPr>
                <w:rFonts w:ascii="宋体" w:hAnsi="宋体" w:cs="宋体" w:eastAsia="宋体" w:hint="default"/>
                <w:sz w:val="24"/>
                <w:szCs w:val="24"/>
              </w:rPr>
            </w:pPr>
            <w:r>
              <w:rPr>
                <w:rFonts w:ascii="宋体" w:hAnsi="宋体" w:cs="宋体" w:eastAsia="宋体" w:hint="default"/>
                <w:sz w:val="24"/>
                <w:szCs w:val="24"/>
              </w:rPr>
              <w:t>谭飞艳</w:t>
            </w:r>
          </w:p>
        </w:tc>
      </w:tr>
      <w:tr>
        <w:trPr>
          <w:trHeight w:val="94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24"/>
                <w:szCs w:val="24"/>
              </w:rPr>
            </w:pPr>
            <w:r>
              <w:rPr>
                <w:rFonts w:ascii="宋体" w:hAnsi="宋体" w:cs="宋体" w:eastAsia="宋体" w:hint="default"/>
                <w:sz w:val="24"/>
                <w:szCs w:val="24"/>
              </w:rPr>
              <w:t>联系地址</w:t>
            </w:r>
          </w:p>
        </w:tc>
        <w:tc>
          <w:tcPr>
            <w:tcW w:w="6716" w:type="dxa"/>
            <w:gridSpan w:val="2"/>
            <w:tcBorders>
              <w:top w:val="single" w:sz="4" w:space="0" w:color="000000"/>
              <w:left w:val="single" w:sz="4" w:space="0" w:color="000000"/>
              <w:bottom w:val="single" w:sz="4" w:space="0" w:color="000000"/>
              <w:right w:val="nil" w:sz="6" w:space="0" w:color="auto"/>
            </w:tcBorders>
          </w:tcPr>
          <w:p>
            <w:pPr>
              <w:pStyle w:val="TableParagraph"/>
              <w:tabs>
                <w:tab w:pos="6262" w:val="left" w:leader="none"/>
              </w:tabs>
              <w:spacing w:line="240" w:lineRule="auto" w:before="41"/>
              <w:ind w:right="0"/>
              <w:jc w:val="center"/>
              <w:rPr>
                <w:rFonts w:ascii="宋体" w:hAnsi="宋体" w:cs="宋体" w:eastAsia="宋体" w:hint="default"/>
                <w:sz w:val="24"/>
                <w:szCs w:val="24"/>
              </w:rPr>
            </w:pPr>
            <w:r>
              <w:rPr>
                <w:rFonts w:ascii="宋体" w:hAnsi="宋体" w:cs="宋体" w:eastAsia="宋体" w:hint="default"/>
                <w:sz w:val="24"/>
                <w:szCs w:val="24"/>
              </w:rPr>
              <w:t>北京市朝阳区酒仙桥北路甲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号电子城</w:t>
            </w:r>
            <w:r>
              <w:rPr>
                <w:rFonts w:ascii="宋体" w:hAnsi="宋体" w:cs="宋体" w:eastAsia="宋体" w:hint="default"/>
                <w:spacing w:val="-63"/>
                <w:sz w:val="24"/>
                <w:szCs w:val="24"/>
              </w:rPr>
              <w:t> </w:t>
            </w:r>
            <w:r>
              <w:rPr>
                <w:rFonts w:ascii="Times New Roman" w:hAnsi="Times New Roman" w:cs="Times New Roman" w:eastAsia="Times New Roman" w:hint="default"/>
                <w:spacing w:val="-3"/>
                <w:sz w:val="24"/>
                <w:szCs w:val="24"/>
              </w:rPr>
              <w:t>IT</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产业园</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201</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号</w:t>
              <w:tab/>
              <w:t>楼</w:t>
            </w:r>
          </w:p>
          <w:p>
            <w:pPr>
              <w:pStyle w:val="TableParagraph"/>
              <w:spacing w:line="240" w:lineRule="auto" w:before="135"/>
              <w:ind w:right="3"/>
              <w:jc w:val="center"/>
              <w:rPr>
                <w:rFonts w:ascii="宋体" w:hAnsi="宋体" w:cs="宋体" w:eastAsia="宋体" w:hint="default"/>
                <w:sz w:val="24"/>
                <w:szCs w:val="24"/>
              </w:rPr>
            </w:pPr>
            <w:r>
              <w:rPr>
                <w:rFonts w:ascii="Times New Roman" w:hAnsi="Times New Roman" w:cs="Times New Roman" w:eastAsia="Times New Roman" w:hint="default"/>
                <w:sz w:val="24"/>
                <w:szCs w:val="24"/>
              </w:rPr>
              <w:t>E </w:t>
            </w:r>
            <w:r>
              <w:rPr>
                <w:rFonts w:ascii="宋体" w:hAnsi="宋体" w:cs="宋体" w:eastAsia="宋体" w:hint="default"/>
                <w:sz w:val="24"/>
                <w:szCs w:val="24"/>
              </w:rPr>
              <w:t>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层（</w:t>
            </w:r>
            <w:r>
              <w:rPr>
                <w:rFonts w:ascii="Times New Roman" w:hAnsi="Times New Roman" w:cs="Times New Roman" w:eastAsia="Times New Roman" w:hint="default"/>
                <w:sz w:val="24"/>
                <w:szCs w:val="24"/>
              </w:rPr>
              <w:t>100015</w:t>
            </w:r>
            <w:r>
              <w:rPr>
                <w:rFonts w:ascii="宋体" w:hAnsi="宋体" w:cs="宋体" w:eastAsia="宋体" w:hint="default"/>
                <w:sz w:val="24"/>
                <w:szCs w:val="24"/>
              </w:rPr>
              <w:t>）</w:t>
            </w:r>
          </w:p>
        </w:tc>
      </w:tr>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sz w:val="24"/>
                <w:szCs w:val="24"/>
              </w:rPr>
              <w:t>电话</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59896000</w:t>
            </w:r>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2"/>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59896000</w:t>
            </w:r>
          </w:p>
        </w:tc>
      </w:tr>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sz w:val="24"/>
                <w:szCs w:val="24"/>
              </w:rPr>
              <w:t>传真</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59896666</w:t>
            </w:r>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2"/>
              <w:jc w:val="center"/>
              <w:rPr>
                <w:rFonts w:ascii="Times New Roman" w:hAnsi="Times New Roman" w:cs="Times New Roman" w:eastAsia="Times New Roman"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010</w:t>
            </w:r>
            <w:r>
              <w:rPr>
                <w:rFonts w:ascii="宋体" w:hAnsi="宋体" w:cs="宋体" w:eastAsia="宋体" w:hint="default"/>
                <w:sz w:val="24"/>
                <w:szCs w:val="24"/>
              </w:rPr>
              <w:t>）</w:t>
            </w:r>
            <w:r>
              <w:rPr>
                <w:rFonts w:ascii="Times New Roman" w:hAnsi="Times New Roman" w:cs="Times New Roman" w:eastAsia="Times New Roman" w:hint="default"/>
                <w:sz w:val="24"/>
                <w:szCs w:val="24"/>
              </w:rPr>
              <w:t>59896666</w:t>
            </w:r>
          </w:p>
        </w:tc>
      </w:tr>
      <w:tr>
        <w:trPr>
          <w:trHeight w:val="478" w:hRule="exact"/>
        </w:trPr>
        <w:tc>
          <w:tcPr>
            <w:tcW w:w="2192" w:type="dxa"/>
            <w:tcBorders>
              <w:top w:val="single" w:sz="4" w:space="0" w:color="000000"/>
              <w:left w:val="nil" w:sz="6" w:space="0" w:color="auto"/>
              <w:bottom w:val="single" w:sz="4" w:space="0" w:color="000000"/>
              <w:right w:val="single" w:sz="4" w:space="0" w:color="000000"/>
            </w:tcBorders>
            <w:shd w:val="clear" w:color="auto" w:fill="F1F1F1"/>
          </w:tcPr>
          <w:p>
            <w:pPr>
              <w:pStyle w:val="TableParagraph"/>
              <w:spacing w:line="240" w:lineRule="auto" w:before="39"/>
              <w:ind w:left="1" w:right="0"/>
              <w:jc w:val="center"/>
              <w:rPr>
                <w:rFonts w:ascii="宋体" w:hAnsi="宋体" w:cs="宋体" w:eastAsia="宋体" w:hint="default"/>
                <w:sz w:val="24"/>
                <w:szCs w:val="24"/>
              </w:rPr>
            </w:pPr>
            <w:r>
              <w:rPr>
                <w:rFonts w:ascii="宋体" w:hAnsi="宋体" w:cs="宋体" w:eastAsia="宋体" w:hint="default"/>
                <w:sz w:val="24"/>
                <w:szCs w:val="24"/>
              </w:rPr>
              <w:t>电子邮箱</w:t>
            </w:r>
          </w:p>
        </w:tc>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24"/>
                <w:szCs w:val="24"/>
              </w:rPr>
            </w:pPr>
            <w:hyperlink r:id="rId8">
              <w:r>
                <w:rPr>
                  <w:rFonts w:ascii="Times New Roman"/>
                  <w:sz w:val="24"/>
                </w:rPr>
                <w:t>public@supermap.com</w:t>
              </w:r>
            </w:hyperlink>
          </w:p>
        </w:tc>
        <w:tc>
          <w:tcPr>
            <w:tcW w:w="32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2"/>
              <w:ind w:right="6"/>
              <w:jc w:val="center"/>
              <w:rPr>
                <w:rFonts w:ascii="Times New Roman" w:hAnsi="Times New Roman" w:cs="Times New Roman" w:eastAsia="Times New Roman" w:hint="default"/>
                <w:sz w:val="24"/>
                <w:szCs w:val="24"/>
              </w:rPr>
            </w:pPr>
            <w:hyperlink r:id="rId8">
              <w:r>
                <w:rPr>
                  <w:rFonts w:ascii="Times New Roman"/>
                  <w:sz w:val="24"/>
                </w:rPr>
                <w:t>public@supermap.com</w:t>
              </w:r>
            </w:hyperlink>
          </w:p>
        </w:tc>
      </w:tr>
    </w:tbl>
    <w:p>
      <w:pPr>
        <w:pStyle w:val="BodyText"/>
        <w:spacing w:line="338" w:lineRule="auto" w:before="39"/>
        <w:ind w:left="220" w:right="231"/>
        <w:jc w:val="left"/>
        <w:rPr>
          <w:rFonts w:ascii="Times New Roman" w:hAnsi="Times New Roman" w:cs="Times New Roman" w:eastAsia="Times New Roman" w:hint="default"/>
        </w:rPr>
      </w:pPr>
      <w:r>
        <w:rPr/>
        <w:t>公司注册地址：</w:t>
      </w:r>
      <w:r>
        <w:rPr>
          <w:spacing w:val="-1"/>
        </w:rPr>
        <w:t> </w:t>
      </w:r>
      <w:r>
        <w:rPr/>
        <w:t>北京市朝阳区将台路乙</w:t>
      </w:r>
      <w:r>
        <w:rPr>
          <w:spacing w:val="-60"/>
        </w:rPr>
        <w:t> </w:t>
      </w:r>
      <w:r>
        <w:rPr>
          <w:rFonts w:ascii="Times New Roman" w:hAnsi="Times New Roman" w:cs="Times New Roman" w:eastAsia="Times New Roman" w:hint="default"/>
        </w:rPr>
        <w:t>21 </w:t>
      </w:r>
      <w:r>
        <w:rPr/>
        <w:t>号佳丽饭店</w:t>
      </w:r>
      <w:r>
        <w:rPr>
          <w:spacing w:val="-60"/>
        </w:rPr>
        <w:t> </w:t>
      </w:r>
      <w:r>
        <w:rPr>
          <w:rFonts w:ascii="Times New Roman" w:hAnsi="Times New Roman" w:cs="Times New Roman" w:eastAsia="Times New Roman" w:hint="default"/>
        </w:rPr>
        <w:t>1116 </w:t>
      </w:r>
      <w:r>
        <w:rPr/>
        <w:t>室，邮编：</w:t>
      </w:r>
      <w:r>
        <w:rPr>
          <w:rFonts w:ascii="Times New Roman" w:hAnsi="Times New Roman" w:cs="Times New Roman" w:eastAsia="Times New Roman" w:hint="default"/>
        </w:rPr>
        <w:t>100016 </w:t>
      </w:r>
      <w:r>
        <w:rPr/>
        <w:t>公司办公地址：北京市朝阳区酒仙桥北路甲</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号电子城</w:t>
      </w:r>
      <w:r>
        <w:rPr>
          <w:spacing w:val="-49"/>
        </w:rPr>
        <w:t> </w:t>
      </w:r>
      <w:r>
        <w:rPr>
          <w:rFonts w:ascii="Times New Roman" w:hAnsi="Times New Roman" w:cs="Times New Roman" w:eastAsia="Times New Roman" w:hint="default"/>
        </w:rPr>
        <w:t>IT</w:t>
      </w:r>
      <w:r>
        <w:rPr>
          <w:rFonts w:ascii="Times New Roman" w:hAnsi="Times New Roman" w:cs="Times New Roman" w:eastAsia="Times New Roman" w:hint="default"/>
          <w:spacing w:val="10"/>
        </w:rPr>
        <w:t> </w:t>
      </w:r>
      <w:r>
        <w:rPr/>
        <w:t>产业园</w:t>
      </w:r>
      <w:r>
        <w:rPr>
          <w:spacing w:val="-52"/>
        </w:rPr>
        <w:t> </w:t>
      </w:r>
      <w:r>
        <w:rPr>
          <w:rFonts w:ascii="Times New Roman" w:hAnsi="Times New Roman" w:cs="Times New Roman" w:eastAsia="Times New Roman" w:hint="default"/>
        </w:rPr>
        <w:t>201</w:t>
      </w:r>
      <w:r>
        <w:rPr>
          <w:rFonts w:ascii="Times New Roman" w:hAnsi="Times New Roman" w:cs="Times New Roman" w:eastAsia="Times New Roman" w:hint="default"/>
          <w:spacing w:val="9"/>
        </w:rPr>
        <w:t> </w:t>
      </w:r>
      <w:r>
        <w:rPr/>
        <w:t>号楼</w:t>
      </w:r>
      <w:r>
        <w:rPr>
          <w:spacing w:val="-49"/>
        </w:rPr>
        <w:t> </w:t>
      </w:r>
      <w:r>
        <w:rPr>
          <w:rFonts w:ascii="Times New Roman" w:hAnsi="Times New Roman" w:cs="Times New Roman" w:eastAsia="Times New Roman" w:hint="default"/>
        </w:rPr>
        <w:t>E</w:t>
      </w:r>
      <w:r>
        <w:rPr>
          <w:rFonts w:ascii="Times New Roman" w:hAnsi="Times New Roman" w:cs="Times New Roman" w:eastAsia="Times New Roman" w:hint="default"/>
          <w:spacing w:val="8"/>
        </w:rPr>
        <w:t> </w:t>
      </w:r>
      <w:r>
        <w:rPr/>
        <w:t>门</w:t>
      </w:r>
      <w:r>
        <w:rPr>
          <w:spacing w:val="-52"/>
        </w:rPr>
        <w:t> </w:t>
      </w:r>
      <w:r>
        <w:rPr>
          <w:rFonts w:ascii="Times New Roman" w:hAnsi="Times New Roman" w:cs="Times New Roman" w:eastAsia="Times New Roman" w:hint="default"/>
        </w:rPr>
        <w:t>3 </w:t>
      </w:r>
      <w:r>
        <w:rPr/>
        <w:t>层，邮编：</w:t>
      </w:r>
      <w:r>
        <w:rPr>
          <w:rFonts w:ascii="Times New Roman" w:hAnsi="Times New Roman" w:cs="Times New Roman" w:eastAsia="Times New Roman" w:hint="default"/>
        </w:rPr>
        <w:t>100015</w:t>
      </w:r>
    </w:p>
    <w:p>
      <w:pPr>
        <w:pStyle w:val="BodyText"/>
        <w:spacing w:line="240" w:lineRule="auto" w:before="27"/>
        <w:ind w:left="220" w:right="231"/>
        <w:jc w:val="left"/>
        <w:rPr>
          <w:rFonts w:ascii="Times New Roman" w:hAnsi="Times New Roman" w:cs="Times New Roman" w:eastAsia="Times New Roman" w:hint="default"/>
        </w:rPr>
      </w:pPr>
      <w:r>
        <w:rPr/>
        <w:t>公司国际互联网网址：</w:t>
      </w:r>
      <w:r>
        <w:rPr>
          <w:rFonts w:ascii="Times New Roman" w:hAnsi="Times New Roman" w:cs="Times New Roman" w:eastAsia="Times New Roman" w:hint="default"/>
          <w:color w:val="0000FF"/>
        </w:rPr>
      </w:r>
      <w:hyperlink r:id="rId9">
        <w:r>
          <w:rPr>
            <w:rFonts w:ascii="Times New Roman" w:hAnsi="Times New Roman" w:cs="Times New Roman" w:eastAsia="Times New Roman" w:hint="default"/>
            <w:color w:val="0000FF"/>
            <w:u w:val="single" w:color="0000FF"/>
          </w:rPr>
          <w:t>http://www.supermap.com.cn</w:t>
        </w:r>
        <w:r>
          <w:rPr>
            <w:rFonts w:ascii="Times New Roman" w:hAnsi="Times New Roman" w:cs="Times New Roman" w:eastAsia="Times New Roman" w:hint="default"/>
            <w:color w:val="0000FF"/>
            <w:spacing w:val="-10"/>
            <w:u w:val="single" w:color="0000FF"/>
          </w:rPr>
          <w:t> </w:t>
        </w:r>
        <w:r>
          <w:rPr>
            <w:rFonts w:ascii="Times New Roman" w:hAnsi="Times New Roman" w:cs="Times New Roman" w:eastAsia="Times New Roman" w:hint="default"/>
            <w:color w:val="0000FF"/>
            <w:spacing w:val="-10"/>
          </w:rPr>
        </w:r>
      </w:hyperlink>
      <w:r>
        <w:rPr/>
        <w:t>或：</w:t>
      </w:r>
      <w:hyperlink r:id="rId10">
        <w:r>
          <w:rPr>
            <w:rFonts w:ascii="Times New Roman" w:hAnsi="Times New Roman" w:cs="Times New Roman" w:eastAsia="Times New Roman" w:hint="default"/>
            <w:color w:val="0000FF"/>
          </w:rPr>
        </w:r>
        <w:r>
          <w:rPr>
            <w:rFonts w:ascii="Times New Roman" w:hAnsi="Times New Roman" w:cs="Times New Roman" w:eastAsia="Times New Roman" w:hint="default"/>
            <w:color w:val="0000FF"/>
            <w:u w:val="single" w:color="0000FF"/>
          </w:rPr>
          <w:t>http://www.supermap.com</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357" w:lineRule="auto" w:before="144"/>
        <w:ind w:left="220" w:right="3973"/>
        <w:jc w:val="left"/>
        <w:rPr>
          <w:rFonts w:ascii="Times New Roman" w:hAnsi="Times New Roman" w:cs="Times New Roman" w:eastAsia="Times New Roman" w:hint="default"/>
        </w:rPr>
      </w:pPr>
      <w:r>
        <w:rPr/>
        <w:t>（三）公司选定信息披露方式 公司选定的信息披露报纸：《证券时报》 登载年度报告的网站网址：</w:t>
      </w:r>
      <w:r>
        <w:rPr>
          <w:spacing w:val="-20"/>
        </w:rPr>
        <w:t> </w:t>
      </w:r>
      <w:hyperlink r:id="rId11">
        <w:r>
          <w:rPr>
            <w:rFonts w:ascii="Times New Roman" w:hAnsi="Times New Roman" w:cs="Times New Roman" w:eastAsia="Times New Roman" w:hint="default"/>
          </w:rPr>
          <w:t>www.cninfo.com.cn</w:t>
        </w:r>
      </w:hyperlink>
    </w:p>
    <w:p>
      <w:pPr>
        <w:pStyle w:val="BodyText"/>
        <w:spacing w:line="240" w:lineRule="auto" w:before="5"/>
        <w:ind w:left="220" w:right="0"/>
        <w:jc w:val="left"/>
      </w:pPr>
      <w:r>
        <w:rPr/>
        <w:t>公司年度报告备置地点</w:t>
      </w:r>
      <w:r>
        <w:rPr>
          <w:spacing w:val="-164"/>
        </w:rPr>
        <w:t>：</w:t>
      </w:r>
      <w:r>
        <w:rPr/>
        <w:t>北京市朝阳区酒仙桥北路甲</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号电子城</w:t>
      </w:r>
      <w:r>
        <w:rPr>
          <w:spacing w:val="-60"/>
        </w:rPr>
        <w:t> </w:t>
      </w:r>
      <w:r>
        <w:rPr>
          <w:rFonts w:ascii="Times New Roman" w:hAnsi="Times New Roman" w:cs="Times New Roman" w:eastAsia="Times New Roman" w:hint="default"/>
          <w:spacing w:val="-4"/>
        </w:rPr>
        <w:t>I</w:t>
      </w:r>
      <w:r>
        <w:rPr>
          <w:rFonts w:ascii="Times New Roman" w:hAnsi="Times New Roman" w:cs="Times New Roman" w:eastAsia="Times New Roman" w:hint="default"/>
        </w:rPr>
        <w:t>T</w:t>
      </w:r>
      <w:r>
        <w:rPr>
          <w:rFonts w:ascii="Times New Roman" w:hAnsi="Times New Roman" w:cs="Times New Roman" w:eastAsia="Times New Roman" w:hint="default"/>
          <w:spacing w:val="-1"/>
        </w:rPr>
        <w:t> </w:t>
      </w:r>
      <w:r>
        <w:rPr/>
        <w:t>产业园</w:t>
      </w:r>
      <w:r>
        <w:rPr>
          <w:spacing w:val="-62"/>
        </w:rPr>
        <w:t> </w:t>
      </w:r>
      <w:r>
        <w:rPr>
          <w:rFonts w:ascii="Times New Roman" w:hAnsi="Times New Roman" w:cs="Times New Roman" w:eastAsia="Times New Roman" w:hint="default"/>
        </w:rPr>
        <w:t>201</w:t>
      </w:r>
      <w:r>
        <w:rPr>
          <w:rFonts w:ascii="Times New Roman" w:hAnsi="Times New Roman" w:cs="Times New Roman" w:eastAsia="Times New Roman" w:hint="default"/>
          <w:spacing w:val="-3"/>
        </w:rPr>
        <w:t> </w:t>
      </w:r>
      <w:r>
        <w:rPr/>
        <w:t>号楼</w:t>
      </w:r>
    </w:p>
    <w:p>
      <w:pPr>
        <w:pStyle w:val="BodyText"/>
        <w:spacing w:line="240" w:lineRule="auto" w:before="135"/>
        <w:ind w:left="220" w:right="3146"/>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1"/>
        </w:rPr>
        <w:t> </w:t>
      </w:r>
      <w:r>
        <w:rPr/>
        <w:t>门</w:t>
      </w:r>
      <w:r>
        <w:rPr>
          <w:spacing w:val="-60"/>
        </w:rPr>
        <w:t> </w:t>
      </w:r>
      <w:r>
        <w:rPr>
          <w:rFonts w:ascii="Times New Roman" w:hAnsi="Times New Roman" w:cs="Times New Roman" w:eastAsia="Times New Roman" w:hint="default"/>
        </w:rPr>
        <w:t>3 </w:t>
      </w:r>
      <w:r>
        <w:rPr/>
        <w:t>层北京超图软件股份有限公司证券与法务部</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tabs>
          <w:tab w:pos="2980" w:val="left" w:leader="none"/>
        </w:tabs>
        <w:spacing w:line="357" w:lineRule="auto"/>
        <w:ind w:left="220" w:right="4125"/>
        <w:jc w:val="left"/>
        <w:rPr>
          <w:rFonts w:ascii="Times New Roman" w:hAnsi="Times New Roman" w:cs="Times New Roman" w:eastAsia="Times New Roman" w:hint="default"/>
        </w:rPr>
      </w:pPr>
      <w:r>
        <w:rPr/>
        <w:t>（四）公司股票上市交易所：深圳证券交易所 股票简称：超图软件</w:t>
        <w:tab/>
        <w:t>股票代码：</w:t>
      </w:r>
      <w:r>
        <w:rPr>
          <w:rFonts w:ascii="Times New Roman" w:hAnsi="Times New Roman" w:cs="Times New Roman" w:eastAsia="Times New Roman" w:hint="default"/>
        </w:rPr>
        <w:t>300036</w:t>
      </w:r>
    </w:p>
    <w:p>
      <w:pPr>
        <w:spacing w:after="0" w:line="357" w:lineRule="auto"/>
        <w:jc w:val="left"/>
        <w:rPr>
          <w:rFonts w:ascii="Times New Roman" w:hAnsi="Times New Roman" w:cs="Times New Roman" w:eastAsia="Times New Roman" w:hint="default"/>
        </w:rPr>
        <w:sectPr>
          <w:pgSz w:w="11910" w:h="16840"/>
          <w:pgMar w:header="884" w:footer="1007" w:top="1140" w:bottom="1200" w:left="1580" w:right="1180"/>
        </w:sectPr>
      </w:pPr>
    </w:p>
    <w:p>
      <w:pPr>
        <w:spacing w:line="240" w:lineRule="auto" w:before="7"/>
        <w:rPr>
          <w:rFonts w:ascii="Times New Roman" w:hAnsi="Times New Roman" w:cs="Times New Roman" w:eastAsia="Times New Roman" w:hint="default"/>
          <w:sz w:val="25"/>
          <w:szCs w:val="25"/>
        </w:rPr>
      </w:pPr>
    </w:p>
    <w:p>
      <w:pPr>
        <w:pStyle w:val="BodyText"/>
        <w:spacing w:line="240" w:lineRule="auto" w:before="26"/>
        <w:ind w:left="240" w:right="121"/>
        <w:jc w:val="left"/>
      </w:pPr>
      <w:r>
        <w:rPr/>
        <w:t>（五）其他有关资料：</w:t>
      </w:r>
    </w:p>
    <w:p>
      <w:pPr>
        <w:spacing w:line="240" w:lineRule="auto" w:before="1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085"/>
        <w:gridCol w:w="5823"/>
      </w:tblGrid>
      <w:tr>
        <w:trPr>
          <w:trHeight w:val="490" w:hRule="exact"/>
        </w:trPr>
        <w:tc>
          <w:tcPr>
            <w:tcW w:w="30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公司最新注册登记日期、地点</w:t>
            </w:r>
          </w:p>
        </w:tc>
        <w:tc>
          <w:tcPr>
            <w:tcW w:w="582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日，北京工商行政管理局</w:t>
            </w:r>
          </w:p>
        </w:tc>
      </w:tr>
      <w:tr>
        <w:trPr>
          <w:trHeight w:val="485"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9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3"/>
              <w:ind w:left="100" w:right="0"/>
              <w:jc w:val="left"/>
              <w:rPr>
                <w:rFonts w:ascii="Times New Roman" w:hAnsi="Times New Roman" w:cs="Times New Roman" w:eastAsia="Times New Roman" w:hint="default"/>
                <w:sz w:val="21"/>
                <w:szCs w:val="21"/>
              </w:rPr>
            </w:pPr>
            <w:r>
              <w:rPr>
                <w:rFonts w:ascii="Times New Roman"/>
                <w:sz w:val="21"/>
              </w:rPr>
              <w:t>110105002483632</w:t>
            </w:r>
          </w:p>
        </w:tc>
      </w:tr>
      <w:tr>
        <w:trPr>
          <w:trHeight w:val="482"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京税证字</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110105633024838</w:t>
            </w:r>
          </w:p>
        </w:tc>
      </w:tr>
      <w:tr>
        <w:trPr>
          <w:trHeight w:val="482"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left="100" w:right="0"/>
              <w:jc w:val="left"/>
              <w:rPr>
                <w:rFonts w:ascii="Times New Roman" w:hAnsi="Times New Roman" w:cs="Times New Roman" w:eastAsia="Times New Roman" w:hint="default"/>
                <w:sz w:val="21"/>
                <w:szCs w:val="21"/>
              </w:rPr>
            </w:pPr>
            <w:r>
              <w:rPr>
                <w:rFonts w:ascii="Times New Roman"/>
                <w:sz w:val="21"/>
              </w:rPr>
              <w:t>63302483-8</w:t>
            </w:r>
          </w:p>
        </w:tc>
      </w:tr>
      <w:tr>
        <w:trPr>
          <w:trHeight w:val="482"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5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京都天华会计师事务所有限公司</w:t>
            </w:r>
          </w:p>
        </w:tc>
      </w:tr>
      <w:tr>
        <w:trPr>
          <w:trHeight w:val="953"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410" w:lineRule="auto" w:before="66"/>
              <w:ind w:left="93" w:right="97"/>
              <w:jc w:val="left"/>
              <w:rPr>
                <w:rFonts w:ascii="宋体" w:hAnsi="宋体" w:cs="宋体" w:eastAsia="宋体" w:hint="default"/>
                <w:sz w:val="21"/>
                <w:szCs w:val="21"/>
              </w:rPr>
            </w:pPr>
            <w:r>
              <w:rPr>
                <w:rFonts w:ascii="宋体" w:hAnsi="宋体" w:cs="宋体" w:eastAsia="宋体" w:hint="default"/>
                <w:spacing w:val="8"/>
                <w:sz w:val="21"/>
                <w:szCs w:val="21"/>
              </w:rPr>
              <w:t>公司聘请的会计师事务所办公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地址</w:t>
            </w:r>
          </w:p>
        </w:tc>
        <w:tc>
          <w:tcPr>
            <w:tcW w:w="5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北京朝阳区建国门外大街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号赛特广场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层，邮编：</w:t>
            </w:r>
            <w:r>
              <w:rPr>
                <w:rFonts w:ascii="Times New Roman" w:hAnsi="Times New Roman" w:cs="Times New Roman" w:eastAsia="Times New Roman" w:hint="default"/>
                <w:sz w:val="21"/>
                <w:szCs w:val="21"/>
              </w:rPr>
              <w:t>100004</w:t>
            </w:r>
          </w:p>
        </w:tc>
      </w:tr>
      <w:tr>
        <w:trPr>
          <w:trHeight w:val="482"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5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郑建彪、王涛</w:t>
            </w:r>
          </w:p>
        </w:tc>
      </w:tr>
      <w:tr>
        <w:trPr>
          <w:trHeight w:val="482"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公司聘请保荐机构名称</w:t>
            </w:r>
          </w:p>
        </w:tc>
        <w:tc>
          <w:tcPr>
            <w:tcW w:w="5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平安证券有限公司</w:t>
            </w:r>
          </w:p>
        </w:tc>
      </w:tr>
      <w:tr>
        <w:trPr>
          <w:trHeight w:val="482" w:hRule="exact"/>
        </w:trPr>
        <w:tc>
          <w:tcPr>
            <w:tcW w:w="30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公司聘请保荐机构办公地址</w:t>
            </w:r>
          </w:p>
        </w:tc>
        <w:tc>
          <w:tcPr>
            <w:tcW w:w="582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北京市西城区金融街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号平安大厦</w:t>
            </w:r>
          </w:p>
        </w:tc>
      </w:tr>
      <w:tr>
        <w:trPr>
          <w:trHeight w:val="492" w:hRule="exact"/>
        </w:trPr>
        <w:tc>
          <w:tcPr>
            <w:tcW w:w="30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6"/>
              <w:ind w:left="93" w:right="0"/>
              <w:jc w:val="left"/>
              <w:rPr>
                <w:rFonts w:ascii="宋体" w:hAnsi="宋体" w:cs="宋体" w:eastAsia="宋体" w:hint="default"/>
                <w:sz w:val="21"/>
                <w:szCs w:val="21"/>
              </w:rPr>
            </w:pPr>
            <w:r>
              <w:rPr>
                <w:rFonts w:ascii="宋体" w:hAnsi="宋体" w:cs="宋体" w:eastAsia="宋体" w:hint="default"/>
                <w:sz w:val="21"/>
                <w:szCs w:val="21"/>
              </w:rPr>
              <w:t>签字保荐人</w:t>
            </w:r>
          </w:p>
        </w:tc>
        <w:tc>
          <w:tcPr>
            <w:tcW w:w="582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韩长风、齐政</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240" w:right="0"/>
        <w:jc w:val="both"/>
      </w:pPr>
      <w:r>
        <w:rPr/>
        <w:t>（六）公司上市后历史沿革</w:t>
      </w:r>
    </w:p>
    <w:p>
      <w:pPr>
        <w:pStyle w:val="BodyText"/>
        <w:spacing w:line="240" w:lineRule="auto" w:before="154"/>
        <w:ind w:left="240" w:right="0"/>
        <w:jc w:val="both"/>
      </w:pPr>
      <w:r>
        <w:rPr>
          <w:rFonts w:ascii="Times New Roman" w:hAnsi="Times New Roman" w:cs="Times New Roman" w:eastAsia="Times New Roman" w:hint="default"/>
        </w:rPr>
        <w:t>1</w:t>
      </w:r>
      <w:r>
        <w:rPr/>
        <w:t>、公司上市后第一次工商注册变更</w:t>
      </w:r>
    </w:p>
    <w:p>
      <w:pPr>
        <w:pStyle w:val="BodyText"/>
        <w:spacing w:line="338" w:lineRule="auto" w:before="135"/>
        <w:ind w:left="240" w:right="243" w:firstLine="479"/>
        <w:jc w:val="both"/>
      </w:pPr>
      <w:r>
        <w:rPr/>
        <w:t>经中国证券监督管理委员会证监许可</w:t>
      </w:r>
      <w:r>
        <w:rPr>
          <w:rFonts w:ascii="Times New Roman" w:hAnsi="Times New Roman" w:cs="Times New Roman" w:eastAsia="Times New Roman" w:hint="default"/>
        </w:rPr>
        <w:t>[2009] 1313</w:t>
      </w:r>
      <w:r>
        <w:rPr>
          <w:rFonts w:ascii="Times New Roman" w:hAnsi="Times New Roman" w:cs="Times New Roman" w:eastAsia="Times New Roman" w:hint="default"/>
          <w:spacing w:val="9"/>
        </w:rPr>
        <w:t> </w:t>
      </w:r>
      <w:r>
        <w:rPr/>
        <w:t>号文核准，并经深圳证券交易 </w:t>
      </w:r>
      <w:r>
        <w:rPr>
          <w:spacing w:val="-5"/>
        </w:rPr>
        <w:t>所同意，公司首次公开发行人民币普通股（</w:t>
      </w:r>
      <w:r>
        <w:rPr>
          <w:rFonts w:ascii="Times New Roman" w:hAnsi="Times New Roman" w:cs="Times New Roman" w:eastAsia="Times New Roman" w:hint="default"/>
          <w:spacing w:val="-5"/>
        </w:rPr>
        <w:t>A </w:t>
      </w:r>
      <w:r>
        <w:rPr>
          <w:spacing w:val="-7"/>
        </w:rPr>
        <w:t>股）</w:t>
      </w:r>
      <w:r>
        <w:rPr>
          <w:rFonts w:ascii="Times New Roman" w:hAnsi="Times New Roman" w:cs="Times New Roman" w:eastAsia="Times New Roman" w:hint="default"/>
          <w:spacing w:val="-7"/>
        </w:rPr>
        <w:t>1,900 </w:t>
      </w:r>
      <w:r>
        <w:rPr>
          <w:spacing w:val="-5"/>
        </w:rPr>
        <w:t>万股，公司注册资本由</w:t>
      </w:r>
      <w:r>
        <w:rPr>
          <w:spacing w:val="-36"/>
        </w:rPr>
        <w:t> </w:t>
      </w:r>
      <w:r>
        <w:rPr>
          <w:rFonts w:ascii="Times New Roman" w:hAnsi="Times New Roman" w:cs="Times New Roman" w:eastAsia="Times New Roman" w:hint="default"/>
        </w:rPr>
        <w:t>5,600 </w:t>
      </w:r>
      <w:r>
        <w:rPr/>
        <w:t>万元增至</w:t>
      </w:r>
      <w:r>
        <w:rPr>
          <w:spacing w:val="-61"/>
        </w:rPr>
        <w:t> </w:t>
      </w:r>
      <w:r>
        <w:rPr>
          <w:rFonts w:ascii="Times New Roman" w:hAnsi="Times New Roman" w:cs="Times New Roman" w:eastAsia="Times New Roman" w:hint="default"/>
        </w:rPr>
        <w:t>7,500 </w:t>
      </w:r>
      <w:r>
        <w:rPr/>
        <w:t>万元。公司发行股票于</w:t>
      </w:r>
      <w:r>
        <w:rPr>
          <w:spacing w:val="-60"/>
        </w:rPr>
        <w:t> </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25 </w:t>
      </w:r>
      <w:r>
        <w:rPr/>
        <w:t>日在深圳证券交易所上市。</w:t>
      </w:r>
    </w:p>
    <w:p>
      <w:pPr>
        <w:pStyle w:val="BodyText"/>
        <w:spacing w:line="348" w:lineRule="auto" w:before="27"/>
        <w:ind w:left="240" w:right="253"/>
        <w:jc w:val="both"/>
      </w:pPr>
      <w:r>
        <w:rPr/>
        <w:t>上市后，公司于</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日完成了相关工商变更手续，取得了北京市工商行 政管理局换发的《企业法人营业执照》。公司企业法人营业执照注册号、税务登记</w:t>
      </w:r>
      <w:r>
        <w:rPr>
          <w:spacing w:val="-77"/>
        </w:rPr>
        <w:t> </w:t>
      </w:r>
      <w:r>
        <w:rPr>
          <w:spacing w:val="-77"/>
        </w:rPr>
      </w:r>
      <w:r>
        <w:rPr/>
        <w:t>号码、组织机构代码等信息未发生变更。</w:t>
      </w:r>
    </w:p>
    <w:p>
      <w:pPr>
        <w:pStyle w:val="BodyText"/>
        <w:spacing w:line="240" w:lineRule="auto" w:before="46"/>
        <w:ind w:left="240" w:right="0"/>
        <w:jc w:val="both"/>
      </w:pPr>
      <w:r>
        <w:rPr>
          <w:rFonts w:ascii="Times New Roman" w:hAnsi="Times New Roman" w:cs="Times New Roman" w:eastAsia="Times New Roman" w:hint="default"/>
        </w:rPr>
        <w:t>2</w:t>
      </w:r>
      <w:r>
        <w:rPr/>
        <w:t>、公司上市后第二次工商注册变更</w:t>
      </w:r>
    </w:p>
    <w:p>
      <w:pPr>
        <w:pStyle w:val="BodyText"/>
        <w:spacing w:line="240" w:lineRule="auto" w:before="135"/>
        <w:ind w:left="720" w:right="121"/>
        <w:jc w:val="left"/>
        <w:rPr>
          <w:rFonts w:ascii="Times New Roman" w:hAnsi="Times New Roman" w:cs="Times New Roman" w:eastAsia="Times New Roman" w:hint="default"/>
        </w:rPr>
      </w:pPr>
      <w:r>
        <w:rPr/>
        <w:t>根据</w:t>
      </w:r>
      <w:r>
        <w:rPr>
          <w:spacing w:val="-60"/>
        </w:rPr>
        <w:t> </w:t>
      </w:r>
      <w:r>
        <w:rPr>
          <w:rFonts w:ascii="Times New Roman" w:hAnsi="Times New Roman" w:cs="Times New Roman" w:eastAsia="Times New Roman" w:hint="default"/>
        </w:rPr>
        <w:t>2011 </w:t>
      </w:r>
      <w:r>
        <w:rPr/>
        <w:t>年</w:t>
      </w:r>
      <w:r>
        <w:rPr>
          <w:spacing w:val="-63"/>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spacing w:val="-3"/>
        </w:rPr>
        <w:t>1</w:t>
      </w:r>
      <w:r>
        <w:rPr>
          <w:rFonts w:ascii="Times New Roman" w:hAnsi="Times New Roman" w:cs="Times New Roman" w:eastAsia="Times New Roman" w:hint="default"/>
        </w:rPr>
        <w:t>8 </w:t>
      </w:r>
      <w:r>
        <w:rPr>
          <w:spacing w:val="-3"/>
        </w:rPr>
        <w:t>日</w:t>
      </w:r>
      <w:r>
        <w:rPr/>
        <w:t>召开的</w:t>
      </w:r>
      <w:r>
        <w:rPr>
          <w:spacing w:val="-60"/>
        </w:rPr>
        <w:t> </w:t>
      </w:r>
      <w:r>
        <w:rPr>
          <w:rFonts w:ascii="Times New Roman" w:hAnsi="Times New Roman" w:cs="Times New Roman" w:eastAsia="Times New Roman" w:hint="default"/>
        </w:rPr>
        <w:t>2010 </w:t>
      </w:r>
      <w:r>
        <w:rPr/>
        <w:t>年度股</w:t>
      </w:r>
      <w:r>
        <w:rPr>
          <w:spacing w:val="-3"/>
        </w:rPr>
        <w:t>东</w:t>
      </w:r>
      <w:r>
        <w:rPr/>
        <w:t>大会审议及授权</w:t>
      </w:r>
      <w:r>
        <w:rPr>
          <w:spacing w:val="-120"/>
        </w:rPr>
        <w:t>，</w:t>
      </w:r>
      <w:r>
        <w:rPr/>
        <w:t>公司实施了</w:t>
      </w:r>
      <w:r>
        <w:rPr>
          <w:spacing w:val="-60"/>
        </w:rPr>
        <w:t> </w:t>
      </w:r>
      <w:r>
        <w:rPr>
          <w:rFonts w:ascii="Times New Roman" w:hAnsi="Times New Roman" w:cs="Times New Roman" w:eastAsia="Times New Roman" w:hint="default"/>
        </w:rPr>
        <w:t>2010</w:t>
      </w:r>
    </w:p>
    <w:p>
      <w:pPr>
        <w:pStyle w:val="BodyText"/>
        <w:spacing w:line="240" w:lineRule="auto" w:before="135"/>
        <w:ind w:left="240" w:right="0"/>
        <w:jc w:val="both"/>
      </w:pPr>
      <w:r>
        <w:rPr/>
        <w:t>年度利润分配方案，以</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年末总股本</w:t>
      </w:r>
      <w:r>
        <w:rPr>
          <w:spacing w:val="-63"/>
        </w:rPr>
        <w:t> </w:t>
      </w:r>
      <w:r>
        <w:rPr>
          <w:rFonts w:ascii="Times New Roman" w:hAnsi="Times New Roman" w:cs="Times New Roman" w:eastAsia="Times New Roman" w:hint="default"/>
        </w:rPr>
        <w:t>7,500</w:t>
      </w:r>
      <w:r>
        <w:rPr>
          <w:rFonts w:ascii="Times New Roman" w:hAnsi="Times New Roman" w:cs="Times New Roman" w:eastAsia="Times New Roman" w:hint="default"/>
          <w:spacing w:val="-3"/>
        </w:rPr>
        <w:t> </w:t>
      </w:r>
      <w:r>
        <w:rPr/>
        <w:t>万股为基数，以资本公积金向全体股</w:t>
      </w:r>
    </w:p>
    <w:p>
      <w:pPr>
        <w:pStyle w:val="BodyText"/>
        <w:spacing w:line="240" w:lineRule="auto" w:before="135"/>
        <w:ind w:left="240" w:right="0"/>
        <w:jc w:val="both"/>
      </w:pPr>
      <w:r>
        <w:rPr/>
        <w:t>东每</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股转增</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股，共转增</w:t>
      </w:r>
      <w:r>
        <w:rPr>
          <w:spacing w:val="-54"/>
        </w:rPr>
        <w:t> </w:t>
      </w:r>
      <w:r>
        <w:rPr>
          <w:rFonts w:ascii="Times New Roman" w:hAnsi="Times New Roman" w:cs="Times New Roman" w:eastAsia="Times New Roman" w:hint="default"/>
        </w:rPr>
        <w:t>4,500</w:t>
      </w:r>
      <w:r>
        <w:rPr>
          <w:rFonts w:ascii="Times New Roman" w:hAnsi="Times New Roman" w:cs="Times New Roman" w:eastAsia="Times New Roman" w:hint="default"/>
          <w:spacing w:val="6"/>
        </w:rPr>
        <w:t> </w:t>
      </w:r>
      <w:r>
        <w:rPr/>
        <w:t>万股。转增后，公司的注册资本由</w:t>
      </w:r>
      <w:r>
        <w:rPr>
          <w:spacing w:val="-54"/>
        </w:rPr>
        <w:t> </w:t>
      </w:r>
      <w:r>
        <w:rPr>
          <w:rFonts w:ascii="Times New Roman" w:hAnsi="Times New Roman" w:cs="Times New Roman" w:eastAsia="Times New Roman" w:hint="default"/>
        </w:rPr>
        <w:t>7,500</w:t>
      </w:r>
      <w:r>
        <w:rPr>
          <w:rFonts w:ascii="Times New Roman" w:hAnsi="Times New Roman" w:cs="Times New Roman" w:eastAsia="Times New Roman" w:hint="default"/>
          <w:spacing w:val="6"/>
        </w:rPr>
        <w:t> </w:t>
      </w:r>
      <w:r>
        <w:rPr/>
        <w:t>万元增</w:t>
      </w:r>
    </w:p>
    <w:p>
      <w:pPr>
        <w:pStyle w:val="BodyText"/>
        <w:spacing w:line="348" w:lineRule="auto" w:before="135"/>
        <w:ind w:left="240" w:right="252"/>
        <w:jc w:val="both"/>
      </w:pPr>
      <w:r>
        <w:rPr/>
        <w:t>至</w:t>
      </w:r>
      <w:r>
        <w:rPr>
          <w:spacing w:val="-63"/>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2"/>
        </w:rPr>
        <w:t> </w:t>
      </w:r>
      <w:r>
        <w:rPr/>
        <w:t>万元。公司于</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日完成了工商手续，取得了北京市工商行政 管理局换发的《企业法人营业执照》。公司企业法人营业执照注册号、税务登记号</w:t>
      </w:r>
      <w:r>
        <w:rPr>
          <w:spacing w:val="-77"/>
        </w:rPr>
        <w:t> </w:t>
      </w:r>
      <w:r>
        <w:rPr>
          <w:spacing w:val="-77"/>
        </w:rPr>
      </w:r>
      <w:r>
        <w:rPr/>
        <w:t>码、组织机构代码等信息未发生变更。</w:t>
      </w:r>
    </w:p>
    <w:p>
      <w:pPr>
        <w:spacing w:after="0" w:line="348" w:lineRule="auto"/>
        <w:jc w:val="both"/>
        <w:sectPr>
          <w:pgSz w:w="11910" w:h="16840"/>
          <w:pgMar w:header="884" w:footer="1007" w:top="1140" w:bottom="1200" w:left="1560" w:right="1160"/>
        </w:sectPr>
      </w:pPr>
    </w:p>
    <w:p>
      <w:pPr>
        <w:spacing w:line="240" w:lineRule="auto" w:before="12"/>
        <w:rPr>
          <w:rFonts w:ascii="宋体" w:hAnsi="宋体" w:cs="宋体" w:eastAsia="宋体" w:hint="default"/>
          <w:sz w:val="23"/>
          <w:szCs w:val="23"/>
        </w:rPr>
      </w:pPr>
    </w:p>
    <w:p>
      <w:pPr>
        <w:pStyle w:val="Heading1"/>
        <w:spacing w:line="460" w:lineRule="exact"/>
        <w:ind w:left="1844" w:right="0"/>
        <w:jc w:val="left"/>
        <w:rPr>
          <w:b w:val="0"/>
          <w:bCs w:val="0"/>
        </w:rPr>
      </w:pPr>
      <w:bookmarkStart w:name="_TOC_250085" w:id="3"/>
      <w:r>
        <w:rPr>
          <w:spacing w:val="3"/>
        </w:rPr>
        <w:t>第三节</w:t>
      </w:r>
      <w:r>
        <w:rPr>
          <w:spacing w:val="-30"/>
        </w:rPr>
        <w:t> </w:t>
      </w:r>
      <w:r>
        <w:rPr>
          <w:spacing w:val="4"/>
        </w:rPr>
        <w:t>会计数据和业务数据摘要</w:t>
      </w:r>
      <w:bookmarkEnd w:id="3"/>
      <w:r>
        <w:rPr>
          <w:b w:val="0"/>
          <w:bCs w:val="0"/>
          <w:spacing w:val="4"/>
        </w:rPr>
      </w:r>
    </w:p>
    <w:p>
      <w:pPr>
        <w:spacing w:line="240" w:lineRule="auto" w:before="7"/>
        <w:rPr>
          <w:rFonts w:ascii="宋体" w:hAnsi="宋体" w:cs="宋体" w:eastAsia="宋体" w:hint="default"/>
          <w:b/>
          <w:bCs/>
          <w:sz w:val="40"/>
          <w:szCs w:val="40"/>
        </w:rPr>
      </w:pPr>
    </w:p>
    <w:p>
      <w:pPr>
        <w:pStyle w:val="Heading3"/>
        <w:spacing w:line="240" w:lineRule="auto"/>
        <w:ind w:left="140" w:right="0"/>
        <w:jc w:val="left"/>
        <w:rPr>
          <w:b w:val="0"/>
          <w:bCs w:val="0"/>
        </w:rPr>
      </w:pPr>
      <w:bookmarkStart w:name="_TOC_250084" w:id="4"/>
      <w:r>
        <w:rPr>
          <w:spacing w:val="3"/>
        </w:rPr>
        <w:t>一、主要会计数据</w:t>
      </w:r>
      <w:bookmarkEnd w:id="4"/>
      <w:r>
        <w:rPr>
          <w:b w:val="0"/>
          <w:bCs w:val="0"/>
          <w:spacing w:val="3"/>
        </w:rPr>
      </w:r>
    </w:p>
    <w:p>
      <w:pPr>
        <w:spacing w:line="240" w:lineRule="auto" w:before="10"/>
        <w:rPr>
          <w:rFonts w:ascii="宋体" w:hAnsi="宋体" w:cs="宋体" w:eastAsia="宋体" w:hint="default"/>
          <w:b/>
          <w:bCs/>
          <w:sz w:val="29"/>
          <w:szCs w:val="29"/>
        </w:rPr>
      </w:pPr>
    </w:p>
    <w:p>
      <w:pPr>
        <w:spacing w:before="0"/>
        <w:ind w:left="0" w:right="368" w:firstLine="0"/>
        <w:jc w:val="right"/>
        <w:rPr>
          <w:rFonts w:ascii="宋体" w:hAnsi="宋体" w:cs="宋体" w:eastAsia="宋体" w:hint="default"/>
          <w:sz w:val="21"/>
          <w:szCs w:val="21"/>
        </w:rPr>
      </w:pPr>
      <w:r>
        <w:rPr>
          <w:rFonts w:ascii="宋体" w:hAnsi="宋体" w:cs="宋体" w:eastAsia="宋体" w:hint="default"/>
          <w:b/>
          <w:bCs/>
          <w:w w:val="100"/>
          <w:sz w:val="21"/>
          <w:szCs w:val="21"/>
        </w:rPr>
        <w:t>单位</w:t>
      </w:r>
      <w:r>
        <w:rPr>
          <w:rFonts w:ascii="宋体" w:hAnsi="宋体" w:cs="宋体" w:eastAsia="宋体" w:hint="default"/>
          <w:b/>
          <w:bCs/>
          <w:spacing w:val="-183"/>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line="240" w:lineRule="auto" w:before="4"/>
        <w:rPr>
          <w:rFonts w:ascii="宋体" w:hAnsi="宋体" w:cs="宋体" w:eastAsia="宋体" w:hint="default"/>
          <w:b/>
          <w:bCs/>
          <w:sz w:val="9"/>
          <w:szCs w:val="9"/>
        </w:rPr>
      </w:pPr>
    </w:p>
    <w:tbl>
      <w:tblPr>
        <w:tblW w:w="0" w:type="auto"/>
        <w:jc w:val="left"/>
        <w:tblInd w:w="111" w:type="dxa"/>
        <w:tblLayout w:type="fixed"/>
        <w:tblCellMar>
          <w:top w:w="0" w:type="dxa"/>
          <w:left w:w="0" w:type="dxa"/>
          <w:bottom w:w="0" w:type="dxa"/>
          <w:right w:w="0" w:type="dxa"/>
        </w:tblCellMar>
        <w:tblLook w:val="01E0"/>
      </w:tblPr>
      <w:tblGrid>
        <w:gridCol w:w="2141"/>
        <w:gridCol w:w="1702"/>
        <w:gridCol w:w="1560"/>
        <w:gridCol w:w="1558"/>
        <w:gridCol w:w="1551"/>
      </w:tblGrid>
      <w:tr>
        <w:trPr>
          <w:trHeight w:val="658" w:hRule="exact"/>
        </w:trPr>
        <w:tc>
          <w:tcPr>
            <w:tcW w:w="214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9"/>
              <w:ind w:right="1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6"/>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w:t>
            </w:r>
            <w:r>
              <w:rPr>
                <w:rFonts w:ascii="宋体" w:hAnsi="宋体" w:cs="宋体" w:eastAsia="宋体" w:hint="default"/>
                <w:sz w:val="21"/>
                <w:szCs w:val="21"/>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6"/>
              <w:ind w:left="45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w:t>
            </w:r>
            <w:r>
              <w:rPr>
                <w:rFonts w:ascii="宋体" w:hAnsi="宋体" w:cs="宋体" w:eastAsia="宋体" w:hint="default"/>
                <w:sz w:val="21"/>
                <w:szCs w:val="21"/>
              </w:rPr>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68" w:lineRule="auto" w:before="42"/>
              <w:ind w:left="175" w:right="312" w:firstLine="2"/>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5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6"/>
              <w:ind w:left="44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06"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7"/>
              <w:ind w:right="8"/>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293,109,270.08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202,537,982.90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44.72</w:t>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2"/>
              <w:ind w:right="-3"/>
              <w:jc w:val="right"/>
              <w:rPr>
                <w:rFonts w:ascii="Times New Roman" w:hAnsi="Times New Roman" w:cs="Times New Roman" w:eastAsia="Times New Roman" w:hint="default"/>
                <w:sz w:val="21"/>
                <w:szCs w:val="21"/>
              </w:rPr>
            </w:pPr>
            <w:r>
              <w:rPr>
                <w:rFonts w:ascii="Times New Roman"/>
                <w:spacing w:val="-1"/>
                <w:sz w:val="21"/>
              </w:rPr>
              <w:t>152,752,716.38</w:t>
            </w:r>
          </w:p>
        </w:tc>
      </w:tr>
      <w:tr>
        <w:trPr>
          <w:trHeight w:val="406"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7"/>
              <w:ind w:right="8"/>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40,685,627.73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pacing w:val="-2"/>
                <w:sz w:val="21"/>
              </w:rPr>
              <w:t>28,115,893.6</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44.71</w:t>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23,833,958.57</w:t>
            </w:r>
          </w:p>
        </w:tc>
      </w:tr>
      <w:tr>
        <w:trPr>
          <w:trHeight w:val="403"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7"/>
              <w:ind w:right="8"/>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53,895,296.27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48,557,693.89</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10.99</w:t>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2"/>
              <w:ind w:right="-3"/>
              <w:jc w:val="right"/>
              <w:rPr>
                <w:rFonts w:ascii="Times New Roman" w:hAnsi="Times New Roman" w:cs="Times New Roman" w:eastAsia="Times New Roman" w:hint="default"/>
                <w:sz w:val="21"/>
                <w:szCs w:val="21"/>
              </w:rPr>
            </w:pPr>
            <w:r>
              <w:rPr>
                <w:rFonts w:ascii="Times New Roman"/>
                <w:spacing w:val="-1"/>
                <w:sz w:val="21"/>
              </w:rPr>
              <w:t>34,375,041.15</w:t>
            </w:r>
          </w:p>
        </w:tc>
      </w:tr>
      <w:tr>
        <w:trPr>
          <w:trHeight w:val="722"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62"/>
              <w:ind w:left="527" w:right="221" w:hanging="315"/>
              <w:jc w:val="left"/>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z w:val="21"/>
                <w:szCs w:val="21"/>
              </w:rPr>
              <w:t>东的净利润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46,761,088.46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45,074,544.68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3.74</w:t>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31,537,303.24</w:t>
            </w:r>
          </w:p>
        </w:tc>
      </w:tr>
      <w:tr>
        <w:trPr>
          <w:trHeight w:val="1032"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62"/>
              <w:ind w:left="213" w:right="221"/>
              <w:jc w:val="center"/>
              <w:rPr>
                <w:rFonts w:ascii="宋体" w:hAnsi="宋体" w:cs="宋体" w:eastAsia="宋体" w:hint="default"/>
                <w:sz w:val="21"/>
                <w:szCs w:val="21"/>
              </w:rPr>
            </w:pPr>
            <w:r>
              <w:rPr>
                <w:rFonts w:ascii="宋体" w:hAnsi="宋体" w:cs="宋体" w:eastAsia="宋体" w:hint="default"/>
                <w:spacing w:val="-2"/>
                <w:sz w:val="21"/>
                <w:szCs w:val="21"/>
              </w:rPr>
              <w:t>归属于上市公司股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东的扣除非经常性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损益的净利润</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43,200,646.58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35,476,651.62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21.77</w:t>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9"/>
                <w:szCs w:val="29"/>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26,070,593.18</w:t>
            </w:r>
          </w:p>
        </w:tc>
      </w:tr>
      <w:tr>
        <w:trPr>
          <w:trHeight w:val="720"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59"/>
              <w:ind w:left="527" w:right="221" w:hanging="315"/>
              <w:jc w:val="left"/>
              <w:rPr>
                <w:rFonts w:ascii="宋体" w:hAnsi="宋体" w:cs="宋体" w:eastAsia="宋体" w:hint="default"/>
                <w:sz w:val="21"/>
                <w:szCs w:val="21"/>
              </w:rPr>
            </w:pPr>
            <w:r>
              <w:rPr>
                <w:rFonts w:ascii="宋体" w:hAnsi="宋体" w:cs="宋体" w:eastAsia="宋体" w:hint="default"/>
                <w:sz w:val="21"/>
                <w:szCs w:val="21"/>
              </w:rPr>
              <w:t>经营活动产生的现</w:t>
            </w:r>
            <w:r>
              <w:rPr>
                <w:rFonts w:ascii="宋体" w:hAnsi="宋体" w:cs="宋体" w:eastAsia="宋体" w:hint="default"/>
                <w:w w:val="100"/>
                <w:sz w:val="21"/>
                <w:szCs w:val="21"/>
              </w:rPr>
              <w:t> </w:t>
            </w:r>
            <w:r>
              <w:rPr>
                <w:rFonts w:ascii="宋体" w:hAnsi="宋体" w:cs="宋体" w:eastAsia="宋体" w:hint="default"/>
                <w:sz w:val="21"/>
                <w:szCs w:val="21"/>
              </w:rPr>
              <w:t>金流量净额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842,753.72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26,975,393.38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-96.88</w:t>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21,268,309.46</w:t>
            </w:r>
          </w:p>
        </w:tc>
      </w:tr>
      <w:tr>
        <w:trPr>
          <w:trHeight w:val="694" w:hRule="exact"/>
        </w:trPr>
        <w:tc>
          <w:tcPr>
            <w:tcW w:w="2141" w:type="dxa"/>
            <w:tcBorders>
              <w:top w:val="single" w:sz="6" w:space="0" w:color="000000"/>
              <w:left w:val="single" w:sz="12"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年末</w:t>
            </w:r>
            <w:r>
              <w:rPr>
                <w:rFonts w:ascii="宋体" w:hAnsi="宋体" w:cs="宋体" w:eastAsia="宋体" w:hint="default"/>
                <w:sz w:val="21"/>
                <w:szCs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5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年末</w:t>
            </w:r>
            <w:r>
              <w:rPr>
                <w:rFonts w:ascii="宋体" w:hAnsi="宋体" w:cs="宋体" w:eastAsia="宋体" w:hint="default"/>
                <w:sz w:val="21"/>
                <w:szCs w:val="21"/>
              </w:rPr>
            </w:r>
          </w:p>
        </w:tc>
        <w:tc>
          <w:tcPr>
            <w:tcW w:w="1558" w:type="dxa"/>
            <w:tcBorders>
              <w:top w:val="single" w:sz="6" w:space="0" w:color="000000"/>
              <w:left w:val="single" w:sz="6" w:space="0" w:color="000000"/>
              <w:bottom w:val="single" w:sz="25" w:space="0" w:color="FFFFFF"/>
              <w:right w:val="single" w:sz="6" w:space="0" w:color="000000"/>
            </w:tcBorders>
          </w:tcPr>
          <w:p>
            <w:pPr>
              <w:pStyle w:val="TableParagraph"/>
              <w:spacing w:line="268" w:lineRule="auto" w:before="33"/>
              <w:ind w:left="-1" w:right="29" w:firstLine="175"/>
              <w:jc w:val="left"/>
              <w:rPr>
                <w:rFonts w:ascii="宋体" w:hAnsi="宋体" w:cs="宋体" w:eastAsia="宋体" w:hint="default"/>
                <w:sz w:val="21"/>
                <w:szCs w:val="21"/>
              </w:rPr>
            </w:pPr>
            <w:r>
              <w:rPr>
                <w:rFonts w:ascii="宋体" w:hAnsi="宋体" w:cs="宋体" w:eastAsia="宋体" w:hint="default"/>
                <w:b/>
                <w:bCs/>
                <w:sz w:val="21"/>
                <w:szCs w:val="21"/>
              </w:rPr>
              <w:t>本年末比上</w:t>
            </w:r>
            <w:r>
              <w:rPr>
                <w:rFonts w:ascii="宋体" w:hAnsi="宋体" w:cs="宋体" w:eastAsia="宋体" w:hint="default"/>
                <w:b/>
                <w:bCs/>
                <w:w w:val="100"/>
                <w:sz w:val="21"/>
                <w:szCs w:val="21"/>
              </w:rPr>
              <w:t> </w:t>
            </w:r>
            <w:r>
              <w:rPr>
                <w:rFonts w:ascii="宋体" w:hAnsi="宋体" w:cs="宋体" w:eastAsia="宋体" w:hint="default"/>
                <w:b/>
                <w:bCs/>
                <w:sz w:val="21"/>
                <w:szCs w:val="21"/>
              </w:rPr>
              <w:t>年末增减</w:t>
            </w:r>
            <w:r>
              <w:rPr>
                <w:rFonts w:ascii="宋体" w:hAnsi="宋体" w:cs="宋体" w:eastAsia="宋体" w:hint="default"/>
                <w:b/>
                <w:bCs/>
                <w:spacing w:val="-71"/>
                <w:sz w:val="21"/>
                <w:szCs w:val="21"/>
              </w:rPr>
              <w:t> </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34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408"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10"/>
              <w:jc w:val="center"/>
              <w:rPr>
                <w:rFonts w:ascii="宋体" w:hAnsi="宋体" w:cs="宋体" w:eastAsia="宋体" w:hint="default"/>
                <w:sz w:val="21"/>
                <w:szCs w:val="21"/>
              </w:rPr>
            </w:pPr>
            <w:r>
              <w:rPr>
                <w:rFonts w:ascii="宋体" w:hAnsi="宋体" w:cs="宋体" w:eastAsia="宋体" w:hint="default"/>
                <w:sz w:val="21"/>
                <w:szCs w:val="21"/>
              </w:rPr>
              <w:t>资产总额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 w:right="0"/>
              <w:jc w:val="center"/>
              <w:rPr>
                <w:rFonts w:ascii="Times New Roman" w:hAnsi="Times New Roman" w:cs="Times New Roman" w:eastAsia="Times New Roman" w:hint="default"/>
                <w:sz w:val="21"/>
                <w:szCs w:val="21"/>
              </w:rPr>
            </w:pPr>
            <w:r>
              <w:rPr>
                <w:rFonts w:ascii="Times New Roman"/>
                <w:sz w:val="21"/>
              </w:rPr>
              <w:t>724,800,295.50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right"/>
              <w:rPr>
                <w:rFonts w:ascii="Times New Roman" w:hAnsi="Times New Roman" w:cs="Times New Roman" w:eastAsia="Times New Roman" w:hint="default"/>
                <w:sz w:val="21"/>
                <w:szCs w:val="21"/>
              </w:rPr>
            </w:pPr>
            <w:r>
              <w:rPr>
                <w:rFonts w:ascii="Times New Roman"/>
                <w:spacing w:val="-1"/>
                <w:sz w:val="21"/>
              </w:rPr>
              <w:t>642,169,596.43</w:t>
            </w:r>
          </w:p>
        </w:tc>
        <w:tc>
          <w:tcPr>
            <w:tcW w:w="1558" w:type="dxa"/>
            <w:tcBorders>
              <w:top w:val="single" w:sz="25" w:space="0" w:color="FFFFFF"/>
              <w:left w:val="single" w:sz="6" w:space="0" w:color="000000"/>
              <w:bottom w:val="single" w:sz="6" w:space="0" w:color="000000"/>
              <w:right w:val="single" w:sz="6" w:space="0" w:color="000000"/>
            </w:tcBorders>
          </w:tcPr>
          <w:p>
            <w:pPr>
              <w:pStyle w:val="TableParagraph"/>
              <w:spacing w:line="240" w:lineRule="auto" w:before="51"/>
              <w:ind w:left="2" w:right="0"/>
              <w:jc w:val="center"/>
              <w:rPr>
                <w:rFonts w:ascii="Times New Roman" w:hAnsi="Times New Roman" w:cs="Times New Roman" w:eastAsia="Times New Roman" w:hint="default"/>
                <w:sz w:val="21"/>
                <w:szCs w:val="21"/>
              </w:rPr>
            </w:pPr>
            <w:r>
              <w:rPr>
                <w:rFonts w:ascii="Times New Roman"/>
                <w:sz w:val="21"/>
              </w:rPr>
              <w:t>12.87</w:t>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pacing w:val="-1"/>
                <w:sz w:val="21"/>
              </w:rPr>
              <w:t>548,112,703.42</w:t>
            </w:r>
          </w:p>
        </w:tc>
      </w:tr>
      <w:tr>
        <w:trPr>
          <w:trHeight w:val="406"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7"/>
              <w:ind w:right="8"/>
              <w:jc w:val="center"/>
              <w:rPr>
                <w:rFonts w:ascii="宋体" w:hAnsi="宋体" w:cs="宋体" w:eastAsia="宋体" w:hint="default"/>
                <w:sz w:val="21"/>
                <w:szCs w:val="21"/>
              </w:rPr>
            </w:pPr>
            <w:r>
              <w:rPr>
                <w:rFonts w:ascii="宋体" w:hAnsi="宋体" w:cs="宋体" w:eastAsia="宋体" w:hint="default"/>
                <w:sz w:val="21"/>
                <w:szCs w:val="21"/>
              </w:rPr>
              <w:t>负债总额</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157,554,449.58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21"/>
                <w:szCs w:val="21"/>
              </w:rPr>
            </w:pPr>
            <w:r>
              <w:rPr>
                <w:rFonts w:ascii="Times New Roman"/>
                <w:spacing w:val="-1"/>
                <w:sz w:val="21"/>
              </w:rPr>
              <w:t>110,389,109.28</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center"/>
              <w:rPr>
                <w:rFonts w:ascii="Times New Roman" w:hAnsi="Times New Roman" w:cs="Times New Roman" w:eastAsia="Times New Roman" w:hint="default"/>
                <w:sz w:val="21"/>
                <w:szCs w:val="21"/>
              </w:rPr>
            </w:pPr>
            <w:r>
              <w:rPr>
                <w:rFonts w:ascii="Times New Roman"/>
                <w:sz w:val="21"/>
              </w:rPr>
              <w:t>42.73</w:t>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2"/>
              <w:ind w:right="-3"/>
              <w:jc w:val="right"/>
              <w:rPr>
                <w:rFonts w:ascii="Times New Roman" w:hAnsi="Times New Roman" w:cs="Times New Roman" w:eastAsia="Times New Roman" w:hint="default"/>
                <w:sz w:val="21"/>
                <w:szCs w:val="21"/>
              </w:rPr>
            </w:pPr>
            <w:r>
              <w:rPr>
                <w:rFonts w:ascii="Times New Roman"/>
                <w:spacing w:val="-1"/>
                <w:sz w:val="21"/>
              </w:rPr>
              <w:t>66,078,955.08</w:t>
            </w:r>
          </w:p>
        </w:tc>
      </w:tr>
      <w:tr>
        <w:trPr>
          <w:trHeight w:val="996" w:hRule="exact"/>
        </w:trPr>
        <w:tc>
          <w:tcPr>
            <w:tcW w:w="2141"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42"/>
              <w:ind w:left="155" w:right="166" w:firstLine="2"/>
              <w:jc w:val="center"/>
              <w:rPr>
                <w:rFonts w:ascii="宋体" w:hAnsi="宋体" w:cs="宋体" w:eastAsia="宋体" w:hint="default"/>
                <w:sz w:val="21"/>
                <w:szCs w:val="21"/>
              </w:rPr>
            </w:pPr>
            <w:r>
              <w:rPr>
                <w:rFonts w:ascii="宋体" w:hAnsi="宋体" w:cs="宋体" w:eastAsia="宋体" w:hint="default"/>
                <w:sz w:val="21"/>
                <w:szCs w:val="21"/>
              </w:rPr>
              <w:t>归属于上市公司股</w:t>
            </w:r>
            <w:r>
              <w:rPr>
                <w:rFonts w:ascii="宋体" w:hAnsi="宋体" w:cs="宋体" w:eastAsia="宋体" w:hint="default"/>
                <w:w w:val="100"/>
                <w:sz w:val="21"/>
                <w:szCs w:val="21"/>
              </w:rPr>
              <w:t> </w:t>
            </w:r>
            <w:r>
              <w:rPr>
                <w:rFonts w:ascii="宋体" w:hAnsi="宋体" w:cs="宋体" w:eastAsia="宋体" w:hint="default"/>
                <w:spacing w:val="-13"/>
                <w:w w:val="100"/>
                <w:sz w:val="21"/>
                <w:szCs w:val="21"/>
              </w:rPr>
              <w:t>东的所有者权益（或</w:t>
            </w:r>
            <w:r>
              <w:rPr>
                <w:rFonts w:ascii="宋体" w:hAnsi="宋体" w:cs="宋体" w:eastAsia="宋体" w:hint="default"/>
                <w:w w:val="100"/>
                <w:sz w:val="21"/>
                <w:szCs w:val="21"/>
              </w:rPr>
              <w:t> </w:t>
            </w:r>
            <w:r>
              <w:rPr>
                <w:rFonts w:ascii="宋体" w:hAnsi="宋体" w:cs="宋体" w:eastAsia="宋体" w:hint="default"/>
                <w:sz w:val="21"/>
                <w:szCs w:val="21"/>
              </w:rPr>
              <w:t>股东权益）</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546,527,702.70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511,483,565.51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6.85</w:t>
            </w:r>
          </w:p>
        </w:tc>
        <w:tc>
          <w:tcPr>
            <w:tcW w:w="15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28"/>
                <w:szCs w:val="28"/>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482,033,748.34</w:t>
            </w:r>
          </w:p>
        </w:tc>
      </w:tr>
      <w:tr>
        <w:trPr>
          <w:trHeight w:val="420" w:hRule="exact"/>
        </w:trPr>
        <w:tc>
          <w:tcPr>
            <w:tcW w:w="214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right="10"/>
              <w:jc w:val="center"/>
              <w:rPr>
                <w:rFonts w:ascii="宋体" w:hAnsi="宋体" w:cs="宋体" w:eastAsia="宋体" w:hint="default"/>
                <w:sz w:val="21"/>
                <w:szCs w:val="21"/>
              </w:rPr>
            </w:pPr>
            <w:r>
              <w:rPr>
                <w:rFonts w:ascii="宋体" w:hAnsi="宋体" w:cs="宋体" w:eastAsia="宋体" w:hint="default"/>
                <w:sz w:val="21"/>
                <w:szCs w:val="21"/>
              </w:rPr>
              <w:t>总股本（股）</w:t>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0"/>
              <w:jc w:val="center"/>
              <w:rPr>
                <w:rFonts w:ascii="Times New Roman" w:hAnsi="Times New Roman" w:cs="Times New Roman" w:eastAsia="Times New Roman" w:hint="default"/>
                <w:sz w:val="21"/>
                <w:szCs w:val="21"/>
              </w:rPr>
            </w:pPr>
            <w:r>
              <w:rPr>
                <w:rFonts w:ascii="Times New Roman"/>
                <w:sz w:val="21"/>
              </w:rPr>
              <w:t>120,000,000</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0"/>
              <w:jc w:val="right"/>
              <w:rPr>
                <w:rFonts w:ascii="Times New Roman" w:hAnsi="Times New Roman" w:cs="Times New Roman" w:eastAsia="Times New Roman" w:hint="default"/>
                <w:sz w:val="21"/>
                <w:szCs w:val="21"/>
              </w:rPr>
            </w:pPr>
            <w:r>
              <w:rPr>
                <w:rFonts w:ascii="Times New Roman"/>
                <w:spacing w:val="-1"/>
                <w:sz w:val="21"/>
              </w:rPr>
              <w:t>75,000,000.00</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left="2" w:right="0"/>
              <w:jc w:val="center"/>
              <w:rPr>
                <w:rFonts w:ascii="Times New Roman" w:hAnsi="Times New Roman" w:cs="Times New Roman" w:eastAsia="Times New Roman" w:hint="default"/>
                <w:sz w:val="21"/>
                <w:szCs w:val="21"/>
              </w:rPr>
            </w:pPr>
            <w:r>
              <w:rPr>
                <w:rFonts w:ascii="Times New Roman"/>
                <w:sz w:val="21"/>
              </w:rPr>
              <w:t>60.00</w:t>
            </w:r>
          </w:p>
        </w:tc>
        <w:tc>
          <w:tcPr>
            <w:tcW w:w="15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0"/>
              <w:ind w:right="-3"/>
              <w:jc w:val="right"/>
              <w:rPr>
                <w:rFonts w:ascii="Times New Roman" w:hAnsi="Times New Roman" w:cs="Times New Roman" w:eastAsia="Times New Roman" w:hint="default"/>
                <w:sz w:val="21"/>
                <w:szCs w:val="21"/>
              </w:rPr>
            </w:pPr>
            <w:r>
              <w:rPr>
                <w:rFonts w:ascii="Times New Roman"/>
                <w:spacing w:val="-1"/>
                <w:sz w:val="21"/>
              </w:rPr>
              <w:t>75,000,000.00</w:t>
            </w:r>
          </w:p>
        </w:tc>
      </w:tr>
    </w:tbl>
    <w:p>
      <w:pPr>
        <w:spacing w:line="240" w:lineRule="auto" w:before="10"/>
        <w:rPr>
          <w:rFonts w:ascii="宋体" w:hAnsi="宋体" w:cs="宋体" w:eastAsia="宋体" w:hint="default"/>
          <w:b/>
          <w:bCs/>
          <w:sz w:val="24"/>
          <w:szCs w:val="24"/>
        </w:rPr>
      </w:pPr>
    </w:p>
    <w:p>
      <w:pPr>
        <w:pStyle w:val="Heading3"/>
        <w:spacing w:line="240" w:lineRule="auto" w:before="7"/>
        <w:ind w:left="140" w:right="0"/>
        <w:jc w:val="left"/>
        <w:rPr>
          <w:b w:val="0"/>
          <w:bCs w:val="0"/>
        </w:rPr>
      </w:pPr>
      <w:bookmarkStart w:name="_TOC_250083" w:id="5"/>
      <w:r>
        <w:rPr>
          <w:spacing w:val="3"/>
        </w:rPr>
        <w:t>二、主要财务指标</w:t>
      </w:r>
      <w:bookmarkEnd w:id="5"/>
      <w:r>
        <w:rPr>
          <w:b w:val="0"/>
          <w:bCs w:val="0"/>
          <w:spacing w:val="3"/>
        </w:rPr>
      </w:r>
    </w:p>
    <w:p>
      <w:pPr>
        <w:spacing w:line="240" w:lineRule="auto" w:before="13"/>
        <w:rPr>
          <w:rFonts w:ascii="宋体" w:hAnsi="宋体" w:cs="宋体" w:eastAsia="宋体" w:hint="default"/>
          <w:b/>
          <w:bCs/>
          <w:sz w:val="26"/>
          <w:szCs w:val="26"/>
        </w:rPr>
      </w:pPr>
    </w:p>
    <w:p>
      <w:pPr>
        <w:spacing w:before="36"/>
        <w:ind w:left="0" w:right="368"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tbl>
      <w:tblPr>
        <w:tblW w:w="0" w:type="auto"/>
        <w:jc w:val="left"/>
        <w:tblInd w:w="111" w:type="dxa"/>
        <w:tblLayout w:type="fixed"/>
        <w:tblCellMar>
          <w:top w:w="0" w:type="dxa"/>
          <w:left w:w="0" w:type="dxa"/>
          <w:bottom w:w="0" w:type="dxa"/>
          <w:right w:w="0" w:type="dxa"/>
        </w:tblCellMar>
        <w:tblLook w:val="01E0"/>
      </w:tblPr>
      <w:tblGrid>
        <w:gridCol w:w="4409"/>
        <w:gridCol w:w="994"/>
        <w:gridCol w:w="991"/>
        <w:gridCol w:w="1277"/>
        <w:gridCol w:w="936"/>
      </w:tblGrid>
      <w:tr>
        <w:trPr>
          <w:trHeight w:val="900" w:hRule="exact"/>
        </w:trPr>
        <w:tc>
          <w:tcPr>
            <w:tcW w:w="440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7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w:t>
            </w:r>
            <w:r>
              <w:rPr>
                <w:rFonts w:ascii="宋体" w:hAnsi="宋体" w:cs="宋体" w:eastAsia="宋体" w:hint="default"/>
                <w:sz w:val="21"/>
                <w:szCs w:val="21"/>
              </w:rPr>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7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68" w:lineRule="auto" w:before="165"/>
              <w:ind w:left="189" w:right="95" w:hanging="87"/>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100"/>
                <w:sz w:val="21"/>
                <w:szCs w:val="21"/>
              </w:rPr>
              <w:t> </w:t>
            </w:r>
            <w:r>
              <w:rPr>
                <w:rFonts w:ascii="宋体" w:hAnsi="宋体" w:cs="宋体" w:eastAsia="宋体" w:hint="default"/>
                <w:b/>
                <w:bCs/>
                <w:spacing w:val="-16"/>
                <w:sz w:val="21"/>
                <w:szCs w:val="21"/>
              </w:rPr>
              <w:t>增减（</w:t>
            </w:r>
            <w:r>
              <w:rPr>
                <w:rFonts w:ascii="Times New Roman" w:hAnsi="Times New Roman" w:cs="Times New Roman" w:eastAsia="Times New Roman" w:hint="default"/>
                <w:b/>
                <w:bCs/>
                <w:spacing w:val="-16"/>
                <w:sz w:val="21"/>
                <w:szCs w:val="21"/>
              </w:rPr>
              <w:t>%</w:t>
            </w:r>
            <w:r>
              <w:rPr>
                <w:rFonts w:ascii="宋体" w:hAnsi="宋体" w:cs="宋体" w:eastAsia="宋体" w:hint="default"/>
                <w:b/>
                <w:bCs/>
                <w:spacing w:val="-16"/>
                <w:sz w:val="21"/>
                <w:szCs w:val="21"/>
              </w:rPr>
              <w:t>）</w:t>
            </w:r>
            <w:r>
              <w:rPr>
                <w:rFonts w:ascii="宋体" w:hAnsi="宋体" w:cs="宋体" w:eastAsia="宋体" w:hint="default"/>
                <w:spacing w:val="-16"/>
                <w:sz w:val="21"/>
                <w:szCs w:val="21"/>
              </w:rPr>
            </w:r>
          </w:p>
        </w:tc>
        <w:tc>
          <w:tcPr>
            <w:tcW w:w="9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4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439" w:hRule="exact"/>
        </w:trPr>
        <w:tc>
          <w:tcPr>
            <w:tcW w:w="44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0"/>
              <w:ind w:left="155" w:right="0"/>
              <w:jc w:val="left"/>
              <w:rPr>
                <w:rFonts w:ascii="宋体" w:hAnsi="宋体" w:cs="宋体" w:eastAsia="宋体" w:hint="default"/>
                <w:sz w:val="21"/>
                <w:szCs w:val="21"/>
              </w:rPr>
            </w:pPr>
            <w:r>
              <w:rPr>
                <w:rFonts w:ascii="宋体" w:hAnsi="宋体" w:cs="宋体" w:eastAsia="宋体" w:hint="default"/>
                <w:spacing w:val="-3"/>
                <w:sz w:val="21"/>
                <w:szCs w:val="21"/>
              </w:rPr>
              <w:t>基本每股收益（元</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z w:val="21"/>
              </w:rPr>
              <w:t>0.390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3"/>
              <w:jc w:val="right"/>
              <w:rPr>
                <w:rFonts w:ascii="Times New Roman" w:hAnsi="Times New Roman" w:cs="Times New Roman" w:eastAsia="Times New Roman" w:hint="default"/>
                <w:sz w:val="21"/>
                <w:szCs w:val="21"/>
              </w:rPr>
            </w:pPr>
            <w:r>
              <w:rPr>
                <w:rFonts w:ascii="Times New Roman"/>
                <w:sz w:val="21"/>
              </w:rPr>
              <w:t>0.376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3"/>
              <w:jc w:val="right"/>
              <w:rPr>
                <w:rFonts w:ascii="Times New Roman" w:hAnsi="Times New Roman" w:cs="Times New Roman" w:eastAsia="Times New Roman" w:hint="default"/>
                <w:sz w:val="21"/>
                <w:szCs w:val="21"/>
              </w:rPr>
            </w:pPr>
            <w:r>
              <w:rPr>
                <w:rFonts w:ascii="Times New Roman"/>
                <w:sz w:val="21"/>
              </w:rPr>
              <w:t>3.72</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3"/>
              <w:jc w:val="right"/>
              <w:rPr>
                <w:rFonts w:ascii="Times New Roman" w:hAnsi="Times New Roman" w:cs="Times New Roman" w:eastAsia="Times New Roman" w:hint="default"/>
                <w:sz w:val="21"/>
                <w:szCs w:val="21"/>
              </w:rPr>
            </w:pPr>
            <w:r>
              <w:rPr>
                <w:rFonts w:ascii="Times New Roman"/>
                <w:sz w:val="21"/>
              </w:rPr>
              <w:t>0.563</w:t>
            </w:r>
          </w:p>
        </w:tc>
      </w:tr>
      <w:tr>
        <w:trPr>
          <w:trHeight w:val="406" w:hRule="exact"/>
        </w:trPr>
        <w:tc>
          <w:tcPr>
            <w:tcW w:w="44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4"/>
              <w:ind w:left="155"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right"/>
              <w:rPr>
                <w:rFonts w:ascii="Times New Roman" w:hAnsi="Times New Roman" w:cs="Times New Roman" w:eastAsia="Times New Roman" w:hint="default"/>
                <w:sz w:val="21"/>
                <w:szCs w:val="21"/>
              </w:rPr>
            </w:pPr>
            <w:r>
              <w:rPr>
                <w:rFonts w:ascii="Times New Roman"/>
                <w:sz w:val="21"/>
              </w:rPr>
              <w:t>0.390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z w:val="21"/>
              </w:rPr>
              <w:t>0.376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z w:val="21"/>
              </w:rPr>
              <w:t>3.72</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3"/>
              <w:jc w:val="right"/>
              <w:rPr>
                <w:rFonts w:ascii="Times New Roman" w:hAnsi="Times New Roman" w:cs="Times New Roman" w:eastAsia="Times New Roman" w:hint="default"/>
                <w:sz w:val="21"/>
                <w:szCs w:val="21"/>
              </w:rPr>
            </w:pPr>
            <w:r>
              <w:rPr>
                <w:rFonts w:ascii="Times New Roman"/>
                <w:sz w:val="21"/>
              </w:rPr>
              <w:t>0.563</w:t>
            </w:r>
          </w:p>
        </w:tc>
      </w:tr>
      <w:tr>
        <w:trPr>
          <w:trHeight w:val="449" w:hRule="exact"/>
        </w:trPr>
        <w:tc>
          <w:tcPr>
            <w:tcW w:w="44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5"/>
              <w:ind w:left="155" w:right="0"/>
              <w:jc w:val="left"/>
              <w:rPr>
                <w:rFonts w:ascii="宋体" w:hAnsi="宋体" w:cs="宋体" w:eastAsia="宋体" w:hint="default"/>
                <w:sz w:val="21"/>
                <w:szCs w:val="21"/>
              </w:rPr>
            </w:pPr>
            <w:r>
              <w:rPr>
                <w:rFonts w:ascii="宋体" w:hAnsi="宋体" w:cs="宋体" w:eastAsia="宋体" w:hint="default"/>
                <w:sz w:val="21"/>
                <w:szCs w:val="21"/>
              </w:rPr>
              <w:t>用最新股本计算的每股收益（元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21"/>
                <w:szCs w:val="21"/>
              </w:rPr>
            </w:pPr>
            <w:r>
              <w:rPr>
                <w:rFonts w:ascii="Times New Roman"/>
                <w:w w:val="100"/>
                <w:sz w:val="21"/>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435" w:hRule="exact"/>
        </w:trPr>
        <w:tc>
          <w:tcPr>
            <w:tcW w:w="44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6"/>
              <w:ind w:left="155" w:right="0"/>
              <w:jc w:val="left"/>
              <w:rPr>
                <w:rFonts w:ascii="宋体" w:hAnsi="宋体" w:cs="宋体" w:eastAsia="宋体" w:hint="default"/>
                <w:sz w:val="21"/>
                <w:szCs w:val="21"/>
              </w:rPr>
            </w:pPr>
            <w:r>
              <w:rPr>
                <w:rFonts w:ascii="宋体" w:hAnsi="宋体" w:cs="宋体" w:eastAsia="宋体" w:hint="default"/>
                <w:spacing w:val="-4"/>
                <w:sz w:val="21"/>
                <w:szCs w:val="21"/>
              </w:rPr>
              <w:t>扣除非经常性损益后的基本每股收益（元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股）</w:t>
            </w:r>
            <w:r>
              <w:rPr>
                <w:rFonts w:ascii="宋体" w:hAnsi="宋体" w:cs="宋体" w:eastAsia="宋体" w:hint="default"/>
                <w:sz w:val="21"/>
                <w:szCs w:val="21"/>
              </w:rPr>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21"/>
                <w:szCs w:val="21"/>
              </w:rPr>
            </w:pPr>
            <w:r>
              <w:rPr>
                <w:rFonts w:ascii="Times New Roman"/>
                <w:sz w:val="21"/>
              </w:rPr>
              <w:t>0.360</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1"/>
                <w:szCs w:val="21"/>
              </w:rPr>
            </w:pPr>
            <w:r>
              <w:rPr>
                <w:rFonts w:ascii="Times New Roman"/>
                <w:sz w:val="21"/>
              </w:rPr>
              <w:t>0.296</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21"/>
                <w:szCs w:val="21"/>
              </w:rPr>
            </w:pPr>
            <w:r>
              <w:rPr>
                <w:rFonts w:ascii="Times New Roman"/>
                <w:sz w:val="21"/>
              </w:rPr>
              <w:t>21.62</w:t>
            </w:r>
          </w:p>
        </w:tc>
        <w:tc>
          <w:tcPr>
            <w:tcW w:w="9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7"/>
              <w:ind w:right="-3"/>
              <w:jc w:val="right"/>
              <w:rPr>
                <w:rFonts w:ascii="Times New Roman" w:hAnsi="Times New Roman" w:cs="Times New Roman" w:eastAsia="Times New Roman" w:hint="default"/>
                <w:sz w:val="21"/>
                <w:szCs w:val="21"/>
              </w:rPr>
            </w:pPr>
            <w:r>
              <w:rPr>
                <w:rFonts w:ascii="Times New Roman"/>
                <w:sz w:val="21"/>
              </w:rPr>
              <w:t>0.466</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007" w:top="1140" w:bottom="1200" w:left="1660" w:right="1260"/>
        </w:sectPr>
      </w:pPr>
    </w:p>
    <w:p>
      <w:pPr>
        <w:spacing w:line="240" w:lineRule="auto" w:before="6"/>
        <w:rPr>
          <w:rFonts w:ascii="宋体" w:hAnsi="宋体" w:cs="宋体" w:eastAsia="宋体" w:hint="default"/>
          <w:b/>
          <w:bCs/>
          <w:sz w:val="21"/>
          <w:szCs w:val="21"/>
        </w:rPr>
      </w:pPr>
    </w:p>
    <w:tbl>
      <w:tblPr>
        <w:tblW w:w="0" w:type="auto"/>
        <w:jc w:val="left"/>
        <w:tblInd w:w="291" w:type="dxa"/>
        <w:tblLayout w:type="fixed"/>
        <w:tblCellMar>
          <w:top w:w="0" w:type="dxa"/>
          <w:left w:w="0" w:type="dxa"/>
          <w:bottom w:w="0" w:type="dxa"/>
          <w:right w:w="0" w:type="dxa"/>
        </w:tblCellMar>
        <w:tblLook w:val="01E0"/>
      </w:tblPr>
      <w:tblGrid>
        <w:gridCol w:w="4409"/>
        <w:gridCol w:w="994"/>
        <w:gridCol w:w="991"/>
        <w:gridCol w:w="1277"/>
        <w:gridCol w:w="936"/>
      </w:tblGrid>
      <w:tr>
        <w:trPr>
          <w:trHeight w:val="449" w:hRule="exact"/>
        </w:trPr>
        <w:tc>
          <w:tcPr>
            <w:tcW w:w="440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93"/>
              <w:ind w:left="155"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z w:val="21"/>
              </w:rPr>
              <w:t>8.89</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1"/>
                <w:szCs w:val="21"/>
              </w:rPr>
            </w:pPr>
            <w:r>
              <w:rPr>
                <w:rFonts w:ascii="Times New Roman"/>
                <w:sz w:val="21"/>
              </w:rPr>
              <w:t>9.09</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2"/>
              <w:ind w:right="-1"/>
              <w:jc w:val="right"/>
              <w:rPr>
                <w:rFonts w:ascii="Times New Roman" w:hAnsi="Times New Roman" w:cs="Times New Roman" w:eastAsia="Times New Roman" w:hint="default"/>
                <w:sz w:val="21"/>
                <w:szCs w:val="21"/>
              </w:rPr>
            </w:pPr>
            <w:r>
              <w:rPr>
                <w:rFonts w:ascii="Times New Roman"/>
                <w:spacing w:val="-1"/>
                <w:sz w:val="21"/>
              </w:rPr>
              <w:t>-0.20</w:t>
            </w:r>
          </w:p>
        </w:tc>
        <w:tc>
          <w:tcPr>
            <w:tcW w:w="93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2"/>
              <w:ind w:right="-3"/>
              <w:jc w:val="right"/>
              <w:rPr>
                <w:rFonts w:ascii="Times New Roman" w:hAnsi="Times New Roman" w:cs="Times New Roman" w:eastAsia="Times New Roman" w:hint="default"/>
                <w:sz w:val="21"/>
                <w:szCs w:val="21"/>
              </w:rPr>
            </w:pPr>
            <w:r>
              <w:rPr>
                <w:rFonts w:ascii="Times New Roman"/>
                <w:sz w:val="21"/>
              </w:rPr>
              <w:t>25.62</w:t>
            </w:r>
          </w:p>
        </w:tc>
      </w:tr>
      <w:tr>
        <w:trPr>
          <w:trHeight w:val="722" w:hRule="exact"/>
        </w:trPr>
        <w:tc>
          <w:tcPr>
            <w:tcW w:w="4409" w:type="dxa"/>
            <w:tcBorders>
              <w:top w:val="single" w:sz="6" w:space="0" w:color="000000"/>
              <w:left w:val="single" w:sz="12" w:space="0" w:color="000000"/>
              <w:bottom w:val="single" w:sz="6" w:space="0" w:color="000000"/>
              <w:right w:val="single" w:sz="6" w:space="0" w:color="000000"/>
            </w:tcBorders>
          </w:tcPr>
          <w:p>
            <w:pPr>
              <w:pStyle w:val="TableParagraph"/>
              <w:spacing w:line="266" w:lineRule="auto" w:before="81"/>
              <w:ind w:left="155" w:right="235"/>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扣除非经常性损益后的加权平均净资产收益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8.21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6.95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1.26</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21.18</w:t>
            </w:r>
          </w:p>
        </w:tc>
      </w:tr>
      <w:tr>
        <w:trPr>
          <w:trHeight w:val="718" w:hRule="exact"/>
        </w:trPr>
        <w:tc>
          <w:tcPr>
            <w:tcW w:w="44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0.01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0.36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-97.22</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0.28</w:t>
            </w:r>
          </w:p>
        </w:tc>
      </w:tr>
      <w:tr>
        <w:trPr>
          <w:trHeight w:val="984" w:hRule="exact"/>
        </w:trPr>
        <w:tc>
          <w:tcPr>
            <w:tcW w:w="44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年末</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left="6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年末</w:t>
            </w:r>
            <w:r>
              <w:rPr>
                <w:rFonts w:ascii="宋体" w:hAnsi="宋体" w:cs="宋体" w:eastAsia="宋体"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57"/>
              <w:ind w:left="203" w:right="212"/>
              <w:jc w:val="both"/>
              <w:rPr>
                <w:rFonts w:ascii="Times New Roman" w:hAnsi="Times New Roman" w:cs="Times New Roman" w:eastAsia="Times New Roman" w:hint="default"/>
                <w:sz w:val="21"/>
                <w:szCs w:val="21"/>
              </w:rPr>
            </w:pPr>
            <w:r>
              <w:rPr>
                <w:rFonts w:ascii="宋体" w:hAnsi="宋体" w:cs="宋体" w:eastAsia="宋体" w:hint="default"/>
                <w:b/>
                <w:bCs/>
                <w:sz w:val="21"/>
                <w:szCs w:val="21"/>
              </w:rPr>
              <w:t>本年末比</w:t>
            </w:r>
            <w:r>
              <w:rPr>
                <w:rFonts w:ascii="宋体" w:hAnsi="宋体" w:cs="宋体" w:eastAsia="宋体" w:hint="default"/>
                <w:b/>
                <w:bCs/>
                <w:w w:val="100"/>
                <w:sz w:val="21"/>
                <w:szCs w:val="21"/>
              </w:rPr>
              <w:t> </w:t>
            </w:r>
            <w:r>
              <w:rPr>
                <w:rFonts w:ascii="宋体" w:hAnsi="宋体" w:cs="宋体" w:eastAsia="宋体" w:hint="default"/>
                <w:b/>
                <w:bCs/>
                <w:sz w:val="21"/>
                <w:szCs w:val="21"/>
              </w:rPr>
              <w:t>上年末增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27"/>
                <w:szCs w:val="27"/>
              </w:rPr>
            </w:pPr>
          </w:p>
          <w:p>
            <w:pPr>
              <w:pStyle w:val="TableParagraph"/>
              <w:spacing w:line="240" w:lineRule="auto"/>
              <w:ind w:right="35"/>
              <w:jc w:val="righ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2009</w:t>
            </w:r>
            <w:r>
              <w:rPr>
                <w:rFonts w:ascii="宋体" w:hAnsi="宋体" w:cs="宋体" w:eastAsia="宋体" w:hint="default"/>
                <w:b/>
                <w:bCs/>
                <w:spacing w:val="-1"/>
                <w:sz w:val="21"/>
                <w:szCs w:val="21"/>
              </w:rPr>
              <w:t>年末</w:t>
            </w:r>
            <w:r>
              <w:rPr>
                <w:rFonts w:ascii="宋体" w:hAnsi="宋体" w:cs="宋体" w:eastAsia="宋体" w:hint="default"/>
                <w:spacing w:val="-1"/>
                <w:sz w:val="21"/>
                <w:szCs w:val="21"/>
              </w:rPr>
            </w:r>
          </w:p>
        </w:tc>
      </w:tr>
      <w:tr>
        <w:trPr>
          <w:trHeight w:val="711" w:hRule="exact"/>
        </w:trPr>
        <w:tc>
          <w:tcPr>
            <w:tcW w:w="440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4.55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6.82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-33.28</w:t>
            </w:r>
          </w:p>
        </w:tc>
        <w:tc>
          <w:tcPr>
            <w:tcW w:w="9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6.43</w:t>
            </w:r>
          </w:p>
        </w:tc>
      </w:tr>
      <w:tr>
        <w:trPr>
          <w:trHeight w:val="715" w:hRule="exact"/>
        </w:trPr>
        <w:tc>
          <w:tcPr>
            <w:tcW w:w="440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21.74</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17.19</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4.55</w:t>
            </w:r>
          </w:p>
        </w:tc>
        <w:tc>
          <w:tcPr>
            <w:tcW w:w="9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z w:val="21"/>
              </w:rPr>
              <w:t>12.06</w:t>
            </w:r>
          </w:p>
        </w:tc>
      </w:tr>
    </w:tbl>
    <w:p>
      <w:pPr>
        <w:spacing w:before="10"/>
        <w:ind w:left="680" w:right="0" w:firstLine="0"/>
        <w:jc w:val="left"/>
        <w:rPr>
          <w:rFonts w:ascii="宋体" w:hAnsi="宋体" w:cs="宋体" w:eastAsia="宋体" w:hint="default"/>
          <w:sz w:val="18"/>
          <w:szCs w:val="18"/>
        </w:rPr>
      </w:pPr>
      <w:r>
        <w:rPr>
          <w:rFonts w:ascii="宋体" w:hAnsi="宋体" w:cs="宋体" w:eastAsia="宋体" w:hint="default"/>
          <w:sz w:val="18"/>
          <w:szCs w:val="18"/>
        </w:rPr>
        <w:t>备注：</w:t>
      </w:r>
    </w:p>
    <w:p>
      <w:pPr>
        <w:spacing w:line="300" w:lineRule="auto" w:before="76"/>
        <w:ind w:left="320" w:right="0" w:firstLine="35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月，公司实行了资本公积金转增股本，公司股本由</w:t>
      </w:r>
      <w:r>
        <w:rPr>
          <w:rFonts w:ascii="Times New Roman" w:hAnsi="Times New Roman" w:cs="Times New Roman" w:eastAsia="Times New Roman" w:hint="default"/>
          <w:spacing w:val="-3"/>
          <w:sz w:val="18"/>
          <w:szCs w:val="18"/>
        </w:rPr>
        <w:t>7500</w:t>
      </w:r>
      <w:r>
        <w:rPr>
          <w:rFonts w:ascii="宋体" w:hAnsi="宋体" w:cs="宋体" w:eastAsia="宋体" w:hint="default"/>
          <w:spacing w:val="-3"/>
          <w:sz w:val="18"/>
          <w:szCs w:val="18"/>
        </w:rPr>
        <w:t>万股增加至</w:t>
      </w:r>
      <w:r>
        <w:rPr>
          <w:rFonts w:ascii="Times New Roman" w:hAnsi="Times New Roman" w:cs="Times New Roman" w:eastAsia="Times New Roman" w:hint="default"/>
          <w:spacing w:val="-3"/>
          <w:sz w:val="18"/>
          <w:szCs w:val="18"/>
        </w:rPr>
        <w:t>12000</w:t>
      </w:r>
      <w:r>
        <w:rPr>
          <w:rFonts w:ascii="宋体" w:hAnsi="宋体" w:cs="宋体" w:eastAsia="宋体" w:hint="default"/>
          <w:spacing w:val="-3"/>
          <w:sz w:val="18"/>
          <w:szCs w:val="18"/>
        </w:rPr>
        <w:t>万股，为了便于比较，</w:t>
      </w:r>
      <w:r>
        <w:rPr>
          <w:rFonts w:ascii="宋体" w:hAnsi="宋体" w:cs="宋体" w:eastAsia="宋体" w:hint="default"/>
          <w:sz w:val="18"/>
          <w:szCs w:val="18"/>
        </w:rPr>
        <w:t> 因此将</w:t>
      </w:r>
      <w:r>
        <w:rPr>
          <w:rFonts w:ascii="Times New Roman" w:hAnsi="Times New Roman" w:cs="Times New Roman" w:eastAsia="Times New Roman" w:hint="default"/>
          <w:sz w:val="18"/>
          <w:szCs w:val="18"/>
        </w:rPr>
        <w:t>2010</w:t>
      </w:r>
      <w:r>
        <w:rPr>
          <w:rFonts w:ascii="宋体" w:hAnsi="宋体" w:cs="宋体" w:eastAsia="宋体" w:hint="default"/>
          <w:sz w:val="18"/>
          <w:szCs w:val="18"/>
        </w:rPr>
        <w:t>年的上述指标进行了重新计算，</w:t>
      </w:r>
      <w:r>
        <w:rPr>
          <w:rFonts w:ascii="Times New Roman" w:hAnsi="Times New Roman" w:cs="Times New Roman" w:eastAsia="Times New Roman" w:hint="default"/>
          <w:sz w:val="18"/>
          <w:szCs w:val="18"/>
        </w:rPr>
        <w:t>2010</w:t>
      </w:r>
      <w:r>
        <w:rPr>
          <w:rFonts w:ascii="宋体" w:hAnsi="宋体" w:cs="宋体" w:eastAsia="宋体" w:hint="default"/>
          <w:sz w:val="18"/>
          <w:szCs w:val="18"/>
        </w:rPr>
        <w:t>年每股经营活动产生的现金流量净额以及</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年归属于上市公 司股东的每股净资产未进行重新计算，</w:t>
      </w:r>
      <w:r>
        <w:rPr>
          <w:rFonts w:ascii="Times New Roman" w:hAnsi="Times New Roman" w:cs="Times New Roman" w:eastAsia="Times New Roman" w:hint="default"/>
          <w:sz w:val="18"/>
          <w:szCs w:val="18"/>
        </w:rPr>
        <w:t>2009</w:t>
      </w:r>
      <w:r>
        <w:rPr>
          <w:rFonts w:ascii="宋体" w:hAnsi="宋体" w:cs="宋体" w:eastAsia="宋体" w:hint="default"/>
          <w:sz w:val="18"/>
          <w:szCs w:val="18"/>
        </w:rPr>
        <w:t>年的相关指标未重新计算。</w:t>
      </w:r>
    </w:p>
    <w:p>
      <w:pPr>
        <w:spacing w:line="300" w:lineRule="auto" w:before="13"/>
        <w:ind w:left="320" w:right="367" w:firstLine="3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、①表中所列财务指标均按信息披露编报规则第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号规定的计算公式计算。②净资产、每股收益的计算公 式参照《公开发行证券的公司信息披露编报规则第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净资产收益率和每股收益的计算及披露》执行。</w:t>
      </w:r>
    </w:p>
    <w:p>
      <w:pPr>
        <w:spacing w:before="13"/>
        <w:ind w:left="68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、加权平均净资产收益率计算过程：</w:t>
      </w:r>
    </w:p>
    <w:p>
      <w:pPr>
        <w:spacing w:before="42"/>
        <w:ind w:left="0" w:right="329" w:firstLine="0"/>
        <w:jc w:val="right"/>
        <w:rPr>
          <w:rFonts w:ascii="宋体" w:hAnsi="宋体" w:cs="宋体" w:eastAsia="宋体" w:hint="default"/>
          <w:sz w:val="21"/>
          <w:szCs w:val="21"/>
        </w:rPr>
      </w:pPr>
      <w:r>
        <w:rPr>
          <w:rFonts w:ascii="宋体" w:hAnsi="宋体" w:cs="宋体" w:eastAsia="宋体" w:hint="default"/>
          <w:b/>
          <w:bCs/>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14" w:type="dxa"/>
        <w:tblLayout w:type="fixed"/>
        <w:tblCellMar>
          <w:top w:w="0" w:type="dxa"/>
          <w:left w:w="0" w:type="dxa"/>
          <w:bottom w:w="0" w:type="dxa"/>
          <w:right w:w="0" w:type="dxa"/>
        </w:tblCellMar>
        <w:tblLook w:val="01E0"/>
      </w:tblPr>
      <w:tblGrid>
        <w:gridCol w:w="5564"/>
        <w:gridCol w:w="1853"/>
        <w:gridCol w:w="1656"/>
      </w:tblGrid>
      <w:tr>
        <w:trPr>
          <w:trHeight w:val="420" w:hRule="exact"/>
        </w:trPr>
        <w:tc>
          <w:tcPr>
            <w:tcW w:w="5564" w:type="dxa"/>
            <w:tcBorders>
              <w:top w:val="single" w:sz="12" w:space="0" w:color="000000"/>
              <w:left w:val="single" w:sz="12" w:space="0" w:color="000000"/>
              <w:bottom w:val="single" w:sz="6" w:space="0" w:color="000000"/>
              <w:right w:val="single" w:sz="6" w:space="0" w:color="000000"/>
            </w:tcBorders>
          </w:tcPr>
          <w:p>
            <w:pPr>
              <w:pStyle w:val="TableParagraph"/>
              <w:tabs>
                <w:tab w:pos="422" w:val="left" w:leader="none"/>
              </w:tabs>
              <w:spacing w:line="240" w:lineRule="auto" w:before="28"/>
              <w:ind w:right="5"/>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8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165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sz w:val="21"/>
                <w:szCs w:val="21"/>
              </w:rPr>
            </w:r>
          </w:p>
        </w:tc>
      </w:tr>
      <w:tr>
        <w:trPr>
          <w:trHeight w:val="410"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1" w:right="0"/>
              <w:jc w:val="center"/>
              <w:rPr>
                <w:rFonts w:ascii="Times New Roman" w:hAnsi="Times New Roman" w:cs="Times New Roman" w:eastAsia="Times New Roman" w:hint="default"/>
                <w:sz w:val="21"/>
                <w:szCs w:val="21"/>
              </w:rPr>
            </w:pPr>
            <w:r>
              <w:rPr>
                <w:rFonts w:ascii="Times New Roman"/>
                <w:sz w:val="21"/>
              </w:rPr>
              <w:t>P1</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spacing w:val="-1"/>
                <w:sz w:val="21"/>
              </w:rPr>
              <w:t>46,761,088.46</w:t>
            </w:r>
          </w:p>
        </w:tc>
      </w:tr>
      <w:tr>
        <w:trPr>
          <w:trHeight w:val="413"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w w:val="100"/>
                <w:sz w:val="21"/>
              </w:rPr>
              <w:t>F</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spacing w:val="-1"/>
                <w:sz w:val="21"/>
              </w:rPr>
              <w:t>3,560,441.88</w:t>
            </w:r>
          </w:p>
        </w:tc>
      </w:tr>
      <w:tr>
        <w:trPr>
          <w:trHeight w:val="578"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before="1"/>
              <w:ind w:left="93" w:right="103"/>
              <w:jc w:val="left"/>
              <w:rPr>
                <w:rFonts w:ascii="宋体" w:hAnsi="宋体" w:cs="宋体" w:eastAsia="宋体" w:hint="default"/>
                <w:sz w:val="21"/>
                <w:szCs w:val="21"/>
              </w:rPr>
            </w:pPr>
            <w:r>
              <w:rPr>
                <w:rFonts w:ascii="宋体" w:hAnsi="宋体" w:cs="宋体" w:eastAsia="宋体" w:hint="default"/>
                <w:spacing w:val="2"/>
                <w:sz w:val="21"/>
                <w:szCs w:val="21"/>
              </w:rPr>
              <w:t>报告期扣除非经常性损益后归属于公司普通股股东的净利</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润</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1" w:right="0"/>
              <w:jc w:val="center"/>
              <w:rPr>
                <w:rFonts w:ascii="Times New Roman" w:hAnsi="Times New Roman" w:cs="Times New Roman" w:eastAsia="Times New Roman" w:hint="default"/>
                <w:sz w:val="21"/>
                <w:szCs w:val="21"/>
              </w:rPr>
            </w:pPr>
            <w:r>
              <w:rPr>
                <w:rFonts w:ascii="Times New Roman"/>
                <w:sz w:val="21"/>
              </w:rPr>
              <w:t>P2=P1-F</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9"/>
              <w:jc w:val="right"/>
              <w:rPr>
                <w:rFonts w:ascii="Times New Roman" w:hAnsi="Times New Roman" w:cs="Times New Roman" w:eastAsia="Times New Roman" w:hint="default"/>
                <w:sz w:val="21"/>
                <w:szCs w:val="21"/>
              </w:rPr>
            </w:pPr>
            <w:r>
              <w:rPr>
                <w:rFonts w:ascii="Times New Roman"/>
                <w:spacing w:val="-1"/>
                <w:sz w:val="21"/>
              </w:rPr>
              <w:t>43,200,646.58</w:t>
            </w:r>
          </w:p>
        </w:tc>
      </w:tr>
      <w:tr>
        <w:trPr>
          <w:trHeight w:val="410"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E0</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spacing w:val="-1"/>
                <w:sz w:val="21"/>
              </w:rPr>
              <w:t>511,483,565.51</w:t>
            </w:r>
          </w:p>
        </w:tc>
      </w:tr>
      <w:tr>
        <w:trPr>
          <w:trHeight w:val="578"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72" w:lineRule="exact" w:before="5"/>
              <w:ind w:left="93" w:right="103"/>
              <w:jc w:val="left"/>
              <w:rPr>
                <w:rFonts w:ascii="宋体" w:hAnsi="宋体" w:cs="宋体" w:eastAsia="宋体" w:hint="default"/>
                <w:sz w:val="21"/>
                <w:szCs w:val="21"/>
              </w:rPr>
            </w:pPr>
            <w:r>
              <w:rPr>
                <w:rFonts w:ascii="宋体" w:hAnsi="宋体" w:cs="宋体" w:eastAsia="宋体" w:hint="default"/>
                <w:spacing w:val="2"/>
                <w:sz w:val="21"/>
                <w:szCs w:val="21"/>
              </w:rPr>
              <w:t>报告期发行新股或债转股等新增的归属于公司普通股股东</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的净资产</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left="1" w:right="0"/>
              <w:jc w:val="center"/>
              <w:rPr>
                <w:rFonts w:ascii="Times New Roman" w:hAnsi="Times New Roman" w:cs="Times New Roman" w:eastAsia="Times New Roman" w:hint="default"/>
                <w:sz w:val="21"/>
                <w:szCs w:val="21"/>
              </w:rPr>
            </w:pPr>
            <w:r>
              <w:rPr>
                <w:rFonts w:ascii="Times New Roman"/>
                <w:sz w:val="21"/>
              </w:rPr>
              <w:t>Ei</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90"/>
              <w:jc w:val="right"/>
              <w:rPr>
                <w:rFonts w:ascii="Times New Roman" w:hAnsi="Times New Roman" w:cs="Times New Roman" w:eastAsia="Times New Roman" w:hint="default"/>
                <w:sz w:val="21"/>
                <w:szCs w:val="21"/>
              </w:rPr>
            </w:pPr>
            <w:r>
              <w:rPr>
                <w:rFonts w:ascii="Times New Roman"/>
                <w:w w:val="100"/>
                <w:sz w:val="21"/>
              </w:rPr>
              <w:t>-</w:t>
            </w:r>
          </w:p>
        </w:tc>
      </w:tr>
      <w:tr>
        <w:trPr>
          <w:trHeight w:val="413"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新增净资产下一月份起至报告期期末的月份数</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Mi</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90"/>
              <w:jc w:val="right"/>
              <w:rPr>
                <w:rFonts w:ascii="Times New Roman" w:hAnsi="Times New Roman" w:cs="Times New Roman" w:eastAsia="Times New Roman" w:hint="default"/>
                <w:sz w:val="21"/>
                <w:szCs w:val="21"/>
              </w:rPr>
            </w:pPr>
            <w:r>
              <w:rPr>
                <w:rFonts w:ascii="Times New Roman"/>
                <w:w w:val="100"/>
                <w:sz w:val="21"/>
              </w:rPr>
              <w:t>-</w:t>
            </w:r>
          </w:p>
        </w:tc>
      </w:tr>
      <w:tr>
        <w:trPr>
          <w:trHeight w:val="578"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74" w:lineRule="exact" w:before="1"/>
              <w:ind w:left="93" w:right="103"/>
              <w:jc w:val="left"/>
              <w:rPr>
                <w:rFonts w:ascii="宋体" w:hAnsi="宋体" w:cs="宋体" w:eastAsia="宋体" w:hint="default"/>
                <w:sz w:val="21"/>
                <w:szCs w:val="21"/>
              </w:rPr>
            </w:pPr>
            <w:r>
              <w:rPr>
                <w:rFonts w:ascii="宋体" w:hAnsi="宋体" w:cs="宋体" w:eastAsia="宋体" w:hint="default"/>
                <w:spacing w:val="2"/>
                <w:sz w:val="21"/>
                <w:szCs w:val="21"/>
              </w:rPr>
              <w:t>报告期回购或现金分红等减少的归属于公司普通股股东的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净资产</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left="1" w:right="0"/>
              <w:jc w:val="center"/>
              <w:rPr>
                <w:rFonts w:ascii="Times New Roman" w:hAnsi="Times New Roman" w:cs="Times New Roman" w:eastAsia="Times New Roman" w:hint="default"/>
                <w:sz w:val="21"/>
                <w:szCs w:val="21"/>
              </w:rPr>
            </w:pPr>
            <w:r>
              <w:rPr>
                <w:rFonts w:ascii="Times New Roman"/>
                <w:sz w:val="21"/>
              </w:rPr>
              <w:t>Ej</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9"/>
              <w:jc w:val="right"/>
              <w:rPr>
                <w:rFonts w:ascii="Times New Roman" w:hAnsi="Times New Roman" w:cs="Times New Roman" w:eastAsia="Times New Roman" w:hint="default"/>
                <w:sz w:val="21"/>
                <w:szCs w:val="21"/>
              </w:rPr>
            </w:pPr>
            <w:r>
              <w:rPr>
                <w:rFonts w:ascii="Times New Roman"/>
                <w:spacing w:val="-1"/>
                <w:sz w:val="21"/>
              </w:rPr>
              <w:t>15,000,000.00</w:t>
            </w:r>
          </w:p>
        </w:tc>
      </w:tr>
      <w:tr>
        <w:trPr>
          <w:trHeight w:val="410"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Mj</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91"/>
              <w:jc w:val="right"/>
              <w:rPr>
                <w:rFonts w:ascii="Times New Roman" w:hAnsi="Times New Roman" w:cs="Times New Roman" w:eastAsia="Times New Roman" w:hint="default"/>
                <w:sz w:val="21"/>
                <w:szCs w:val="21"/>
              </w:rPr>
            </w:pPr>
            <w:r>
              <w:rPr>
                <w:rFonts w:ascii="Times New Roman"/>
                <w:w w:val="100"/>
                <w:sz w:val="21"/>
              </w:rPr>
              <w:t>7</w:t>
            </w:r>
          </w:p>
        </w:tc>
      </w:tr>
      <w:tr>
        <w:trPr>
          <w:trHeight w:val="413"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Ek</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spacing w:val="-1"/>
                <w:sz w:val="21"/>
              </w:rPr>
              <w:t>-159,089.56</w:t>
            </w:r>
          </w:p>
        </w:tc>
      </w:tr>
      <w:tr>
        <w:trPr>
          <w:trHeight w:val="413"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center"/>
              <w:rPr>
                <w:rFonts w:ascii="Times New Roman" w:hAnsi="Times New Roman" w:cs="Times New Roman" w:eastAsia="Times New Roman" w:hint="default"/>
                <w:sz w:val="21"/>
                <w:szCs w:val="21"/>
              </w:rPr>
            </w:pPr>
            <w:r>
              <w:rPr>
                <w:rFonts w:ascii="Times New Roman"/>
                <w:sz w:val="21"/>
              </w:rPr>
              <w:t>Mk</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91"/>
              <w:jc w:val="right"/>
              <w:rPr>
                <w:rFonts w:ascii="Times New Roman" w:hAnsi="Times New Roman" w:cs="Times New Roman" w:eastAsia="Times New Roman" w:hint="default"/>
                <w:sz w:val="21"/>
                <w:szCs w:val="21"/>
              </w:rPr>
            </w:pPr>
            <w:r>
              <w:rPr>
                <w:rFonts w:ascii="Times New Roman"/>
                <w:w w:val="100"/>
                <w:sz w:val="21"/>
              </w:rPr>
              <w:t>6</w:t>
            </w:r>
          </w:p>
        </w:tc>
      </w:tr>
      <w:tr>
        <w:trPr>
          <w:trHeight w:val="410"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right="1"/>
              <w:jc w:val="center"/>
              <w:rPr>
                <w:rFonts w:ascii="Times New Roman" w:hAnsi="Times New Roman" w:cs="Times New Roman" w:eastAsia="Times New Roman" w:hint="default"/>
                <w:sz w:val="21"/>
                <w:szCs w:val="21"/>
              </w:rPr>
            </w:pPr>
            <w:r>
              <w:rPr>
                <w:rFonts w:ascii="Times New Roman"/>
                <w:sz w:val="21"/>
              </w:rPr>
              <w:t>M0</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91"/>
              <w:jc w:val="right"/>
              <w:rPr>
                <w:rFonts w:ascii="Times New Roman" w:hAnsi="Times New Roman" w:cs="Times New Roman" w:eastAsia="Times New Roman" w:hint="default"/>
                <w:sz w:val="21"/>
                <w:szCs w:val="21"/>
              </w:rPr>
            </w:pPr>
            <w:r>
              <w:rPr>
                <w:rFonts w:ascii="Times New Roman"/>
                <w:sz w:val="21"/>
              </w:rPr>
              <w:t>12</w:t>
            </w:r>
          </w:p>
        </w:tc>
      </w:tr>
      <w:tr>
        <w:trPr>
          <w:trHeight w:val="413"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left="9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归属于公司普通股股东的期末净资产</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E1</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spacing w:val="-1"/>
                <w:sz w:val="21"/>
              </w:rPr>
              <w:t>546,527,702.70</w:t>
            </w:r>
          </w:p>
        </w:tc>
      </w:tr>
      <w:tr>
        <w:trPr>
          <w:trHeight w:val="740" w:hRule="exact"/>
        </w:trPr>
        <w:tc>
          <w:tcPr>
            <w:tcW w:w="55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w:t>
            </w:r>
          </w:p>
        </w:tc>
        <w:tc>
          <w:tcPr>
            <w:tcW w:w="185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sz w:val="21"/>
              </w:rPr>
              <w:t>E2=E0+P1/2+Ei*Mi/</w:t>
            </w:r>
          </w:p>
          <w:p>
            <w:pPr>
              <w:pStyle w:val="TableParagraph"/>
              <w:spacing w:line="240" w:lineRule="auto" w:before="1"/>
              <w:ind w:left="120" w:right="8"/>
              <w:jc w:val="center"/>
              <w:rPr>
                <w:rFonts w:ascii="Times New Roman" w:hAnsi="Times New Roman" w:cs="Times New Roman" w:eastAsia="Times New Roman" w:hint="default"/>
                <w:sz w:val="21"/>
                <w:szCs w:val="21"/>
              </w:rPr>
            </w:pPr>
            <w:r>
              <w:rPr>
                <w:rFonts w:ascii="Times New Roman"/>
                <w:spacing w:val="-1"/>
                <w:sz w:val="21"/>
              </w:rPr>
              <w:t>M0-Ej*Mj/M0+Ek*</w:t>
            </w:r>
            <w:r>
              <w:rPr>
                <w:rFonts w:ascii="Times New Roman"/>
                <w:spacing w:val="-50"/>
                <w:sz w:val="21"/>
              </w:rPr>
              <w:t> </w:t>
            </w:r>
            <w:r>
              <w:rPr>
                <w:rFonts w:ascii="Times New Roman"/>
                <w:spacing w:val="-50"/>
                <w:sz w:val="21"/>
              </w:rPr>
            </w:r>
            <w:r>
              <w:rPr>
                <w:rFonts w:ascii="Times New Roman"/>
                <w:sz w:val="21"/>
              </w:rPr>
              <w:t>Mk/M0</w:t>
            </w:r>
          </w:p>
        </w:tc>
        <w:tc>
          <w:tcPr>
            <w:tcW w:w="165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
                <w:sz w:val="21"/>
              </w:rPr>
              <w:t>526,034,564.96</w:t>
            </w:r>
          </w:p>
        </w:tc>
      </w:tr>
      <w:tr>
        <w:trPr>
          <w:trHeight w:val="418" w:hRule="exact"/>
        </w:trPr>
        <w:tc>
          <w:tcPr>
            <w:tcW w:w="55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归属于公司普通股股东的加权平均净资产收益率</w:t>
            </w:r>
          </w:p>
        </w:tc>
        <w:tc>
          <w:tcPr>
            <w:tcW w:w="18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0"/>
              <w:jc w:val="center"/>
              <w:rPr>
                <w:rFonts w:ascii="Times New Roman" w:hAnsi="Times New Roman" w:cs="Times New Roman" w:eastAsia="Times New Roman" w:hint="default"/>
                <w:sz w:val="21"/>
                <w:szCs w:val="21"/>
              </w:rPr>
            </w:pPr>
            <w:r>
              <w:rPr>
                <w:rFonts w:ascii="Times New Roman"/>
                <w:sz w:val="21"/>
              </w:rPr>
              <w:t>Y1=P1/E2</w:t>
            </w:r>
          </w:p>
        </w:tc>
        <w:tc>
          <w:tcPr>
            <w:tcW w:w="16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7"/>
              <w:ind w:right="88"/>
              <w:jc w:val="right"/>
              <w:rPr>
                <w:rFonts w:ascii="Times New Roman" w:hAnsi="Times New Roman" w:cs="Times New Roman" w:eastAsia="Times New Roman" w:hint="default"/>
                <w:sz w:val="21"/>
                <w:szCs w:val="21"/>
              </w:rPr>
            </w:pPr>
            <w:r>
              <w:rPr>
                <w:rFonts w:ascii="Times New Roman"/>
                <w:sz w:val="21"/>
              </w:rPr>
              <w:t>8.89%</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007" w:top="1140" w:bottom="1200" w:left="1480" w:right="1080"/>
        </w:sectPr>
      </w:pPr>
    </w:p>
    <w:p>
      <w:pPr>
        <w:spacing w:line="240" w:lineRule="auto" w:before="6"/>
        <w:rPr>
          <w:rFonts w:ascii="宋体" w:hAnsi="宋体" w:cs="宋体" w:eastAsia="宋体" w:hint="default"/>
          <w:b/>
          <w:bCs/>
          <w:sz w:val="21"/>
          <w:szCs w:val="21"/>
        </w:rPr>
      </w:pPr>
    </w:p>
    <w:tbl>
      <w:tblPr>
        <w:tblW w:w="0" w:type="auto"/>
        <w:jc w:val="left"/>
        <w:tblInd w:w="114" w:type="dxa"/>
        <w:tblLayout w:type="fixed"/>
        <w:tblCellMar>
          <w:top w:w="0" w:type="dxa"/>
          <w:left w:w="0" w:type="dxa"/>
          <w:bottom w:w="0" w:type="dxa"/>
          <w:right w:w="0" w:type="dxa"/>
        </w:tblCellMar>
        <w:tblLook w:val="01E0"/>
      </w:tblPr>
      <w:tblGrid>
        <w:gridCol w:w="5564"/>
        <w:gridCol w:w="1853"/>
        <w:gridCol w:w="1656"/>
      </w:tblGrid>
      <w:tr>
        <w:trPr>
          <w:trHeight w:val="593" w:hRule="exact"/>
        </w:trPr>
        <w:tc>
          <w:tcPr>
            <w:tcW w:w="5564" w:type="dxa"/>
            <w:tcBorders>
              <w:top w:val="single" w:sz="12" w:space="0" w:color="000000"/>
              <w:left w:val="single" w:sz="12" w:space="0" w:color="000000"/>
              <w:bottom w:val="single" w:sz="12" w:space="0" w:color="000000"/>
              <w:right w:val="single" w:sz="6" w:space="0" w:color="000000"/>
            </w:tcBorders>
          </w:tcPr>
          <w:p>
            <w:pPr>
              <w:pStyle w:val="TableParagraph"/>
              <w:spacing w:line="274" w:lineRule="exact" w:before="2"/>
              <w:ind w:left="93" w:right="103"/>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扣除非经常性损益后归属于公司普通股股东的加权平均净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资产收益率</w:t>
            </w:r>
          </w:p>
        </w:tc>
        <w:tc>
          <w:tcPr>
            <w:tcW w:w="185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4"/>
              <w:ind w:left="475" w:right="0"/>
              <w:jc w:val="left"/>
              <w:rPr>
                <w:rFonts w:ascii="Times New Roman" w:hAnsi="Times New Roman" w:cs="Times New Roman" w:eastAsia="Times New Roman" w:hint="default"/>
                <w:sz w:val="21"/>
                <w:szCs w:val="21"/>
              </w:rPr>
            </w:pPr>
            <w:r>
              <w:rPr>
                <w:rFonts w:ascii="Times New Roman"/>
                <w:sz w:val="21"/>
              </w:rPr>
              <w:t>Y2=P2/E2</w:t>
            </w:r>
          </w:p>
        </w:tc>
        <w:tc>
          <w:tcPr>
            <w:tcW w:w="165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62"/>
              <w:ind w:left="998" w:right="0"/>
              <w:jc w:val="left"/>
              <w:rPr>
                <w:rFonts w:ascii="Times New Roman" w:hAnsi="Times New Roman" w:cs="Times New Roman" w:eastAsia="Times New Roman" w:hint="default"/>
                <w:sz w:val="21"/>
                <w:szCs w:val="21"/>
              </w:rPr>
            </w:pPr>
            <w:r>
              <w:rPr>
                <w:rFonts w:ascii="Times New Roman"/>
                <w:sz w:val="21"/>
              </w:rPr>
              <w:t>8.21%</w:t>
            </w:r>
          </w:p>
        </w:tc>
      </w:tr>
    </w:tbl>
    <w:p>
      <w:pPr>
        <w:spacing w:line="281" w:lineRule="exact" w:before="0"/>
        <w:ind w:left="7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、基本每股收益的计算过程</w:t>
      </w:r>
    </w:p>
    <w:p>
      <w:pPr>
        <w:spacing w:line="240" w:lineRule="auto" w:before="8"/>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4244"/>
        <w:gridCol w:w="1433"/>
        <w:gridCol w:w="1700"/>
        <w:gridCol w:w="1697"/>
      </w:tblGrid>
      <w:tr>
        <w:trPr>
          <w:trHeight w:val="588" w:hRule="exact"/>
        </w:trPr>
        <w:tc>
          <w:tcPr>
            <w:tcW w:w="4244" w:type="dxa"/>
            <w:tcBorders>
              <w:top w:val="single" w:sz="12" w:space="0" w:color="000000"/>
              <w:left w:val="single" w:sz="12" w:space="0" w:color="000000"/>
              <w:bottom w:val="single" w:sz="6" w:space="0" w:color="000000"/>
              <w:right w:val="single" w:sz="6" w:space="0" w:color="000000"/>
            </w:tcBorders>
          </w:tcPr>
          <w:p>
            <w:pPr>
              <w:pStyle w:val="TableParagraph"/>
              <w:tabs>
                <w:tab w:pos="515" w:val="left" w:leader="none"/>
              </w:tabs>
              <w:spacing w:line="240" w:lineRule="auto" w:before="112"/>
              <w:ind w:left="9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4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right="1"/>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2"/>
              <w:ind w:right="99"/>
              <w:jc w:val="righ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2"/>
              <w:ind w:right="86"/>
              <w:jc w:val="righ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583"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93"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left="100" w:right="0"/>
              <w:jc w:val="left"/>
              <w:rPr>
                <w:rFonts w:ascii="Times New Roman" w:hAnsi="Times New Roman" w:cs="Times New Roman" w:eastAsia="Times New Roman" w:hint="default"/>
                <w:sz w:val="21"/>
                <w:szCs w:val="21"/>
              </w:rPr>
            </w:pPr>
            <w:r>
              <w:rPr>
                <w:rFonts w:ascii="Times New Roman"/>
                <w:sz w:val="21"/>
              </w:rPr>
              <w:t>P1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4"/>
              <w:ind w:right="96"/>
              <w:jc w:val="right"/>
              <w:rPr>
                <w:rFonts w:ascii="Times New Roman" w:hAnsi="Times New Roman" w:cs="Times New Roman" w:eastAsia="Times New Roman" w:hint="default"/>
                <w:sz w:val="21"/>
                <w:szCs w:val="21"/>
              </w:rPr>
            </w:pPr>
            <w:r>
              <w:rPr>
                <w:rFonts w:ascii="Times New Roman"/>
                <w:spacing w:val="-1"/>
                <w:sz w:val="21"/>
              </w:rPr>
              <w:t>46,761,088.46</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4"/>
              <w:ind w:right="86"/>
              <w:jc w:val="right"/>
              <w:rPr>
                <w:rFonts w:ascii="Times New Roman" w:hAnsi="Times New Roman" w:cs="Times New Roman" w:eastAsia="Times New Roman" w:hint="default"/>
                <w:sz w:val="21"/>
                <w:szCs w:val="21"/>
              </w:rPr>
            </w:pPr>
            <w:r>
              <w:rPr>
                <w:rFonts w:ascii="Times New Roman"/>
                <w:spacing w:val="-1"/>
                <w:sz w:val="21"/>
              </w:rPr>
              <w:t>45,074,544.68</w:t>
            </w:r>
          </w:p>
        </w:tc>
      </w:tr>
      <w:tr>
        <w:trPr>
          <w:trHeight w:val="638"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8"/>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益</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w w:val="100"/>
                <w:sz w:val="21"/>
              </w:rPr>
              <w:t>F</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3,560,441.88</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pacing w:val="-1"/>
                <w:sz w:val="21"/>
              </w:rPr>
              <w:t>9,597,893.06</w:t>
            </w:r>
          </w:p>
        </w:tc>
      </w:tr>
      <w:tr>
        <w:trPr>
          <w:trHeight w:val="638"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8"/>
              <w:jc w:val="left"/>
              <w:rPr>
                <w:rFonts w:ascii="宋体" w:hAnsi="宋体" w:cs="宋体" w:eastAsia="宋体" w:hint="default"/>
                <w:sz w:val="21"/>
                <w:szCs w:val="21"/>
              </w:rPr>
            </w:pPr>
            <w:r>
              <w:rPr>
                <w:rFonts w:ascii="宋体" w:hAnsi="宋体" w:cs="宋体" w:eastAsia="宋体" w:hint="default"/>
                <w:sz w:val="21"/>
                <w:szCs w:val="21"/>
              </w:rPr>
              <w:t>报告期扣除非经常性损益后归属于公司普通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股股东的净利润</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P2=P1-F</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43,200,646.58</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pacing w:val="-1"/>
                <w:sz w:val="21"/>
              </w:rPr>
              <w:t>35,476,651.62</w:t>
            </w:r>
          </w:p>
        </w:tc>
      </w:tr>
      <w:tr>
        <w:trPr>
          <w:trHeight w:val="665"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
              <w:ind w:left="93" w:right="98"/>
              <w:jc w:val="left"/>
              <w:rPr>
                <w:rFonts w:ascii="宋体" w:hAnsi="宋体" w:cs="宋体" w:eastAsia="宋体" w:hint="default"/>
                <w:sz w:val="21"/>
                <w:szCs w:val="21"/>
              </w:rPr>
            </w:pPr>
            <w:r>
              <w:rPr>
                <w:rFonts w:ascii="宋体" w:hAnsi="宋体" w:cs="宋体" w:eastAsia="宋体" w:hint="default"/>
                <w:sz w:val="21"/>
                <w:szCs w:val="21"/>
              </w:rPr>
              <w:t>稀释事项对归属于公司普通股股东的净利润</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的影响</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P3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w w:val="100"/>
                <w:sz w:val="21"/>
              </w:rPr>
              <w:t>-</w:t>
            </w:r>
          </w:p>
        </w:tc>
      </w:tr>
      <w:tr>
        <w:trPr>
          <w:trHeight w:val="638"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8"/>
              <w:jc w:val="left"/>
              <w:rPr>
                <w:rFonts w:ascii="宋体" w:hAnsi="宋体" w:cs="宋体" w:eastAsia="宋体" w:hint="default"/>
                <w:sz w:val="21"/>
                <w:szCs w:val="21"/>
              </w:rPr>
            </w:pPr>
            <w:r>
              <w:rPr>
                <w:rFonts w:ascii="宋体" w:hAnsi="宋体" w:cs="宋体" w:eastAsia="宋体" w:hint="default"/>
                <w:sz w:val="21"/>
                <w:szCs w:val="21"/>
              </w:rPr>
              <w:t>稀释事项对扣除非经常性损益后归属于公司</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普通股股东的净利润的影响</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P4</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w w:val="100"/>
                <w:sz w:val="21"/>
              </w:rPr>
              <w:t>-</w:t>
            </w:r>
          </w:p>
        </w:tc>
      </w:tr>
      <w:tr>
        <w:trPr>
          <w:trHeight w:val="581"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left="93"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S0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pacing w:val="-1"/>
                <w:sz w:val="21"/>
              </w:rPr>
              <w:t>75,000,000.00</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6"/>
              <w:jc w:val="right"/>
              <w:rPr>
                <w:rFonts w:ascii="Times New Roman" w:hAnsi="Times New Roman" w:cs="Times New Roman" w:eastAsia="Times New Roman" w:hint="default"/>
                <w:sz w:val="21"/>
                <w:szCs w:val="21"/>
              </w:rPr>
            </w:pPr>
            <w:r>
              <w:rPr>
                <w:rFonts w:ascii="Times New Roman"/>
                <w:spacing w:val="-1"/>
                <w:sz w:val="21"/>
              </w:rPr>
              <w:t>75,000,000.00</w:t>
            </w:r>
          </w:p>
        </w:tc>
      </w:tr>
      <w:tr>
        <w:trPr>
          <w:trHeight w:val="641"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8"/>
              <w:jc w:val="left"/>
              <w:rPr>
                <w:rFonts w:ascii="宋体" w:hAnsi="宋体" w:cs="宋体" w:eastAsia="宋体" w:hint="default"/>
                <w:sz w:val="21"/>
                <w:szCs w:val="21"/>
              </w:rPr>
            </w:pPr>
            <w:r>
              <w:rPr>
                <w:rFonts w:ascii="宋体" w:hAnsi="宋体" w:cs="宋体" w:eastAsia="宋体" w:hint="default"/>
                <w:sz w:val="21"/>
                <w:szCs w:val="21"/>
              </w:rPr>
              <w:t>报告期因公积金转增股本或股票股利分配等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增加股份数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S1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45,000,000.00</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pacing w:val="-1"/>
                <w:sz w:val="21"/>
              </w:rPr>
              <w:t>45,000,000.00</w:t>
            </w:r>
          </w:p>
        </w:tc>
      </w:tr>
      <w:tr>
        <w:trPr>
          <w:trHeight w:val="581"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left="93" w:right="0"/>
              <w:jc w:val="left"/>
              <w:rPr>
                <w:rFonts w:ascii="宋体" w:hAnsi="宋体" w:cs="宋体" w:eastAsia="宋体" w:hint="default"/>
                <w:sz w:val="21"/>
                <w:szCs w:val="21"/>
              </w:rPr>
            </w:pPr>
            <w:r>
              <w:rPr>
                <w:rFonts w:ascii="宋体" w:hAnsi="宋体" w:cs="宋体" w:eastAsia="宋体" w:hint="default"/>
                <w:sz w:val="21"/>
                <w:szCs w:val="21"/>
              </w:rPr>
              <w:t>报告期因发行新股或债转股等增加股份数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Si</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8"/>
              <w:jc w:val="right"/>
              <w:rPr>
                <w:rFonts w:ascii="Times New Roman" w:hAnsi="Times New Roman" w:cs="Times New Roman" w:eastAsia="Times New Roman" w:hint="default"/>
                <w:sz w:val="21"/>
                <w:szCs w:val="21"/>
              </w:rPr>
            </w:pPr>
            <w:r>
              <w:rPr>
                <w:rFonts w:ascii="Times New Roman"/>
                <w:w w:val="100"/>
                <w:sz w:val="21"/>
              </w:rPr>
              <w:t>-</w:t>
            </w:r>
          </w:p>
        </w:tc>
      </w:tr>
      <w:tr>
        <w:trPr>
          <w:trHeight w:val="584"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5"/>
              <w:ind w:left="93" w:right="0"/>
              <w:jc w:val="left"/>
              <w:rPr>
                <w:rFonts w:ascii="宋体" w:hAnsi="宋体" w:cs="宋体" w:eastAsia="宋体" w:hint="default"/>
                <w:sz w:val="21"/>
                <w:szCs w:val="21"/>
              </w:rPr>
            </w:pPr>
            <w:r>
              <w:rPr>
                <w:rFonts w:ascii="宋体" w:hAnsi="宋体" w:cs="宋体" w:eastAsia="宋体" w:hint="default"/>
                <w:sz w:val="21"/>
                <w:szCs w:val="21"/>
              </w:rPr>
              <w:t>增加股份下一月份起至报告期期末的月份数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left="100" w:right="0"/>
              <w:jc w:val="left"/>
              <w:rPr>
                <w:rFonts w:ascii="Times New Roman" w:hAnsi="Times New Roman" w:cs="Times New Roman" w:eastAsia="Times New Roman" w:hint="default"/>
                <w:sz w:val="21"/>
                <w:szCs w:val="21"/>
              </w:rPr>
            </w:pPr>
            <w:r>
              <w:rPr>
                <w:rFonts w:ascii="Times New Roman"/>
                <w:sz w:val="21"/>
              </w:rPr>
              <w:t>Mi</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2"/>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2"/>
              <w:ind w:right="88"/>
              <w:jc w:val="right"/>
              <w:rPr>
                <w:rFonts w:ascii="Times New Roman" w:hAnsi="Times New Roman" w:cs="Times New Roman" w:eastAsia="Times New Roman" w:hint="default"/>
                <w:sz w:val="21"/>
                <w:szCs w:val="21"/>
              </w:rPr>
            </w:pPr>
            <w:r>
              <w:rPr>
                <w:rFonts w:ascii="Times New Roman"/>
                <w:w w:val="100"/>
                <w:sz w:val="21"/>
              </w:rPr>
              <w:t>-</w:t>
            </w:r>
          </w:p>
        </w:tc>
      </w:tr>
      <w:tr>
        <w:trPr>
          <w:trHeight w:val="581"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left="93"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Sj</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8"/>
              <w:jc w:val="right"/>
              <w:rPr>
                <w:rFonts w:ascii="Times New Roman" w:hAnsi="Times New Roman" w:cs="Times New Roman" w:eastAsia="Times New Roman" w:hint="default"/>
                <w:sz w:val="21"/>
                <w:szCs w:val="21"/>
              </w:rPr>
            </w:pPr>
            <w:r>
              <w:rPr>
                <w:rFonts w:ascii="Times New Roman"/>
                <w:w w:val="100"/>
                <w:sz w:val="21"/>
              </w:rPr>
              <w:t>-</w:t>
            </w:r>
          </w:p>
        </w:tc>
      </w:tr>
      <w:tr>
        <w:trPr>
          <w:trHeight w:val="583"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left="93" w:right="0"/>
              <w:jc w:val="left"/>
              <w:rPr>
                <w:rFonts w:ascii="宋体" w:hAnsi="宋体" w:cs="宋体" w:eastAsia="宋体" w:hint="default"/>
                <w:sz w:val="21"/>
                <w:szCs w:val="21"/>
              </w:rPr>
            </w:pPr>
            <w:r>
              <w:rPr>
                <w:rFonts w:ascii="宋体" w:hAnsi="宋体" w:cs="宋体" w:eastAsia="宋体" w:hint="default"/>
                <w:sz w:val="21"/>
                <w:szCs w:val="21"/>
              </w:rPr>
              <w:t>减少股份下一月份起至报告期期末的月份数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Mj</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8"/>
              <w:jc w:val="right"/>
              <w:rPr>
                <w:rFonts w:ascii="Times New Roman" w:hAnsi="Times New Roman" w:cs="Times New Roman" w:eastAsia="Times New Roman" w:hint="default"/>
                <w:sz w:val="21"/>
                <w:szCs w:val="21"/>
              </w:rPr>
            </w:pPr>
            <w:r>
              <w:rPr>
                <w:rFonts w:ascii="Times New Roman"/>
                <w:w w:val="100"/>
                <w:sz w:val="21"/>
              </w:rPr>
              <w:t>-</w:t>
            </w:r>
          </w:p>
        </w:tc>
      </w:tr>
      <w:tr>
        <w:trPr>
          <w:trHeight w:val="581"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left="93"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Sk</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8"/>
              <w:jc w:val="right"/>
              <w:rPr>
                <w:rFonts w:ascii="Times New Roman" w:hAnsi="Times New Roman" w:cs="Times New Roman" w:eastAsia="Times New Roman" w:hint="default"/>
                <w:sz w:val="21"/>
                <w:szCs w:val="21"/>
              </w:rPr>
            </w:pPr>
            <w:r>
              <w:rPr>
                <w:rFonts w:ascii="Times New Roman"/>
                <w:w w:val="100"/>
                <w:sz w:val="21"/>
              </w:rPr>
              <w:t>-</w:t>
            </w:r>
          </w:p>
        </w:tc>
      </w:tr>
      <w:tr>
        <w:trPr>
          <w:trHeight w:val="583"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left="93"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M0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12</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9"/>
              <w:jc w:val="right"/>
              <w:rPr>
                <w:rFonts w:ascii="Times New Roman" w:hAnsi="Times New Roman" w:cs="Times New Roman" w:eastAsia="Times New Roman" w:hint="default"/>
                <w:sz w:val="21"/>
                <w:szCs w:val="21"/>
              </w:rPr>
            </w:pPr>
            <w:r>
              <w:rPr>
                <w:rFonts w:ascii="Times New Roman"/>
                <w:sz w:val="21"/>
              </w:rPr>
              <w:t>12</w:t>
            </w:r>
          </w:p>
        </w:tc>
      </w:tr>
      <w:tr>
        <w:trPr>
          <w:trHeight w:val="951"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3"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S=S0+S1+Si*</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Mi/M0-Sj*Mj</w:t>
            </w:r>
          </w:p>
          <w:p>
            <w:pPr>
              <w:pStyle w:val="TableParagraph"/>
              <w:spacing w:line="240" w:lineRule="auto" w:before="71"/>
              <w:ind w:left="100" w:right="0"/>
              <w:jc w:val="left"/>
              <w:rPr>
                <w:rFonts w:ascii="Times New Roman" w:hAnsi="Times New Roman" w:cs="Times New Roman" w:eastAsia="Times New Roman" w:hint="default"/>
                <w:sz w:val="21"/>
                <w:szCs w:val="21"/>
              </w:rPr>
            </w:pPr>
            <w:r>
              <w:rPr>
                <w:rFonts w:ascii="Times New Roman"/>
                <w:sz w:val="21"/>
              </w:rPr>
              <w:t>/M0-Sk</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120,000,000.00</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pacing w:val="-1"/>
                <w:sz w:val="21"/>
              </w:rPr>
              <w:t>120,000,000.00</w:t>
            </w:r>
          </w:p>
        </w:tc>
      </w:tr>
      <w:tr>
        <w:trPr>
          <w:trHeight w:val="638"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8"/>
              <w:jc w:val="left"/>
              <w:rPr>
                <w:rFonts w:ascii="宋体" w:hAnsi="宋体" w:cs="宋体" w:eastAsia="宋体" w:hint="default"/>
                <w:sz w:val="21"/>
                <w:szCs w:val="21"/>
              </w:rPr>
            </w:pPr>
            <w:r>
              <w:rPr>
                <w:rFonts w:ascii="宋体" w:hAnsi="宋体" w:cs="宋体" w:eastAsia="宋体" w:hint="default"/>
                <w:sz w:val="21"/>
                <w:szCs w:val="21"/>
              </w:rPr>
              <w:t>加：假定稀释性潜在普通股转换为已发行普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通股而增加的普通股加权平均数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X1</w:t>
            </w:r>
          </w:p>
        </w:tc>
        <w:tc>
          <w:tcPr>
            <w:tcW w:w="1700"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12" w:space="0" w:color="000000"/>
            </w:tcBorders>
          </w:tcPr>
          <w:p>
            <w:pPr/>
          </w:p>
        </w:tc>
      </w:tr>
      <w:tr>
        <w:trPr>
          <w:trHeight w:val="583"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4"/>
              <w:ind w:left="93" w:right="0"/>
              <w:jc w:val="left"/>
              <w:rPr>
                <w:rFonts w:ascii="宋体" w:hAnsi="宋体" w:cs="宋体" w:eastAsia="宋体" w:hint="default"/>
                <w:sz w:val="21"/>
                <w:szCs w:val="21"/>
              </w:rPr>
            </w:pPr>
            <w:r>
              <w:rPr>
                <w:rFonts w:ascii="宋体" w:hAnsi="宋体" w:cs="宋体" w:eastAsia="宋体" w:hint="default"/>
                <w:sz w:val="21"/>
                <w:szCs w:val="21"/>
              </w:rPr>
              <w:t>计算稀释每股收益的普通股加权平均数</w:t>
            </w:r>
          </w:p>
        </w:tc>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X2=S+X1</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pacing w:val="-1"/>
                <w:sz w:val="21"/>
              </w:rPr>
              <w:t>120,000,000.00</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61"/>
              <w:ind w:right="86"/>
              <w:jc w:val="right"/>
              <w:rPr>
                <w:rFonts w:ascii="Times New Roman" w:hAnsi="Times New Roman" w:cs="Times New Roman" w:eastAsia="Times New Roman" w:hint="default"/>
                <w:sz w:val="21"/>
                <w:szCs w:val="21"/>
              </w:rPr>
            </w:pPr>
            <w:r>
              <w:rPr>
                <w:rFonts w:ascii="Times New Roman"/>
                <w:spacing w:val="-1"/>
                <w:sz w:val="21"/>
              </w:rPr>
              <w:t>120,000,000.00</w:t>
            </w:r>
          </w:p>
        </w:tc>
      </w:tr>
      <w:tr>
        <w:trPr>
          <w:trHeight w:val="638"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8"/>
              <w:jc w:val="left"/>
              <w:rPr>
                <w:rFonts w:ascii="宋体" w:hAnsi="宋体" w:cs="宋体" w:eastAsia="宋体" w:hint="default"/>
                <w:sz w:val="21"/>
                <w:szCs w:val="21"/>
              </w:rPr>
            </w:pPr>
            <w:r>
              <w:rPr>
                <w:rFonts w:ascii="宋体" w:hAnsi="宋体" w:cs="宋体" w:eastAsia="宋体" w:hint="default"/>
                <w:sz w:val="21"/>
                <w:szCs w:val="21"/>
              </w:rPr>
              <w:t>其中：可转换公司债转换而增加的普通股加</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权数</w:t>
            </w:r>
          </w:p>
        </w:tc>
        <w:tc>
          <w:tcPr>
            <w:tcW w:w="143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w w:val="100"/>
                <w:sz w:val="21"/>
              </w:rPr>
              <w:t>-</w:t>
            </w:r>
          </w:p>
        </w:tc>
      </w:tr>
      <w:tr>
        <w:trPr>
          <w:trHeight w:val="638" w:hRule="exact"/>
        </w:trPr>
        <w:tc>
          <w:tcPr>
            <w:tcW w:w="4244" w:type="dxa"/>
            <w:tcBorders>
              <w:top w:val="single" w:sz="6" w:space="0" w:color="000000"/>
              <w:left w:val="single" w:sz="12" w:space="0" w:color="000000"/>
              <w:bottom w:val="single" w:sz="6" w:space="0" w:color="000000"/>
              <w:right w:val="single" w:sz="6" w:space="0" w:color="000000"/>
            </w:tcBorders>
          </w:tcPr>
          <w:p>
            <w:pPr>
              <w:pStyle w:val="TableParagraph"/>
              <w:spacing w:line="256" w:lineRule="auto"/>
              <w:ind w:left="93" w:right="103"/>
              <w:jc w:val="left"/>
              <w:rPr>
                <w:rFonts w:ascii="宋体" w:hAnsi="宋体" w:cs="宋体" w:eastAsia="宋体" w:hint="default"/>
                <w:sz w:val="21"/>
                <w:szCs w:val="21"/>
              </w:rPr>
            </w:pPr>
            <w:r>
              <w:rPr>
                <w:rFonts w:ascii="宋体" w:hAnsi="宋体" w:cs="宋体" w:eastAsia="宋体" w:hint="default"/>
                <w:spacing w:val="7"/>
                <w:sz w:val="21"/>
                <w:szCs w:val="21"/>
              </w:rPr>
              <w:t>认股权证</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股份期权行权而增加的普通股加</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权数</w:t>
            </w:r>
          </w:p>
        </w:tc>
        <w:tc>
          <w:tcPr>
            <w:tcW w:w="143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8"/>
              <w:jc w:val="right"/>
              <w:rPr>
                <w:rFonts w:ascii="Times New Roman" w:hAnsi="Times New Roman" w:cs="Times New Roman" w:eastAsia="Times New Roman" w:hint="default"/>
                <w:sz w:val="21"/>
                <w:szCs w:val="21"/>
              </w:rPr>
            </w:pPr>
            <w:r>
              <w:rPr>
                <w:rFonts w:ascii="Times New Roman"/>
                <w:w w:val="100"/>
                <w:sz w:val="21"/>
              </w:rPr>
              <w:t>-</w:t>
            </w:r>
          </w:p>
        </w:tc>
      </w:tr>
      <w:tr>
        <w:trPr>
          <w:trHeight w:val="588" w:hRule="exact"/>
        </w:trPr>
        <w:tc>
          <w:tcPr>
            <w:tcW w:w="424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4"/>
              <w:ind w:left="93" w:right="0"/>
              <w:jc w:val="left"/>
              <w:rPr>
                <w:rFonts w:ascii="宋体" w:hAnsi="宋体" w:cs="宋体" w:eastAsia="宋体" w:hint="default"/>
                <w:sz w:val="21"/>
                <w:szCs w:val="21"/>
              </w:rPr>
            </w:pPr>
            <w:r>
              <w:rPr>
                <w:rFonts w:ascii="宋体" w:hAnsi="宋体" w:cs="宋体" w:eastAsia="宋体" w:hint="default"/>
                <w:sz w:val="21"/>
                <w:szCs w:val="21"/>
              </w:rPr>
              <w:t>回购承诺履行而增加的普通股加权数</w:t>
            </w:r>
          </w:p>
        </w:tc>
        <w:tc>
          <w:tcPr>
            <w:tcW w:w="1433" w:type="dxa"/>
            <w:tcBorders>
              <w:top w:val="single" w:sz="6" w:space="0" w:color="000000"/>
              <w:left w:val="single" w:sz="6" w:space="0" w:color="000000"/>
              <w:bottom w:val="single" w:sz="12" w:space="0" w:color="000000"/>
              <w:right w:val="single" w:sz="6" w:space="0" w:color="000000"/>
            </w:tcBorders>
          </w:tcPr>
          <w:p>
            <w:pP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w w:val="100"/>
                <w:sz w:val="21"/>
              </w:rPr>
              <w:t>-</w:t>
            </w:r>
          </w:p>
        </w:tc>
        <w:tc>
          <w:tcPr>
            <w:tcW w:w="16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61"/>
              <w:ind w:right="8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footerReference w:type="default" r:id="rId12"/>
          <w:pgSz w:w="11910" w:h="16840"/>
          <w:pgMar w:footer="1007" w:header="884" w:top="1140" w:bottom="1200" w:left="1480" w:right="1080"/>
        </w:sectPr>
      </w:pPr>
    </w:p>
    <w:p>
      <w:pPr>
        <w:spacing w:line="240" w:lineRule="auto" w:before="6"/>
        <w:rPr>
          <w:rFonts w:ascii="宋体" w:hAnsi="宋体" w:cs="宋体" w:eastAsia="宋体" w:hint="default"/>
          <w:sz w:val="21"/>
          <w:szCs w:val="21"/>
        </w:rPr>
      </w:pPr>
    </w:p>
    <w:tbl>
      <w:tblPr>
        <w:tblW w:w="0" w:type="auto"/>
        <w:jc w:val="left"/>
        <w:tblInd w:w="114" w:type="dxa"/>
        <w:tblLayout w:type="fixed"/>
        <w:tblCellMar>
          <w:top w:w="0" w:type="dxa"/>
          <w:left w:w="0" w:type="dxa"/>
          <w:bottom w:w="0" w:type="dxa"/>
          <w:right w:w="0" w:type="dxa"/>
        </w:tblCellMar>
        <w:tblLook w:val="01E0"/>
      </w:tblPr>
      <w:tblGrid>
        <w:gridCol w:w="4244"/>
        <w:gridCol w:w="1433"/>
        <w:gridCol w:w="1700"/>
        <w:gridCol w:w="1697"/>
      </w:tblGrid>
      <w:tr>
        <w:trPr>
          <w:trHeight w:val="591" w:hRule="exact"/>
        </w:trPr>
        <w:tc>
          <w:tcPr>
            <w:tcW w:w="424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7"/>
              <w:ind w:left="9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归属于公司普通股股东的基本每股收益</w:t>
            </w:r>
          </w:p>
        </w:tc>
        <w:tc>
          <w:tcPr>
            <w:tcW w:w="14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4"/>
              <w:ind w:left="100" w:right="0"/>
              <w:jc w:val="left"/>
              <w:rPr>
                <w:rFonts w:ascii="Times New Roman" w:hAnsi="Times New Roman" w:cs="Times New Roman" w:eastAsia="Times New Roman" w:hint="default"/>
                <w:sz w:val="21"/>
                <w:szCs w:val="21"/>
              </w:rPr>
            </w:pPr>
            <w:r>
              <w:rPr>
                <w:rFonts w:ascii="Times New Roman"/>
                <w:sz w:val="21"/>
              </w:rPr>
              <w:t>Y1=P1/S</w:t>
            </w:r>
          </w:p>
        </w:tc>
        <w:tc>
          <w:tcPr>
            <w:tcW w:w="170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4"/>
              <w:ind w:right="98"/>
              <w:jc w:val="right"/>
              <w:rPr>
                <w:rFonts w:ascii="Times New Roman" w:hAnsi="Times New Roman" w:cs="Times New Roman" w:eastAsia="Times New Roman" w:hint="default"/>
                <w:sz w:val="21"/>
                <w:szCs w:val="21"/>
              </w:rPr>
            </w:pPr>
            <w:r>
              <w:rPr>
                <w:rFonts w:ascii="Times New Roman"/>
                <w:sz w:val="21"/>
              </w:rPr>
              <w:t>0.390</w:t>
            </w:r>
          </w:p>
        </w:tc>
        <w:tc>
          <w:tcPr>
            <w:tcW w:w="169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64"/>
              <w:ind w:right="86"/>
              <w:jc w:val="right"/>
              <w:rPr>
                <w:rFonts w:ascii="Times New Roman" w:hAnsi="Times New Roman" w:cs="Times New Roman" w:eastAsia="Times New Roman" w:hint="default"/>
                <w:sz w:val="21"/>
                <w:szCs w:val="21"/>
              </w:rPr>
            </w:pPr>
            <w:r>
              <w:rPr>
                <w:rFonts w:ascii="Times New Roman"/>
                <w:sz w:val="21"/>
              </w:rPr>
              <w:t>0.376</w:t>
            </w:r>
          </w:p>
        </w:tc>
      </w:tr>
      <w:tr>
        <w:trPr>
          <w:trHeight w:val="643" w:hRule="exact"/>
        </w:trPr>
        <w:tc>
          <w:tcPr>
            <w:tcW w:w="4244"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93" w:right="98"/>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的基本每股收益</w:t>
            </w:r>
          </w:p>
        </w:tc>
        <w:tc>
          <w:tcPr>
            <w:tcW w:w="14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Y2=P2/S</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0.360</w:t>
            </w:r>
          </w:p>
        </w:tc>
        <w:tc>
          <w:tcPr>
            <w:tcW w:w="16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86"/>
              <w:jc w:val="right"/>
              <w:rPr>
                <w:rFonts w:ascii="Times New Roman" w:hAnsi="Times New Roman" w:cs="Times New Roman" w:eastAsia="Times New Roman" w:hint="default"/>
                <w:sz w:val="21"/>
                <w:szCs w:val="21"/>
              </w:rPr>
            </w:pPr>
            <w:r>
              <w:rPr>
                <w:rFonts w:ascii="Times New Roman"/>
                <w:sz w:val="21"/>
              </w:rPr>
              <w:t>0.296</w:t>
            </w:r>
          </w:p>
        </w:tc>
      </w:tr>
    </w:tbl>
    <w:p>
      <w:pPr>
        <w:spacing w:line="240" w:lineRule="auto" w:before="8"/>
        <w:rPr>
          <w:rFonts w:ascii="宋体" w:hAnsi="宋体" w:cs="宋体" w:eastAsia="宋体" w:hint="default"/>
          <w:sz w:val="12"/>
          <w:szCs w:val="12"/>
        </w:rPr>
      </w:pPr>
    </w:p>
    <w:p>
      <w:pPr>
        <w:spacing w:before="36"/>
        <w:ind w:left="740" w:right="0" w:firstLine="0"/>
        <w:jc w:val="left"/>
        <w:rPr>
          <w:rFonts w:ascii="宋体" w:hAnsi="宋体" w:cs="宋体" w:eastAsia="宋体" w:hint="default"/>
          <w:sz w:val="21"/>
          <w:szCs w:val="21"/>
        </w:rPr>
      </w:pPr>
      <w:r>
        <w:rPr>
          <w:rFonts w:ascii="宋体" w:hAnsi="宋体" w:cs="宋体" w:eastAsia="宋体" w:hint="default"/>
          <w:sz w:val="21"/>
          <w:szCs w:val="21"/>
        </w:rPr>
        <w:t>注：稀释每股收益的计算过程与基本每股收益的计算过程相同。</w:t>
      </w:r>
    </w:p>
    <w:p>
      <w:pPr>
        <w:spacing w:line="240" w:lineRule="auto" w:before="12"/>
        <w:rPr>
          <w:rFonts w:ascii="宋体" w:hAnsi="宋体" w:cs="宋体" w:eastAsia="宋体" w:hint="default"/>
          <w:sz w:val="28"/>
          <w:szCs w:val="28"/>
        </w:rPr>
      </w:pPr>
    </w:p>
    <w:p>
      <w:pPr>
        <w:pStyle w:val="Heading3"/>
        <w:spacing w:line="240" w:lineRule="auto"/>
        <w:ind w:left="320" w:right="0"/>
        <w:jc w:val="left"/>
        <w:rPr>
          <w:b w:val="0"/>
          <w:bCs w:val="0"/>
        </w:rPr>
      </w:pPr>
      <w:bookmarkStart w:name="_TOC_250082" w:id="6"/>
      <w:r>
        <w:rPr>
          <w:spacing w:val="3"/>
        </w:rPr>
        <w:t>三、非经常性损益项目</w:t>
      </w:r>
      <w:bookmarkEnd w:id="6"/>
      <w:r>
        <w:rPr>
          <w:b w:val="0"/>
          <w:bCs w:val="0"/>
          <w:spacing w:val="3"/>
        </w:rPr>
      </w:r>
    </w:p>
    <w:p>
      <w:pPr>
        <w:spacing w:line="240" w:lineRule="auto" w:before="10"/>
        <w:rPr>
          <w:rFonts w:ascii="宋体" w:hAnsi="宋体" w:cs="宋体" w:eastAsia="宋体" w:hint="default"/>
          <w:b/>
          <w:bCs/>
          <w:sz w:val="26"/>
          <w:szCs w:val="26"/>
        </w:rPr>
      </w:pPr>
    </w:p>
    <w:p>
      <w:pPr>
        <w:spacing w:before="36"/>
        <w:ind w:left="0" w:right="588"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4"/>
        <w:rPr>
          <w:rFonts w:ascii="宋体" w:hAnsi="宋体" w:cs="宋体" w:eastAsia="宋体" w:hint="default"/>
          <w:b/>
          <w:bCs/>
          <w:sz w:val="9"/>
          <w:szCs w:val="9"/>
        </w:rPr>
      </w:pPr>
    </w:p>
    <w:tbl>
      <w:tblPr>
        <w:tblW w:w="0" w:type="auto"/>
        <w:jc w:val="left"/>
        <w:tblInd w:w="291" w:type="dxa"/>
        <w:tblLayout w:type="fixed"/>
        <w:tblCellMar>
          <w:top w:w="0" w:type="dxa"/>
          <w:left w:w="0" w:type="dxa"/>
          <w:bottom w:w="0" w:type="dxa"/>
          <w:right w:w="0" w:type="dxa"/>
        </w:tblCellMar>
        <w:tblLook w:val="01E0"/>
      </w:tblPr>
      <w:tblGrid>
        <w:gridCol w:w="3613"/>
        <w:gridCol w:w="1275"/>
        <w:gridCol w:w="1279"/>
        <w:gridCol w:w="1277"/>
        <w:gridCol w:w="1505"/>
      </w:tblGrid>
      <w:tr>
        <w:trPr>
          <w:trHeight w:val="658" w:hRule="exact"/>
        </w:trPr>
        <w:tc>
          <w:tcPr>
            <w:tcW w:w="361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b/>
                <w:bCs/>
                <w:sz w:val="21"/>
                <w:szCs w:val="21"/>
              </w:rPr>
              <w:t>经常性损益目</w:t>
            </w:r>
            <w:r>
              <w:rPr>
                <w:rFonts w:ascii="宋体" w:hAnsi="宋体" w:cs="宋体" w:eastAsia="宋体" w:hint="default"/>
                <w:sz w:val="21"/>
                <w:szCs w:val="21"/>
              </w:rPr>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7"/>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年金额</w:t>
            </w:r>
            <w:r>
              <w:rPr>
                <w:rFonts w:ascii="宋体" w:hAnsi="宋体" w:cs="宋体" w:eastAsia="宋体" w:hint="default"/>
                <w:sz w:val="21"/>
                <w:szCs w:val="21"/>
              </w:rPr>
            </w:r>
          </w:p>
        </w:tc>
        <w:tc>
          <w:tcPr>
            <w:tcW w:w="1279" w:type="dxa"/>
            <w:tcBorders>
              <w:top w:val="single" w:sz="12" w:space="0" w:color="000000"/>
              <w:left w:val="single" w:sz="6" w:space="0" w:color="000000"/>
              <w:bottom w:val="single" w:sz="6" w:space="0" w:color="000000"/>
              <w:right w:val="single" w:sz="6" w:space="0" w:color="000000"/>
            </w:tcBorders>
          </w:tcPr>
          <w:p>
            <w:pPr>
              <w:pStyle w:val="TableParagraph"/>
              <w:spacing w:line="271" w:lineRule="auto" w:before="43"/>
              <w:ind w:left="419" w:right="103" w:hanging="317"/>
              <w:jc w:val="left"/>
              <w:rPr>
                <w:rFonts w:ascii="宋体" w:hAnsi="宋体" w:cs="宋体" w:eastAsia="宋体" w:hint="default"/>
                <w:sz w:val="21"/>
                <w:szCs w:val="21"/>
              </w:rPr>
            </w:pPr>
            <w:r>
              <w:rPr>
                <w:rFonts w:ascii="宋体" w:hAnsi="宋体" w:cs="宋体" w:eastAsia="宋体" w:hint="default"/>
                <w:b/>
                <w:bCs/>
                <w:sz w:val="21"/>
                <w:szCs w:val="21"/>
              </w:rPr>
              <w:t>附注（如适</w:t>
            </w:r>
            <w:r>
              <w:rPr>
                <w:rFonts w:ascii="宋体" w:hAnsi="宋体" w:cs="宋体" w:eastAsia="宋体" w:hint="default"/>
                <w:b/>
                <w:bCs/>
                <w:w w:val="100"/>
                <w:sz w:val="21"/>
                <w:szCs w:val="21"/>
              </w:rPr>
              <w:t> </w:t>
            </w:r>
            <w:r>
              <w:rPr>
                <w:rFonts w:ascii="宋体" w:hAnsi="宋体" w:cs="宋体" w:eastAsia="宋体" w:hint="default"/>
                <w:b/>
                <w:bCs/>
                <w:sz w:val="21"/>
                <w:szCs w:val="21"/>
              </w:rPr>
              <w:t>用）</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97"/>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年金额</w:t>
            </w:r>
            <w:r>
              <w:rPr>
                <w:rFonts w:ascii="宋体" w:hAnsi="宋体" w:cs="宋体" w:eastAsia="宋体" w:hint="default"/>
                <w:sz w:val="21"/>
                <w:szCs w:val="21"/>
              </w:rPr>
            </w:r>
          </w:p>
        </w:tc>
        <w:tc>
          <w:tcPr>
            <w:tcW w:w="15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97"/>
              <w:ind w:left="2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宋体" w:hAnsi="宋体" w:cs="宋体" w:eastAsia="宋体" w:hint="default"/>
                <w:b/>
                <w:bCs/>
                <w:sz w:val="21"/>
                <w:szCs w:val="21"/>
              </w:rPr>
              <w:t>年金额</w:t>
            </w:r>
            <w:r>
              <w:rPr>
                <w:rFonts w:ascii="宋体" w:hAnsi="宋体" w:cs="宋体" w:eastAsia="宋体" w:hint="default"/>
                <w:sz w:val="21"/>
                <w:szCs w:val="21"/>
              </w:rPr>
            </w:r>
          </w:p>
        </w:tc>
      </w:tr>
      <w:tr>
        <w:trPr>
          <w:trHeight w:val="427" w:hRule="exact"/>
        </w:trPr>
        <w:tc>
          <w:tcPr>
            <w:tcW w:w="36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3"/>
              <w:jc w:val="right"/>
              <w:rPr>
                <w:rFonts w:ascii="Times New Roman" w:hAnsi="Times New Roman" w:cs="Times New Roman" w:eastAsia="Times New Roman" w:hint="default"/>
                <w:sz w:val="21"/>
                <w:szCs w:val="21"/>
              </w:rPr>
            </w:pPr>
            <w:r>
              <w:rPr>
                <w:rFonts w:ascii="Times New Roman"/>
                <w:spacing w:val="-1"/>
                <w:sz w:val="21"/>
              </w:rPr>
              <w:t>-423,261.20</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
              <w:jc w:val="right"/>
              <w:rPr>
                <w:rFonts w:ascii="Times New Roman" w:hAnsi="Times New Roman" w:cs="Times New Roman" w:eastAsia="Times New Roman" w:hint="default"/>
                <w:sz w:val="21"/>
                <w:szCs w:val="21"/>
              </w:rPr>
            </w:pPr>
            <w:r>
              <w:rPr>
                <w:rFonts w:ascii="Times New Roman"/>
                <w:spacing w:val="-1"/>
                <w:sz w:val="21"/>
              </w:rPr>
              <w:t>6,684.26</w:t>
            </w:r>
          </w:p>
        </w:tc>
        <w:tc>
          <w:tcPr>
            <w:tcW w:w="1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415" w:right="0"/>
              <w:jc w:val="left"/>
              <w:rPr>
                <w:rFonts w:ascii="Times New Roman" w:hAnsi="Times New Roman" w:cs="Times New Roman" w:eastAsia="Times New Roman" w:hint="default"/>
                <w:sz w:val="21"/>
                <w:szCs w:val="21"/>
              </w:rPr>
            </w:pPr>
            <w:r>
              <w:rPr>
                <w:rFonts w:ascii="Times New Roman"/>
                <w:sz w:val="21"/>
              </w:rPr>
              <w:t>-85,128.64</w:t>
            </w:r>
          </w:p>
        </w:tc>
      </w:tr>
      <w:tr>
        <w:trPr>
          <w:trHeight w:val="696" w:hRule="exact"/>
        </w:trPr>
        <w:tc>
          <w:tcPr>
            <w:tcW w:w="36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2"/>
              <w:ind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4,782,726.00</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2"/>
                <w:sz w:val="21"/>
              </w:rPr>
              <w:t>10,689,116.81</w:t>
            </w:r>
          </w:p>
        </w:tc>
        <w:tc>
          <w:tcPr>
            <w:tcW w:w="1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3" w:right="0"/>
              <w:jc w:val="left"/>
              <w:rPr>
                <w:rFonts w:ascii="Times New Roman" w:hAnsi="Times New Roman" w:cs="Times New Roman" w:eastAsia="Times New Roman" w:hint="default"/>
                <w:sz w:val="21"/>
                <w:szCs w:val="21"/>
              </w:rPr>
            </w:pPr>
            <w:r>
              <w:rPr>
                <w:rFonts w:ascii="Times New Roman"/>
                <w:sz w:val="21"/>
              </w:rPr>
              <w:t>6,169,478.84</w:t>
            </w:r>
          </w:p>
        </w:tc>
      </w:tr>
      <w:tr>
        <w:trPr>
          <w:trHeight w:val="564" w:hRule="exact"/>
        </w:trPr>
        <w:tc>
          <w:tcPr>
            <w:tcW w:w="361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w:t>
            </w:r>
          </w:p>
          <w:p>
            <w:pPr>
              <w:pStyle w:val="TableParagraph"/>
              <w:spacing w:line="273" w:lineRule="exact"/>
              <w:ind w:right="0"/>
              <w:jc w:val="left"/>
              <w:rPr>
                <w:rFonts w:ascii="宋体" w:hAnsi="宋体" w:cs="宋体" w:eastAsia="宋体" w:hint="default"/>
                <w:sz w:val="21"/>
                <w:szCs w:val="21"/>
              </w:rPr>
            </w:pPr>
            <w:r>
              <w:rPr>
                <w:rFonts w:ascii="宋体" w:hAnsi="宋体" w:cs="宋体" w:eastAsia="宋体" w:hint="default"/>
                <w:w w:val="100"/>
                <w:sz w:val="21"/>
                <w:szCs w:val="21"/>
              </w:rPr>
              <w:t>出</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3"/>
              <w:jc w:val="right"/>
              <w:rPr>
                <w:rFonts w:ascii="Times New Roman" w:hAnsi="Times New Roman" w:cs="Times New Roman" w:eastAsia="Times New Roman" w:hint="default"/>
                <w:sz w:val="21"/>
                <w:szCs w:val="21"/>
              </w:rPr>
            </w:pPr>
            <w:r>
              <w:rPr>
                <w:rFonts w:ascii="Times New Roman"/>
                <w:spacing w:val="-1"/>
                <w:sz w:val="21"/>
              </w:rPr>
              <w:t>17,873.56</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
              <w:jc w:val="right"/>
              <w:rPr>
                <w:rFonts w:ascii="Times New Roman" w:hAnsi="Times New Roman" w:cs="Times New Roman" w:eastAsia="Times New Roman" w:hint="default"/>
                <w:sz w:val="21"/>
                <w:szCs w:val="21"/>
              </w:rPr>
            </w:pPr>
            <w:r>
              <w:rPr>
                <w:rFonts w:ascii="Times New Roman"/>
                <w:spacing w:val="-1"/>
                <w:sz w:val="21"/>
              </w:rPr>
              <w:t>-2,499.26</w:t>
            </w:r>
          </w:p>
        </w:tc>
        <w:tc>
          <w:tcPr>
            <w:tcW w:w="1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676" w:right="0"/>
              <w:jc w:val="left"/>
              <w:rPr>
                <w:rFonts w:ascii="Times New Roman" w:hAnsi="Times New Roman" w:cs="Times New Roman" w:eastAsia="Times New Roman" w:hint="default"/>
                <w:sz w:val="21"/>
                <w:szCs w:val="21"/>
              </w:rPr>
            </w:pPr>
            <w:r>
              <w:rPr>
                <w:rFonts w:ascii="Times New Roman"/>
                <w:sz w:val="21"/>
              </w:rPr>
              <w:t>-706.23</w:t>
            </w:r>
          </w:p>
        </w:tc>
      </w:tr>
      <w:tr>
        <w:trPr>
          <w:trHeight w:val="420" w:hRule="exact"/>
        </w:trPr>
        <w:tc>
          <w:tcPr>
            <w:tcW w:w="36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w w:val="100"/>
                <w:sz w:val="21"/>
              </w:rPr>
              <w:t>-</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w w:val="100"/>
                <w:sz w:val="21"/>
              </w:rPr>
              <w:t>-</w:t>
            </w:r>
          </w:p>
        </w:tc>
        <w:tc>
          <w:tcPr>
            <w:tcW w:w="1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2"/>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430" w:hRule="exact"/>
        </w:trPr>
        <w:tc>
          <w:tcPr>
            <w:tcW w:w="36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8"/>
              <w:ind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
              <w:jc w:val="right"/>
              <w:rPr>
                <w:rFonts w:ascii="Times New Roman" w:hAnsi="Times New Roman" w:cs="Times New Roman" w:eastAsia="Times New Roman" w:hint="default"/>
                <w:sz w:val="21"/>
                <w:szCs w:val="21"/>
              </w:rPr>
            </w:pPr>
            <w:r>
              <w:rPr>
                <w:rFonts w:ascii="Times New Roman"/>
                <w:spacing w:val="-1"/>
                <w:sz w:val="21"/>
              </w:rPr>
              <w:t>4,377,338.36</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right"/>
              <w:rPr>
                <w:rFonts w:ascii="Times New Roman" w:hAnsi="Times New Roman" w:cs="Times New Roman" w:eastAsia="Times New Roman" w:hint="default"/>
                <w:sz w:val="21"/>
                <w:szCs w:val="21"/>
              </w:rPr>
            </w:pPr>
            <w:r>
              <w:rPr>
                <w:rFonts w:ascii="Times New Roman"/>
                <w:spacing w:val="-1"/>
                <w:sz w:val="21"/>
              </w:rPr>
              <w:t>10,693,301.81</w:t>
            </w:r>
          </w:p>
        </w:tc>
        <w:tc>
          <w:tcPr>
            <w:tcW w:w="1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23" w:right="0"/>
              <w:jc w:val="left"/>
              <w:rPr>
                <w:rFonts w:ascii="Times New Roman" w:hAnsi="Times New Roman" w:cs="Times New Roman" w:eastAsia="Times New Roman" w:hint="default"/>
                <w:sz w:val="21"/>
                <w:szCs w:val="21"/>
              </w:rPr>
            </w:pPr>
            <w:r>
              <w:rPr>
                <w:rFonts w:ascii="Times New Roman"/>
                <w:sz w:val="21"/>
              </w:rPr>
              <w:t>6,083,643.97</w:t>
            </w:r>
          </w:p>
        </w:tc>
      </w:tr>
      <w:tr>
        <w:trPr>
          <w:trHeight w:val="420" w:hRule="exact"/>
        </w:trPr>
        <w:tc>
          <w:tcPr>
            <w:tcW w:w="36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3"/>
              <w:ind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3"/>
              <w:jc w:val="right"/>
              <w:rPr>
                <w:rFonts w:ascii="Times New Roman" w:hAnsi="Times New Roman" w:cs="Times New Roman" w:eastAsia="Times New Roman" w:hint="default"/>
                <w:sz w:val="21"/>
                <w:szCs w:val="21"/>
              </w:rPr>
            </w:pPr>
            <w:r>
              <w:rPr>
                <w:rFonts w:ascii="Times New Roman"/>
                <w:spacing w:val="-1"/>
                <w:sz w:val="21"/>
              </w:rPr>
              <w:t>731,647.50</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
              <w:jc w:val="right"/>
              <w:rPr>
                <w:rFonts w:ascii="Times New Roman" w:hAnsi="Times New Roman" w:cs="Times New Roman" w:eastAsia="Times New Roman" w:hint="default"/>
                <w:sz w:val="21"/>
                <w:szCs w:val="21"/>
              </w:rPr>
            </w:pPr>
            <w:r>
              <w:rPr>
                <w:rFonts w:ascii="Times New Roman"/>
                <w:spacing w:val="-1"/>
                <w:sz w:val="21"/>
              </w:rPr>
              <w:t>1,062,258.91</w:t>
            </w:r>
          </w:p>
        </w:tc>
        <w:tc>
          <w:tcPr>
            <w:tcW w:w="1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6"/>
              <w:ind w:left="379" w:right="0"/>
              <w:jc w:val="left"/>
              <w:rPr>
                <w:rFonts w:ascii="Times New Roman" w:hAnsi="Times New Roman" w:cs="Times New Roman" w:eastAsia="Times New Roman" w:hint="default"/>
                <w:sz w:val="21"/>
                <w:szCs w:val="21"/>
              </w:rPr>
            </w:pPr>
            <w:r>
              <w:rPr>
                <w:rFonts w:ascii="Times New Roman"/>
                <w:sz w:val="21"/>
              </w:rPr>
              <w:t>616,933.91</w:t>
            </w:r>
          </w:p>
        </w:tc>
      </w:tr>
      <w:tr>
        <w:trPr>
          <w:trHeight w:val="410" w:hRule="exact"/>
        </w:trPr>
        <w:tc>
          <w:tcPr>
            <w:tcW w:w="361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3"/>
              <w:jc w:val="right"/>
              <w:rPr>
                <w:rFonts w:ascii="Times New Roman" w:hAnsi="Times New Roman" w:cs="Times New Roman" w:eastAsia="Times New Roman" w:hint="default"/>
                <w:sz w:val="21"/>
                <w:szCs w:val="21"/>
              </w:rPr>
            </w:pPr>
            <w:r>
              <w:rPr>
                <w:rFonts w:ascii="Times New Roman"/>
                <w:spacing w:val="-1"/>
                <w:sz w:val="21"/>
              </w:rPr>
              <w:t>3,645,690.86</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right"/>
              <w:rPr>
                <w:rFonts w:ascii="Times New Roman" w:hAnsi="Times New Roman" w:cs="Times New Roman" w:eastAsia="Times New Roman" w:hint="default"/>
                <w:sz w:val="21"/>
                <w:szCs w:val="21"/>
              </w:rPr>
            </w:pPr>
            <w:r>
              <w:rPr>
                <w:rFonts w:ascii="Times New Roman"/>
                <w:spacing w:val="-1"/>
                <w:sz w:val="21"/>
              </w:rPr>
              <w:t>9,631,042.90</w:t>
            </w:r>
          </w:p>
        </w:tc>
        <w:tc>
          <w:tcPr>
            <w:tcW w:w="1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7"/>
              <w:ind w:right="-1"/>
              <w:jc w:val="right"/>
              <w:rPr>
                <w:rFonts w:ascii="Times New Roman" w:hAnsi="Times New Roman" w:cs="Times New Roman" w:eastAsia="Times New Roman" w:hint="default"/>
                <w:sz w:val="21"/>
                <w:szCs w:val="21"/>
              </w:rPr>
            </w:pPr>
            <w:r>
              <w:rPr>
                <w:rFonts w:ascii="Times New Roman"/>
                <w:spacing w:val="-1"/>
                <w:sz w:val="21"/>
              </w:rPr>
              <w:t>5,466,710.06</w:t>
            </w:r>
          </w:p>
        </w:tc>
      </w:tr>
      <w:tr>
        <w:trPr>
          <w:trHeight w:val="569" w:hRule="exact"/>
        </w:trPr>
        <w:tc>
          <w:tcPr>
            <w:tcW w:w="3613" w:type="dxa"/>
            <w:tcBorders>
              <w:top w:val="single" w:sz="6" w:space="0" w:color="000000"/>
              <w:left w:val="single" w:sz="12" w:space="0" w:color="000000"/>
              <w:bottom w:val="single" w:sz="6" w:space="0" w:color="000000"/>
              <w:right w:val="single" w:sz="6" w:space="0" w:color="000000"/>
            </w:tcBorders>
          </w:tcPr>
          <w:p>
            <w:pPr>
              <w:pStyle w:val="TableParagraph"/>
              <w:spacing w:line="245" w:lineRule="exact"/>
              <w:ind w:right="-2"/>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影响数（税后）</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3"/>
              <w:jc w:val="right"/>
              <w:rPr>
                <w:rFonts w:ascii="Times New Roman" w:hAnsi="Times New Roman" w:cs="Times New Roman" w:eastAsia="Times New Roman" w:hint="default"/>
                <w:sz w:val="21"/>
                <w:szCs w:val="21"/>
              </w:rPr>
            </w:pPr>
            <w:r>
              <w:rPr>
                <w:rFonts w:ascii="Times New Roman"/>
                <w:spacing w:val="-1"/>
                <w:sz w:val="21"/>
              </w:rPr>
              <w:t>85,248.98</w:t>
            </w:r>
          </w:p>
        </w:tc>
        <w:tc>
          <w:tcPr>
            <w:tcW w:w="1279"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6"/>
              <w:ind w:right="-2"/>
              <w:jc w:val="right"/>
              <w:rPr>
                <w:rFonts w:ascii="Times New Roman" w:hAnsi="Times New Roman" w:cs="Times New Roman" w:eastAsia="Times New Roman" w:hint="default"/>
                <w:sz w:val="21"/>
                <w:szCs w:val="21"/>
              </w:rPr>
            </w:pPr>
            <w:r>
              <w:rPr>
                <w:rFonts w:ascii="Times New Roman"/>
                <w:spacing w:val="-1"/>
                <w:sz w:val="21"/>
              </w:rPr>
              <w:t>33,149.84</w:t>
            </w:r>
          </w:p>
        </w:tc>
        <w:tc>
          <w:tcPr>
            <w:tcW w:w="15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6"/>
              <w:ind w:right="1"/>
              <w:jc w:val="right"/>
              <w:rPr>
                <w:rFonts w:ascii="Times New Roman" w:hAnsi="Times New Roman" w:cs="Times New Roman" w:eastAsia="Times New Roman" w:hint="default"/>
                <w:sz w:val="21"/>
                <w:szCs w:val="21"/>
              </w:rPr>
            </w:pPr>
            <w:r>
              <w:rPr>
                <w:rFonts w:ascii="Times New Roman"/>
                <w:w w:val="100"/>
                <w:sz w:val="21"/>
              </w:rPr>
              <w:t>-</w:t>
            </w:r>
          </w:p>
        </w:tc>
      </w:tr>
      <w:tr>
        <w:trPr>
          <w:trHeight w:val="569" w:hRule="exact"/>
        </w:trPr>
        <w:tc>
          <w:tcPr>
            <w:tcW w:w="361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2"/>
              <w:ind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3"/>
              <w:jc w:val="right"/>
              <w:rPr>
                <w:rFonts w:ascii="Times New Roman" w:hAnsi="Times New Roman" w:cs="Times New Roman" w:eastAsia="Times New Roman" w:hint="default"/>
                <w:sz w:val="21"/>
                <w:szCs w:val="21"/>
              </w:rPr>
            </w:pPr>
            <w:r>
              <w:rPr>
                <w:rFonts w:ascii="Times New Roman"/>
                <w:spacing w:val="-1"/>
                <w:sz w:val="21"/>
              </w:rPr>
              <w:t>3,560,441.88</w:t>
            </w:r>
          </w:p>
        </w:tc>
        <w:tc>
          <w:tcPr>
            <w:tcW w:w="1279" w:type="dxa"/>
            <w:tcBorders>
              <w:top w:val="single" w:sz="6" w:space="0" w:color="000000"/>
              <w:left w:val="single" w:sz="6" w:space="0" w:color="000000"/>
              <w:bottom w:val="single" w:sz="12" w:space="0" w:color="000000"/>
              <w:right w:val="single" w:sz="6" w:space="0" w:color="000000"/>
            </w:tcBorders>
          </w:tcPr>
          <w:p>
            <w:pP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2"/>
              <w:ind w:right="-2"/>
              <w:jc w:val="right"/>
              <w:rPr>
                <w:rFonts w:ascii="Times New Roman" w:hAnsi="Times New Roman" w:cs="Times New Roman" w:eastAsia="Times New Roman" w:hint="default"/>
                <w:sz w:val="21"/>
                <w:szCs w:val="21"/>
              </w:rPr>
            </w:pPr>
            <w:r>
              <w:rPr>
                <w:rFonts w:ascii="Times New Roman"/>
                <w:spacing w:val="-1"/>
                <w:sz w:val="21"/>
              </w:rPr>
              <w:t>9,597,893.06</w:t>
            </w:r>
          </w:p>
        </w:tc>
        <w:tc>
          <w:tcPr>
            <w:tcW w:w="15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2"/>
              <w:ind w:right="-1"/>
              <w:jc w:val="right"/>
              <w:rPr>
                <w:rFonts w:ascii="Times New Roman" w:hAnsi="Times New Roman" w:cs="Times New Roman" w:eastAsia="Times New Roman" w:hint="default"/>
                <w:sz w:val="21"/>
                <w:szCs w:val="21"/>
              </w:rPr>
            </w:pPr>
            <w:r>
              <w:rPr>
                <w:rFonts w:ascii="Times New Roman"/>
                <w:spacing w:val="-1"/>
                <w:sz w:val="21"/>
              </w:rPr>
              <w:t>5,466,710.06</w:t>
            </w:r>
          </w:p>
        </w:tc>
      </w:tr>
    </w:tbl>
    <w:p>
      <w:pPr>
        <w:spacing w:after="0" w:line="240" w:lineRule="auto"/>
        <w:jc w:val="right"/>
        <w:rPr>
          <w:rFonts w:ascii="Times New Roman" w:hAnsi="Times New Roman" w:cs="Times New Roman" w:eastAsia="Times New Roman" w:hint="default"/>
          <w:sz w:val="21"/>
          <w:szCs w:val="21"/>
        </w:rPr>
        <w:sectPr>
          <w:footerReference w:type="default" r:id="rId13"/>
          <w:pgSz w:w="11910" w:h="16840"/>
          <w:pgMar w:footer="1007" w:header="884" w:top="1140" w:bottom="1200" w:left="1480" w:right="1040"/>
          <w:pgNumType w:start="11"/>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9"/>
          <w:szCs w:val="29"/>
        </w:rPr>
      </w:pPr>
    </w:p>
    <w:p>
      <w:pPr>
        <w:pStyle w:val="Heading1"/>
        <w:spacing w:line="460" w:lineRule="exact"/>
        <w:ind w:left="2941" w:right="0"/>
        <w:jc w:val="left"/>
        <w:rPr>
          <w:b w:val="0"/>
          <w:bCs w:val="0"/>
        </w:rPr>
      </w:pPr>
      <w:bookmarkStart w:name="_TOC_250081" w:id="7"/>
      <w:r>
        <w:rPr>
          <w:spacing w:val="3"/>
        </w:rPr>
        <w:t>第四节</w:t>
      </w:r>
      <w:r>
        <w:rPr>
          <w:spacing w:val="-21"/>
        </w:rPr>
        <w:t> </w:t>
      </w:r>
      <w:r>
        <w:rPr>
          <w:spacing w:val="3"/>
        </w:rPr>
        <w:t>董事会报告</w:t>
      </w:r>
      <w:bookmarkEnd w:id="7"/>
      <w:r>
        <w:rPr>
          <w:b w:val="0"/>
          <w:bCs w:val="0"/>
          <w:spacing w:val="3"/>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spacing w:line="240" w:lineRule="auto" w:before="7"/>
        <w:ind w:left="140" w:right="0"/>
        <w:jc w:val="left"/>
        <w:rPr>
          <w:b w:val="0"/>
          <w:bCs w:val="0"/>
        </w:rPr>
      </w:pPr>
      <w:bookmarkStart w:name="_TOC_250080" w:id="8"/>
      <w:r>
        <w:rPr>
          <w:spacing w:val="2"/>
        </w:rPr>
        <w:t>一、公司经营情况</w:t>
      </w:r>
      <w:bookmarkEnd w:id="8"/>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left="140" w:right="0"/>
        <w:jc w:val="left"/>
        <w:rPr>
          <w:b w:val="0"/>
          <w:bCs w:val="0"/>
        </w:rPr>
      </w:pPr>
      <w:r>
        <w:rPr/>
        <w:t>（一）报告期内公司经营情况的回顾</w:t>
      </w:r>
      <w:r>
        <w:rPr>
          <w:b w:val="0"/>
          <w:bCs w:val="0"/>
        </w:rPr>
      </w:r>
    </w:p>
    <w:p>
      <w:pPr>
        <w:spacing w:line="240" w:lineRule="auto" w:before="8"/>
        <w:rPr>
          <w:rFonts w:ascii="宋体" w:hAnsi="宋体" w:cs="宋体" w:eastAsia="宋体" w:hint="default"/>
          <w:b/>
          <w:bCs/>
          <w:sz w:val="35"/>
          <w:szCs w:val="35"/>
        </w:rPr>
      </w:pPr>
    </w:p>
    <w:p>
      <w:pPr>
        <w:spacing w:line="740" w:lineRule="atLeast" w:before="0"/>
        <w:ind w:left="620" w:right="0"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、公司总体经营情况</w:t>
      </w:r>
      <w:r>
        <w:rPr>
          <w:rFonts w:ascii="宋体" w:hAnsi="宋体" w:cs="宋体" w:eastAsia="宋体" w:hint="default"/>
          <w:b/>
          <w:bCs/>
          <w:w w:val="99"/>
          <w:sz w:val="24"/>
          <w:szCs w:val="24"/>
        </w:rPr>
        <w:t> </w:t>
      </w:r>
      <w:r>
        <w:rPr>
          <w:rFonts w:ascii="宋体" w:hAnsi="宋体" w:cs="宋体" w:eastAsia="宋体" w:hint="default"/>
          <w:sz w:val="24"/>
          <w:szCs w:val="24"/>
        </w:rPr>
        <w:t>在《十二五规划纲要》、《测绘地理信息科技发展“十二五”规划》等相关政</w:t>
      </w:r>
    </w:p>
    <w:p>
      <w:pPr>
        <w:pStyle w:val="BodyText"/>
        <w:spacing w:line="240" w:lineRule="auto" w:before="154"/>
        <w:ind w:left="140" w:right="0"/>
        <w:jc w:val="left"/>
      </w:pPr>
      <w:r>
        <w:rPr/>
        <w:t>策的支持下，地理信息需求进一步扩大，国家地理信息产业得到了进一步发展。</w:t>
      </w:r>
    </w:p>
    <w:p>
      <w:pPr>
        <w:pStyle w:val="BodyText"/>
        <w:spacing w:line="343" w:lineRule="auto" w:before="154"/>
        <w:ind w:left="140" w:right="147" w:firstLine="479"/>
        <w:jc w:val="both"/>
      </w:pPr>
      <w:r>
        <w:rPr>
          <w:rFonts w:ascii="Times New Roman" w:hAnsi="Times New Roman" w:cs="Times New Roman" w:eastAsia="Times New Roman" w:hint="default"/>
        </w:rPr>
        <w:t>2011</w:t>
      </w:r>
      <w:r>
        <w:rPr/>
        <w:t>年，公司在董事会领导下，坚持自主创新，推出了新一代产品并加强了基 础平台及应用平台产品研发，进一步提升了公司产品核心竞争力；公司在进一步完</w:t>
      </w:r>
      <w:r>
        <w:rPr>
          <w:spacing w:val="-72"/>
        </w:rPr>
        <w:t> </w:t>
      </w:r>
      <w:r>
        <w:rPr>
          <w:spacing w:val="-72"/>
        </w:rPr>
      </w:r>
      <w:r>
        <w:rPr/>
        <w:t>善销售体系和服务网络的同时进行了营销架构的调整以及优化，增强了销售力量并</w:t>
      </w:r>
      <w:r>
        <w:rPr>
          <w:spacing w:val="-73"/>
        </w:rPr>
        <w:t> </w:t>
      </w:r>
      <w:r>
        <w:rPr>
          <w:spacing w:val="-73"/>
        </w:rPr>
      </w:r>
      <w:r>
        <w:rPr/>
        <w:t>提高销售效率；</w:t>
      </w:r>
      <w:r>
        <w:rPr>
          <w:rFonts w:ascii="Times New Roman" w:hAnsi="Times New Roman" w:cs="Times New Roman" w:eastAsia="Times New Roman" w:hint="default"/>
        </w:rPr>
        <w:t>2011</w:t>
      </w:r>
      <w:r>
        <w:rPr/>
        <w:t>年公司实现营业收入</w:t>
      </w:r>
      <w:r>
        <w:rPr>
          <w:rFonts w:ascii="Times New Roman" w:hAnsi="Times New Roman" w:cs="Times New Roman" w:eastAsia="Times New Roman" w:hint="default"/>
        </w:rPr>
        <w:t>29,310.93</w:t>
      </w:r>
      <w:r>
        <w:rPr/>
        <w:t>万元，比上年同期增长</w:t>
      </w:r>
      <w:r>
        <w:rPr>
          <w:rFonts w:ascii="Times New Roman" w:hAnsi="Times New Roman" w:cs="Times New Roman" w:eastAsia="Times New Roman" w:hint="default"/>
        </w:rPr>
        <w:t>44.72%</w:t>
      </w:r>
      <w:r>
        <w:rPr/>
        <w:t>；</w:t>
      </w:r>
      <w:r>
        <w:rPr>
          <w:spacing w:val="-95"/>
        </w:rPr>
        <w:t> </w:t>
      </w:r>
      <w:r>
        <w:rPr>
          <w:spacing w:val="9"/>
        </w:rPr>
        <w:t>营业利润</w:t>
      </w:r>
      <w:r>
        <w:rPr>
          <w:rFonts w:ascii="Times New Roman" w:hAnsi="Times New Roman" w:cs="Times New Roman" w:eastAsia="Times New Roman" w:hint="default"/>
          <w:spacing w:val="9"/>
        </w:rPr>
        <w:t>4,068.56</w:t>
      </w:r>
      <w:r>
        <w:rPr>
          <w:spacing w:val="9"/>
        </w:rPr>
        <w:t>万元，比上年同期增长</w:t>
      </w:r>
      <w:r>
        <w:rPr>
          <w:rFonts w:ascii="Times New Roman" w:hAnsi="Times New Roman" w:cs="Times New Roman" w:eastAsia="Times New Roman" w:hint="default"/>
          <w:spacing w:val="9"/>
        </w:rPr>
        <w:t>44.71%</w:t>
      </w:r>
      <w:r>
        <w:rPr>
          <w:spacing w:val="9"/>
        </w:rPr>
        <w:t>，归属于上市公司股东的净利润</w:t>
      </w:r>
      <w:r>
        <w:rPr/>
        <w:t> </w:t>
      </w:r>
      <w:r>
        <w:rPr>
          <w:rFonts w:ascii="Times New Roman" w:hAnsi="Times New Roman" w:cs="Times New Roman" w:eastAsia="Times New Roman" w:hint="default"/>
        </w:rPr>
        <w:t>4,676.11</w:t>
      </w:r>
      <w:r>
        <w:rPr/>
        <w:t>万元，比上年同期增长</w:t>
      </w:r>
      <w:r>
        <w:rPr>
          <w:rFonts w:ascii="Times New Roman" w:hAnsi="Times New Roman" w:cs="Times New Roman" w:eastAsia="Times New Roman" w:hint="default"/>
        </w:rPr>
        <w:t>3.74%</w:t>
      </w:r>
      <w:r>
        <w:rPr/>
        <w:t>。</w:t>
      </w:r>
      <w:r>
        <w:rPr>
          <w:rFonts w:ascii="Times New Roman" w:hAnsi="Times New Roman" w:cs="Times New Roman" w:eastAsia="Times New Roman" w:hint="default"/>
        </w:rPr>
        <w:t>2011</w:t>
      </w:r>
      <w:r>
        <w:rPr/>
        <w:t>年，公司获得的政府补助（含软件增值</w:t>
      </w:r>
      <w:r>
        <w:rPr>
          <w:spacing w:val="-97"/>
        </w:rPr>
        <w:t> </w:t>
      </w:r>
      <w:r>
        <w:rPr>
          <w:spacing w:val="-97"/>
        </w:rPr>
      </w:r>
      <w:r>
        <w:rPr>
          <w:spacing w:val="-3"/>
        </w:rPr>
        <w:t>税退税收入）约</w:t>
      </w:r>
      <w:r>
        <w:rPr>
          <w:rFonts w:ascii="Times New Roman" w:hAnsi="Times New Roman" w:cs="Times New Roman" w:eastAsia="Times New Roman" w:hint="default"/>
          <w:spacing w:val="-3"/>
        </w:rPr>
        <w:t>1,361.51</w:t>
      </w:r>
      <w:r>
        <w:rPr>
          <w:spacing w:val="-3"/>
        </w:rPr>
        <w:t>万元，与上年同期比较减少</w:t>
      </w:r>
      <w:r>
        <w:rPr>
          <w:rFonts w:ascii="Times New Roman" w:hAnsi="Times New Roman" w:cs="Times New Roman" w:eastAsia="Times New Roman" w:hint="default"/>
          <w:spacing w:val="-3"/>
        </w:rPr>
        <w:t>33.38%</w:t>
      </w:r>
      <w:r>
        <w:rPr>
          <w:spacing w:val="-3"/>
        </w:rPr>
        <w:t>；公司所得税税率与上年</w:t>
      </w:r>
      <w:r>
        <w:rPr>
          <w:spacing w:val="-77"/>
        </w:rPr>
        <w:t> </w:t>
      </w:r>
      <w:r>
        <w:rPr>
          <w:spacing w:val="-77"/>
        </w:rPr>
      </w:r>
      <w:r>
        <w:rPr/>
        <w:t>同期比较增加了</w:t>
      </w:r>
      <w:r>
        <w:rPr>
          <w:rFonts w:ascii="Times New Roman" w:hAnsi="Times New Roman" w:cs="Times New Roman" w:eastAsia="Times New Roman" w:hint="default"/>
        </w:rPr>
        <w:t>5%</w:t>
      </w:r>
      <w:r>
        <w:rPr/>
        <w:t>，报告期内所得税费用比上年同期增加</w:t>
      </w:r>
      <w:r>
        <w:rPr>
          <w:rFonts w:ascii="Times New Roman" w:hAnsi="Times New Roman" w:cs="Times New Roman" w:eastAsia="Times New Roman" w:hint="default"/>
        </w:rPr>
        <w:t>300.79</w:t>
      </w:r>
      <w:r>
        <w:rPr/>
        <w:t>万元，造成公司净</w:t>
      </w:r>
      <w:r>
        <w:rPr>
          <w:spacing w:val="-96"/>
        </w:rPr>
        <w:t> </w:t>
      </w:r>
      <w:r>
        <w:rPr>
          <w:spacing w:val="-96"/>
        </w:rPr>
      </w:r>
      <w:r>
        <w:rPr/>
        <w:t>利润增长与营业收入增长不同步。此外，报告期内，公司结合云技术的发展，发布</w:t>
      </w:r>
      <w:r>
        <w:rPr>
          <w:spacing w:val="-75"/>
        </w:rPr>
        <w:t> </w:t>
      </w:r>
      <w:r>
        <w:rPr>
          <w:spacing w:val="-75"/>
        </w:rPr>
      </w:r>
      <w:r>
        <w:rPr/>
        <w:t>了云</w:t>
      </w:r>
      <w:r>
        <w:rPr>
          <w:rFonts w:ascii="Times New Roman" w:hAnsi="Times New Roman" w:cs="Times New Roman" w:eastAsia="Times New Roman" w:hint="default"/>
        </w:rPr>
        <w:t>GIS</w:t>
      </w:r>
      <w:r>
        <w:rPr/>
        <w:t>公共平台和云</w:t>
      </w:r>
      <w:r>
        <w:rPr>
          <w:rFonts w:ascii="Times New Roman" w:hAnsi="Times New Roman" w:cs="Times New Roman" w:eastAsia="Times New Roman" w:hint="default"/>
        </w:rPr>
        <w:t>GIS</w:t>
      </w:r>
      <w:r>
        <w:rPr/>
        <w:t>技术解决方案，并基于该平台开展了一些新业务探索，为 公司未来的持续增长和服务转型做了大量的基础性工作。</w:t>
      </w:r>
    </w:p>
    <w:p>
      <w:pPr>
        <w:pStyle w:val="BodyText"/>
        <w:spacing w:line="348" w:lineRule="auto" w:before="50"/>
        <w:ind w:left="140" w:right="149" w:firstLine="479"/>
        <w:jc w:val="both"/>
      </w:pPr>
      <w:r>
        <w:rPr>
          <w:rFonts w:ascii="Times New Roman" w:hAnsi="Times New Roman" w:cs="Times New Roman" w:eastAsia="Times New Roman" w:hint="default"/>
        </w:rPr>
        <w:t>2011</w:t>
      </w:r>
      <w:r>
        <w:rPr/>
        <w:t>年是我国“十二五”计划的开启之年，公司结合相关行业的十二五规划， 结合公司的技术特点、产品优势及未来的业务发展战略，制定了针对不同行业的业</w:t>
      </w:r>
      <w:r>
        <w:rPr>
          <w:spacing w:val="-76"/>
        </w:rPr>
        <w:t> </w:t>
      </w:r>
      <w:r>
        <w:rPr>
          <w:spacing w:val="-76"/>
        </w:rPr>
      </w:r>
      <w:r>
        <w:rPr>
          <w:spacing w:val="-1"/>
        </w:rPr>
        <w:t>务发展规划。在十二五期间，公司将着力参与区域</w:t>
      </w:r>
      <w:r>
        <w:rPr>
          <w:rFonts w:ascii="Times New Roman" w:hAnsi="Times New Roman" w:cs="Times New Roman" w:eastAsia="Times New Roman" w:hint="default"/>
          <w:spacing w:val="-1"/>
        </w:rPr>
        <w:t>/</w:t>
      </w:r>
      <w:r>
        <w:rPr>
          <w:spacing w:val="-1"/>
        </w:rPr>
        <w:t>行业地理信息共享平台建设，进</w:t>
      </w:r>
      <w:r>
        <w:rPr>
          <w:spacing w:val="-98"/>
        </w:rPr>
        <w:t> </w:t>
      </w:r>
      <w:r>
        <w:rPr>
          <w:spacing w:val="-98"/>
        </w:rPr>
      </w:r>
      <w:r>
        <w:rPr>
          <w:spacing w:val="-1"/>
        </w:rPr>
        <w:t>入区域</w:t>
      </w:r>
      <w:r>
        <w:rPr>
          <w:rFonts w:ascii="Times New Roman" w:hAnsi="Times New Roman" w:cs="Times New Roman" w:eastAsia="Times New Roman" w:hint="default"/>
          <w:spacing w:val="-1"/>
        </w:rPr>
        <w:t>/</w:t>
      </w:r>
      <w:r>
        <w:rPr>
          <w:spacing w:val="-1"/>
        </w:rPr>
        <w:t>行业信息化建设的基础环节部份，进一步提升产品和服务的渗透能力；十二</w:t>
      </w:r>
      <w:r>
        <w:rPr>
          <w:spacing w:val="-99"/>
        </w:rPr>
        <w:t> </w:t>
      </w:r>
      <w:r>
        <w:rPr>
          <w:spacing w:val="-99"/>
        </w:rPr>
      </w:r>
      <w:r>
        <w:rPr/>
        <w:t>五期间，公司将结合移动和云计算的应用趋势，加大新业务的探索和相关支撑性平</w:t>
      </w:r>
      <w:r>
        <w:rPr>
          <w:spacing w:val="-76"/>
        </w:rPr>
        <w:t> </w:t>
      </w:r>
      <w:r>
        <w:rPr>
          <w:spacing w:val="-76"/>
        </w:rPr>
      </w:r>
      <w:r>
        <w:rPr/>
        <w:t>台软件的研发，努力实现现有业务保持持续稳定增长，推进新业务的成熟度和应用</w:t>
      </w:r>
      <w:r>
        <w:rPr>
          <w:spacing w:val="-77"/>
        </w:rPr>
        <w:t> </w:t>
      </w:r>
      <w:r>
        <w:rPr>
          <w:spacing w:val="-77"/>
        </w:rPr>
      </w:r>
      <w:r>
        <w:rPr/>
        <w:t>价值，提高地理信息技术的应用普及度；十二五期间，公司将大力提升管理能力和</w:t>
      </w:r>
    </w:p>
    <w:p>
      <w:pPr>
        <w:spacing w:after="0" w:line="348" w:lineRule="auto"/>
        <w:jc w:val="both"/>
        <w:sectPr>
          <w:pgSz w:w="11910" w:h="16840"/>
          <w:pgMar w:header="884" w:footer="1007" w:top="1140" w:bottom="1200" w:left="1660" w:right="1260"/>
        </w:sectPr>
      </w:pPr>
    </w:p>
    <w:p>
      <w:pPr>
        <w:spacing w:line="240" w:lineRule="auto" w:before="6"/>
        <w:rPr>
          <w:rFonts w:ascii="宋体" w:hAnsi="宋体" w:cs="宋体" w:eastAsia="宋体" w:hint="default"/>
          <w:sz w:val="22"/>
          <w:szCs w:val="22"/>
        </w:rPr>
      </w:pPr>
    </w:p>
    <w:p>
      <w:pPr>
        <w:pStyle w:val="BodyText"/>
        <w:spacing w:line="240" w:lineRule="auto" w:before="26"/>
        <w:ind w:left="240" w:right="0"/>
        <w:jc w:val="both"/>
      </w:pPr>
      <w:r>
        <w:rPr/>
        <w:t>产品服务质量，加强企业文化建设，实现企业与员工的同步成长。</w:t>
      </w:r>
    </w:p>
    <w:p>
      <w:pPr>
        <w:spacing w:line="760" w:lineRule="atLeast" w:before="19"/>
        <w:ind w:left="720" w:right="247"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、公司主营业务及其经营状况</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报告期内，公司的主营业务未发生重大改变，依然集中于</w:t>
      </w:r>
      <w:r>
        <w:rPr>
          <w:rFonts w:ascii="Times New Roman" w:hAnsi="Times New Roman" w:cs="Times New Roman" w:eastAsia="Times New Roman" w:hint="default"/>
          <w:spacing w:val="-3"/>
          <w:sz w:val="24"/>
          <w:szCs w:val="24"/>
        </w:rPr>
        <w:t>GIS</w:t>
      </w:r>
      <w:r>
        <w:rPr>
          <w:rFonts w:ascii="宋体" w:hAnsi="宋体" w:cs="宋体" w:eastAsia="宋体" w:hint="default"/>
          <w:spacing w:val="-3"/>
          <w:sz w:val="24"/>
          <w:szCs w:val="24"/>
        </w:rPr>
        <w:t>基础平台软件、应</w:t>
      </w:r>
    </w:p>
    <w:p>
      <w:pPr>
        <w:pStyle w:val="BodyText"/>
        <w:spacing w:line="350" w:lineRule="auto" w:before="135"/>
        <w:ind w:left="240" w:right="249"/>
        <w:jc w:val="both"/>
      </w:pPr>
      <w:r>
        <w:rPr/>
        <w:t>用平台软件的研发和销售，同时基于上述平台软件为客户提供各类定制软件增值服</w:t>
      </w:r>
      <w:r>
        <w:rPr>
          <w:spacing w:val="-71"/>
        </w:rPr>
        <w:t> </w:t>
      </w:r>
      <w:r>
        <w:rPr>
          <w:spacing w:val="-71"/>
        </w:rPr>
      </w:r>
      <w:r>
        <w:rPr>
          <w:spacing w:val="-3"/>
        </w:rPr>
        <w:t>务，包括提供方案咨询、技术支持与技术开发服务及与</w:t>
      </w:r>
      <w:r>
        <w:rPr>
          <w:rFonts w:ascii="Times New Roman" w:hAnsi="Times New Roman" w:cs="Times New Roman" w:eastAsia="Times New Roman" w:hint="default"/>
          <w:spacing w:val="-3"/>
        </w:rPr>
        <w:t>GIS</w:t>
      </w:r>
      <w:r>
        <w:rPr>
          <w:spacing w:val="-3"/>
        </w:rPr>
        <w:t>应用工程相关品配套产品</w:t>
      </w:r>
      <w:r>
        <w:rPr>
          <w:spacing w:val="-106"/>
        </w:rPr>
        <w:t> </w:t>
      </w:r>
      <w:r>
        <w:rPr>
          <w:spacing w:val="-106"/>
        </w:rPr>
      </w:r>
      <w:r>
        <w:rPr/>
        <w:t>的销售服务。此外，报告期内公司在地理信息在线运营服务方面进行了一些探索，</w:t>
      </w:r>
      <w:r>
        <w:rPr>
          <w:spacing w:val="-77"/>
        </w:rPr>
        <w:t> </w:t>
      </w:r>
      <w:r>
        <w:rPr>
          <w:spacing w:val="-77"/>
        </w:rPr>
      </w:r>
      <w:r>
        <w:rPr/>
        <w:t>取得了一定进展。</w:t>
      </w:r>
    </w:p>
    <w:p>
      <w:pPr>
        <w:pStyle w:val="BodyText"/>
        <w:spacing w:line="240" w:lineRule="auto" w:before="43"/>
        <w:ind w:left="720" w:right="121"/>
        <w:jc w:val="left"/>
      </w:pPr>
      <w:r>
        <w:rPr>
          <w:rFonts w:ascii="Times New Roman" w:hAnsi="Times New Roman" w:cs="Times New Roman" w:eastAsia="Times New Roman" w:hint="default"/>
        </w:rPr>
        <w:t>2011</w:t>
      </w:r>
      <w:r>
        <w:rPr/>
        <w:t>年，母公司共取得主营业务订单</w:t>
      </w:r>
      <w:r>
        <w:rPr>
          <w:rFonts w:ascii="Times New Roman" w:hAnsi="Times New Roman" w:cs="Times New Roman" w:eastAsia="Times New Roman" w:hint="default"/>
        </w:rPr>
        <w:t>706</w:t>
      </w:r>
      <w:r>
        <w:rPr/>
        <w:t>个，与去年同期比较签约合同额上升了</w:t>
      </w:r>
    </w:p>
    <w:p>
      <w:pPr>
        <w:pStyle w:val="BodyText"/>
        <w:spacing w:line="338" w:lineRule="auto" w:before="135"/>
        <w:ind w:left="240" w:right="252"/>
        <w:jc w:val="both"/>
      </w:pPr>
      <w:r>
        <w:rPr>
          <w:rFonts w:ascii="Times New Roman" w:hAnsi="Times New Roman" w:cs="Times New Roman" w:eastAsia="Times New Roman" w:hint="default"/>
        </w:rPr>
        <w:t>15.29%</w:t>
      </w:r>
      <w:r>
        <w:rPr/>
        <w:t>，其中值得注意的是，</w:t>
      </w:r>
      <w:r>
        <w:rPr>
          <w:rFonts w:ascii="Times New Roman" w:hAnsi="Times New Roman" w:cs="Times New Roman" w:eastAsia="Times New Roman" w:hint="default"/>
        </w:rPr>
        <w:t>2011</w:t>
      </w:r>
      <w:r>
        <w:rPr/>
        <w:t>年，公司平台软件合同数量与去年同期相比上升</w:t>
      </w:r>
      <w:r>
        <w:rPr>
          <w:spacing w:val="-94"/>
        </w:rPr>
        <w:t> </w:t>
      </w:r>
      <w:r>
        <w:rPr>
          <w:spacing w:val="-94"/>
        </w:rPr>
      </w:r>
      <w:r>
        <w:rPr/>
        <w:t>了</w:t>
      </w:r>
      <w:r>
        <w:rPr>
          <w:rFonts w:ascii="Times New Roman" w:hAnsi="Times New Roman" w:cs="Times New Roman" w:eastAsia="Times New Roman" w:hint="default"/>
        </w:rPr>
        <w:t>35.71%</w:t>
      </w:r>
      <w:r>
        <w:rPr/>
        <w:t>，这反映了公司的核心竞争力的进一步提高以及市场规模的进一步扩大。</w:t>
      </w:r>
    </w:p>
    <w:p>
      <w:pPr>
        <w:spacing w:line="240" w:lineRule="auto" w:before="6"/>
        <w:rPr>
          <w:rFonts w:ascii="宋体" w:hAnsi="宋体" w:cs="宋体" w:eastAsia="宋体" w:hint="default"/>
          <w:sz w:val="24"/>
          <w:szCs w:val="24"/>
        </w:rPr>
      </w:pPr>
    </w:p>
    <w:p>
      <w:pPr>
        <w:pStyle w:val="Heading5"/>
        <w:spacing w:line="240" w:lineRule="auto"/>
        <w:ind w:left="240" w:right="0"/>
        <w:jc w:val="both"/>
        <w:rPr>
          <w:b w:val="0"/>
          <w:bCs w:val="0"/>
        </w:rPr>
      </w:pPr>
      <w:r>
        <w:rPr/>
        <w:t>（</w:t>
      </w:r>
      <w:r>
        <w:rPr>
          <w:rFonts w:ascii="Times New Roman" w:hAnsi="Times New Roman" w:cs="Times New Roman" w:eastAsia="Times New Roman" w:hint="default"/>
        </w:rPr>
        <w:t>1</w:t>
      </w:r>
      <w:r>
        <w:rPr/>
        <w:t>）主营业务分行业、产品情况表</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240" w:right="254" w:firstLine="479"/>
        <w:jc w:val="both"/>
      </w:pPr>
      <w:r>
        <w:rPr/>
        <w:t>公司主营业务收入包括</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软件销售收入和</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软件配套用品销售收入两大类 型，其中</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软件收入包括</w:t>
      </w:r>
      <w:r>
        <w:rPr>
          <w:spacing w:val="-64"/>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基础平台软件产品、相关行业应用平台软件产品和 </w:t>
      </w:r>
      <w:r>
        <w:rPr>
          <w:rFonts w:ascii="Times New Roman" w:hAnsi="Times New Roman" w:cs="Times New Roman" w:eastAsia="Times New Roman" w:hint="default"/>
        </w:rPr>
        <w:t>GIS </w:t>
      </w:r>
      <w:r>
        <w:rPr/>
        <w:t>定制软件的销售收入；</w:t>
      </w:r>
      <w:r>
        <w:rPr>
          <w:rFonts w:ascii="Times New Roman" w:hAnsi="Times New Roman" w:cs="Times New Roman" w:eastAsia="Times New Roman" w:hint="default"/>
        </w:rPr>
        <w:t>GIS</w:t>
      </w:r>
      <w:r>
        <w:rPr>
          <w:rFonts w:ascii="Times New Roman" w:hAnsi="Times New Roman" w:cs="Times New Roman" w:eastAsia="Times New Roman" w:hint="default"/>
          <w:spacing w:val="50"/>
        </w:rPr>
        <w:t> </w:t>
      </w:r>
      <w:r>
        <w:rPr/>
        <w:t>软件配套用品收入是指在建设应用系统时所需要的 其他产品，如数据库软件、遥感应用软件等产品的销售收入。</w:t>
      </w:r>
    </w:p>
    <w:p>
      <w:pPr>
        <w:pStyle w:val="BodyText"/>
        <w:spacing w:line="240" w:lineRule="auto" w:before="55"/>
        <w:ind w:left="720" w:right="121"/>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年度主营业务收入及利润按业务类型的构成情况如下：</w:t>
      </w:r>
    </w:p>
    <w:p>
      <w:pPr>
        <w:spacing w:before="84"/>
        <w:ind w:left="0" w:right="249" w:firstLine="0"/>
        <w:jc w:val="right"/>
        <w:rPr>
          <w:rFonts w:ascii="宋体" w:hAnsi="宋体" w:cs="宋体" w:eastAsia="宋体" w:hint="default"/>
          <w:sz w:val="21"/>
          <w:szCs w:val="21"/>
        </w:rPr>
      </w:pPr>
      <w:r>
        <w:rPr>
          <w:rFonts w:ascii="宋体" w:hAnsi="宋体" w:cs="宋体" w:eastAsia="宋体" w:hint="default"/>
          <w:b/>
          <w:bCs/>
          <w:w w:val="100"/>
          <w:sz w:val="21"/>
          <w:szCs w:val="21"/>
        </w:rPr>
        <w:t>单位</w:t>
      </w:r>
      <w:r>
        <w:rPr>
          <w:rFonts w:ascii="宋体" w:hAnsi="宋体" w:cs="宋体" w:eastAsia="宋体" w:hint="default"/>
          <w:b/>
          <w:bCs/>
          <w:spacing w:val="-105"/>
          <w:w w:val="100"/>
          <w:sz w:val="21"/>
          <w:szCs w:val="21"/>
        </w:rPr>
        <w:t>：</w:t>
      </w:r>
      <w:r>
        <w:rPr>
          <w:rFonts w:ascii="宋体" w:hAnsi="宋体" w:cs="宋体" w:eastAsia="宋体" w:hint="default"/>
          <w:b/>
          <w:bCs/>
          <w:w w:val="100"/>
          <w:sz w:val="21"/>
          <w:szCs w:val="21"/>
        </w:rPr>
        <w:t>（人民币）元</w:t>
      </w:r>
      <w:r>
        <w:rPr>
          <w:rFonts w:ascii="宋体" w:hAnsi="宋体" w:cs="宋体" w:eastAsia="宋体" w:hint="default"/>
          <w:w w:val="100"/>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974"/>
        <w:gridCol w:w="977"/>
        <w:gridCol w:w="1585"/>
        <w:gridCol w:w="1476"/>
        <w:gridCol w:w="972"/>
        <w:gridCol w:w="974"/>
        <w:gridCol w:w="975"/>
        <w:gridCol w:w="974"/>
      </w:tblGrid>
      <w:tr>
        <w:trPr>
          <w:trHeight w:val="1273" w:hRule="exact"/>
        </w:trPr>
        <w:tc>
          <w:tcPr>
            <w:tcW w:w="974" w:type="dxa"/>
            <w:tcBorders>
              <w:top w:val="single" w:sz="12" w:space="0" w:color="000000"/>
              <w:left w:val="single" w:sz="12" w:space="0" w:color="000000"/>
              <w:bottom w:val="single" w:sz="6" w:space="0" w:color="000000"/>
              <w:right w:val="single" w:sz="6" w:space="0" w:color="000000"/>
            </w:tcBorders>
          </w:tcPr>
          <w:p>
            <w:pPr>
              <w:pStyle w:val="TableParagraph"/>
              <w:spacing w:line="273" w:lineRule="auto"/>
              <w:ind w:left="156" w:right="161"/>
              <w:jc w:val="left"/>
              <w:rPr>
                <w:rFonts w:ascii="宋体" w:hAnsi="宋体" w:cs="宋体" w:eastAsia="宋体" w:hint="default"/>
                <w:sz w:val="21"/>
                <w:szCs w:val="21"/>
              </w:rPr>
            </w:pPr>
            <w:r>
              <w:rPr>
                <w:rFonts w:ascii="宋体" w:hAnsi="宋体" w:cs="宋体" w:eastAsia="宋体" w:hint="default"/>
                <w:b/>
                <w:bCs/>
                <w:sz w:val="21"/>
                <w:szCs w:val="21"/>
              </w:rPr>
              <w:t>主营业</w:t>
            </w:r>
            <w:r>
              <w:rPr>
                <w:rFonts w:ascii="宋体" w:hAnsi="宋体" w:cs="宋体" w:eastAsia="宋体" w:hint="default"/>
                <w:b/>
                <w:bCs/>
                <w:w w:val="100"/>
                <w:sz w:val="21"/>
                <w:szCs w:val="21"/>
              </w:rPr>
              <w:t> </w:t>
            </w:r>
            <w:r>
              <w:rPr>
                <w:rFonts w:ascii="宋体" w:hAnsi="宋体" w:cs="宋体" w:eastAsia="宋体" w:hint="default"/>
                <w:b/>
                <w:bCs/>
                <w:sz w:val="21"/>
                <w:szCs w:val="21"/>
              </w:rPr>
              <w:t>务项目</w:t>
            </w:r>
            <w:r>
              <w:rPr>
                <w:rFonts w:ascii="宋体" w:hAnsi="宋体" w:cs="宋体" w:eastAsia="宋体" w:hint="default"/>
                <w:sz w:val="21"/>
                <w:szCs w:val="21"/>
              </w:rPr>
            </w:r>
          </w:p>
        </w:tc>
        <w:tc>
          <w:tcPr>
            <w:tcW w:w="97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68" w:right="0"/>
              <w:jc w:val="left"/>
              <w:rPr>
                <w:rFonts w:ascii="宋体" w:hAnsi="宋体" w:cs="宋体" w:eastAsia="宋体" w:hint="default"/>
                <w:sz w:val="21"/>
                <w:szCs w:val="21"/>
              </w:rPr>
            </w:pPr>
            <w:r>
              <w:rPr>
                <w:rFonts w:ascii="宋体" w:hAnsi="宋体" w:cs="宋体" w:eastAsia="宋体" w:hint="default"/>
                <w:b/>
                <w:bCs/>
                <w:sz w:val="21"/>
                <w:szCs w:val="21"/>
              </w:rPr>
              <w:t>性质</w:t>
            </w:r>
            <w:r>
              <w:rPr>
                <w:rFonts w:ascii="宋体" w:hAnsi="宋体" w:cs="宋体" w:eastAsia="宋体" w:hint="default"/>
                <w:sz w:val="21"/>
                <w:szCs w:val="21"/>
              </w:rPr>
            </w:r>
          </w:p>
        </w:tc>
        <w:tc>
          <w:tcPr>
            <w:tcW w:w="1585"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972"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163"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p>
            <w:pPr>
              <w:pStyle w:val="TableParagraph"/>
              <w:spacing w:line="240" w:lineRule="auto" w:before="37"/>
              <w:ind w:left="163"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974"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163" w:right="161"/>
              <w:jc w:val="both"/>
              <w:rPr>
                <w:rFonts w:ascii="宋体" w:hAnsi="宋体" w:cs="宋体" w:eastAsia="宋体" w:hint="default"/>
                <w:sz w:val="21"/>
                <w:szCs w:val="21"/>
              </w:rPr>
            </w:pPr>
            <w:r>
              <w:rPr>
                <w:rFonts w:ascii="宋体" w:hAnsi="宋体" w:cs="宋体" w:eastAsia="宋体" w:hint="default"/>
                <w:b/>
                <w:bCs/>
                <w:sz w:val="21"/>
                <w:szCs w:val="21"/>
              </w:rPr>
              <w:t>营业收</w:t>
            </w:r>
            <w:r>
              <w:rPr>
                <w:rFonts w:ascii="宋体" w:hAnsi="宋体" w:cs="宋体" w:eastAsia="宋体" w:hint="default"/>
                <w:b/>
                <w:bCs/>
                <w:w w:val="100"/>
                <w:sz w:val="21"/>
                <w:szCs w:val="21"/>
              </w:rPr>
              <w:t> </w:t>
            </w:r>
            <w:r>
              <w:rPr>
                <w:rFonts w:ascii="宋体" w:hAnsi="宋体" w:cs="宋体" w:eastAsia="宋体" w:hint="default"/>
                <w:b/>
                <w:bCs/>
                <w:sz w:val="21"/>
                <w:szCs w:val="21"/>
              </w:rPr>
              <w:t>入比上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40" w:lineRule="auto" w:before="8"/>
              <w:ind w:left="16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975"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163" w:right="161"/>
              <w:jc w:val="both"/>
              <w:rPr>
                <w:rFonts w:ascii="宋体" w:hAnsi="宋体" w:cs="宋体" w:eastAsia="宋体" w:hint="default"/>
                <w:sz w:val="21"/>
                <w:szCs w:val="21"/>
              </w:rPr>
            </w:pPr>
            <w:r>
              <w:rPr>
                <w:rFonts w:ascii="宋体" w:hAnsi="宋体" w:cs="宋体" w:eastAsia="宋体" w:hint="default"/>
                <w:b/>
                <w:bCs/>
                <w:sz w:val="21"/>
                <w:szCs w:val="21"/>
              </w:rPr>
              <w:t>营业成</w:t>
            </w:r>
            <w:r>
              <w:rPr>
                <w:rFonts w:ascii="宋体" w:hAnsi="宋体" w:cs="宋体" w:eastAsia="宋体" w:hint="default"/>
                <w:b/>
                <w:bCs/>
                <w:w w:val="100"/>
                <w:sz w:val="21"/>
                <w:szCs w:val="21"/>
              </w:rPr>
              <w:t> </w:t>
            </w:r>
            <w:r>
              <w:rPr>
                <w:rFonts w:ascii="宋体" w:hAnsi="宋体" w:cs="宋体" w:eastAsia="宋体" w:hint="default"/>
                <w:b/>
                <w:bCs/>
                <w:sz w:val="21"/>
                <w:szCs w:val="21"/>
              </w:rPr>
              <w:t>本比上</w:t>
            </w:r>
            <w:r>
              <w:rPr>
                <w:rFonts w:ascii="宋体" w:hAnsi="宋体" w:cs="宋体" w:eastAsia="宋体" w:hint="default"/>
                <w:b/>
                <w:bCs/>
                <w:w w:val="100"/>
                <w:sz w:val="21"/>
                <w:szCs w:val="21"/>
              </w:rPr>
              <w:t> </w:t>
            </w:r>
            <w:r>
              <w:rPr>
                <w:rFonts w:ascii="宋体" w:hAnsi="宋体" w:cs="宋体" w:eastAsia="宋体" w:hint="default"/>
                <w:b/>
                <w:bCs/>
                <w:sz w:val="21"/>
                <w:szCs w:val="21"/>
              </w:rPr>
              <w:t>年增减</w:t>
            </w:r>
            <w:r>
              <w:rPr>
                <w:rFonts w:ascii="宋体" w:hAnsi="宋体" w:cs="宋体" w:eastAsia="宋体" w:hint="default"/>
                <w:sz w:val="21"/>
                <w:szCs w:val="21"/>
              </w:rPr>
            </w:r>
          </w:p>
          <w:p>
            <w:pPr>
              <w:pStyle w:val="TableParagraph"/>
              <w:spacing w:line="240" w:lineRule="auto" w:before="8"/>
              <w:ind w:left="16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974" w:type="dxa"/>
            <w:tcBorders>
              <w:top w:val="single" w:sz="12" w:space="0" w:color="000000"/>
              <w:left w:val="single" w:sz="6" w:space="0" w:color="000000"/>
              <w:bottom w:val="single" w:sz="6" w:space="0" w:color="000000"/>
              <w:right w:val="single" w:sz="12" w:space="0" w:color="000000"/>
            </w:tcBorders>
          </w:tcPr>
          <w:p>
            <w:pPr>
              <w:pStyle w:val="TableParagraph"/>
              <w:spacing w:line="273" w:lineRule="auto"/>
              <w:ind w:left="163" w:right="155"/>
              <w:jc w:val="both"/>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b/>
                <w:bCs/>
                <w:w w:val="100"/>
                <w:sz w:val="21"/>
                <w:szCs w:val="21"/>
              </w:rPr>
              <w:t> </w:t>
            </w:r>
            <w:r>
              <w:rPr>
                <w:rFonts w:ascii="宋体" w:hAnsi="宋体" w:cs="宋体" w:eastAsia="宋体" w:hint="default"/>
                <w:b/>
                <w:bCs/>
                <w:sz w:val="21"/>
                <w:szCs w:val="21"/>
              </w:rPr>
              <w:t>比上年</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p>
            <w:pPr>
              <w:pStyle w:val="TableParagraph"/>
              <w:spacing w:line="240" w:lineRule="auto" w:before="8"/>
              <w:ind w:left="163" w:right="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r>
      <w:tr>
        <w:trPr>
          <w:trHeight w:val="638" w:hRule="exact"/>
        </w:trPr>
        <w:tc>
          <w:tcPr>
            <w:tcW w:w="974" w:type="dxa"/>
            <w:tcBorders>
              <w:top w:val="single" w:sz="6" w:space="0" w:color="000000"/>
              <w:left w:val="single" w:sz="12" w:space="0" w:color="000000"/>
              <w:bottom w:val="single" w:sz="6" w:space="0" w:color="000000"/>
              <w:right w:val="single" w:sz="6"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w:t>
            </w:r>
          </w:p>
          <w:p>
            <w:pPr>
              <w:pStyle w:val="TableParagraph"/>
              <w:spacing w:line="240" w:lineRule="auto" w:before="21"/>
              <w:ind w:right="5"/>
              <w:jc w:val="center"/>
              <w:rPr>
                <w:rFonts w:ascii="宋体" w:hAnsi="宋体" w:cs="宋体" w:eastAsia="宋体" w:hint="default"/>
                <w:sz w:val="21"/>
                <w:szCs w:val="21"/>
              </w:rPr>
            </w:pPr>
            <w:r>
              <w:rPr>
                <w:rFonts w:ascii="宋体" w:hAnsi="宋体" w:cs="宋体" w:eastAsia="宋体" w:hint="default"/>
                <w:w w:val="100"/>
                <w:sz w:val="21"/>
                <w:szCs w:val="21"/>
              </w:rPr>
              <w:t>件</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74" w:right="163" w:hanging="212"/>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277,242,702.52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66,911,540.13</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75.87</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48.85</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34.33</w:t>
            </w:r>
          </w:p>
        </w:tc>
        <w:tc>
          <w:tcPr>
            <w:tcW w:w="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2.61</w:t>
            </w:r>
          </w:p>
        </w:tc>
      </w:tr>
      <w:tr>
        <w:trPr>
          <w:trHeight w:val="638" w:hRule="exact"/>
        </w:trPr>
        <w:tc>
          <w:tcPr>
            <w:tcW w:w="974" w:type="dxa"/>
            <w:tcBorders>
              <w:top w:val="single" w:sz="6" w:space="0" w:color="000000"/>
              <w:left w:val="single" w:sz="12" w:space="0" w:color="000000"/>
              <w:bottom w:val="single" w:sz="6" w:space="0" w:color="000000"/>
              <w:right w:val="single" w:sz="6" w:space="0" w:color="000000"/>
            </w:tcBorders>
          </w:tcPr>
          <w:p>
            <w:pPr>
              <w:pStyle w:val="TableParagraph"/>
              <w:spacing w:line="278"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配</w:t>
            </w:r>
          </w:p>
          <w:p>
            <w:pPr>
              <w:pStyle w:val="TableParagraph"/>
              <w:spacing w:line="240" w:lineRule="auto" w:before="21"/>
              <w:ind w:left="156" w:right="0"/>
              <w:jc w:val="left"/>
              <w:rPr>
                <w:rFonts w:ascii="宋体" w:hAnsi="宋体" w:cs="宋体" w:eastAsia="宋体" w:hint="default"/>
                <w:sz w:val="21"/>
                <w:szCs w:val="21"/>
              </w:rPr>
            </w:pPr>
            <w:r>
              <w:rPr>
                <w:rFonts w:ascii="宋体" w:hAnsi="宋体" w:cs="宋体" w:eastAsia="宋体" w:hint="default"/>
                <w:sz w:val="21"/>
                <w:szCs w:val="21"/>
              </w:rPr>
              <w:t>套用品</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74" w:right="163" w:hanging="212"/>
              <w:jc w:val="left"/>
              <w:rPr>
                <w:rFonts w:ascii="宋体" w:hAnsi="宋体" w:cs="宋体" w:eastAsia="宋体" w:hint="default"/>
                <w:sz w:val="21"/>
                <w:szCs w:val="21"/>
              </w:rPr>
            </w:pPr>
            <w:r>
              <w:rPr>
                <w:rFonts w:ascii="宋体" w:hAnsi="宋体" w:cs="宋体" w:eastAsia="宋体" w:hint="default"/>
                <w:sz w:val="21"/>
                <w:szCs w:val="21"/>
              </w:rPr>
              <w:t>产品销</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14,651,067.56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11,483,451.37</w:t>
            </w:r>
          </w:p>
        </w:tc>
        <w:tc>
          <w:tcPr>
            <w:tcW w:w="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21.62</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-10.03</w:t>
            </w:r>
          </w:p>
        </w:tc>
        <w:tc>
          <w:tcPr>
            <w:tcW w:w="9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-20.23</w:t>
            </w:r>
          </w:p>
        </w:tc>
        <w:tc>
          <w:tcPr>
            <w:tcW w:w="97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10.02</w:t>
            </w:r>
          </w:p>
        </w:tc>
      </w:tr>
      <w:tr>
        <w:trPr>
          <w:trHeight w:val="336" w:hRule="exact"/>
        </w:trPr>
        <w:tc>
          <w:tcPr>
            <w:tcW w:w="974" w:type="dxa"/>
            <w:tcBorders>
              <w:top w:val="single" w:sz="6" w:space="0" w:color="000000"/>
              <w:left w:val="single" w:sz="12" w:space="0" w:color="000000"/>
              <w:bottom w:val="single" w:sz="12" w:space="0" w:color="000000"/>
              <w:right w:val="single" w:sz="6" w:space="0" w:color="000000"/>
            </w:tcBorders>
          </w:tcPr>
          <w:p>
            <w:pPr>
              <w:pStyle w:val="TableParagraph"/>
              <w:spacing w:line="265" w:lineRule="exact"/>
              <w:ind w:left="26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9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9"/>
              <w:ind w:left="100" w:right="0"/>
              <w:jc w:val="lef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15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b/>
                <w:spacing w:val="-1"/>
                <w:sz w:val="21"/>
              </w:rPr>
              <w:t>291,893,770.08</w:t>
            </w:r>
            <w:r>
              <w:rPr>
                <w:rFonts w:ascii="Times New Roman"/>
                <w:spacing w:val="-1"/>
                <w:sz w:val="21"/>
              </w:rPr>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54" w:right="0"/>
              <w:jc w:val="center"/>
              <w:rPr>
                <w:rFonts w:ascii="Times New Roman" w:hAnsi="Times New Roman" w:cs="Times New Roman" w:eastAsia="Times New Roman" w:hint="default"/>
                <w:sz w:val="21"/>
                <w:szCs w:val="21"/>
              </w:rPr>
            </w:pPr>
            <w:r>
              <w:rPr>
                <w:rFonts w:ascii="Times New Roman"/>
                <w:b/>
                <w:sz w:val="21"/>
              </w:rPr>
              <w:t>78,394,991.50</w:t>
            </w:r>
            <w:r>
              <w:rPr>
                <w:rFonts w:ascii="Times New Roman"/>
                <w:sz w:val="21"/>
              </w:rPr>
            </w:r>
          </w:p>
        </w:tc>
        <w:tc>
          <w:tcPr>
            <w:tcW w:w="9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9"/>
              <w:ind w:right="95"/>
              <w:jc w:val="right"/>
              <w:rPr>
                <w:rFonts w:ascii="Times New Roman" w:hAnsi="Times New Roman" w:cs="Times New Roman" w:eastAsia="Times New Roman" w:hint="default"/>
                <w:sz w:val="21"/>
                <w:szCs w:val="21"/>
              </w:rPr>
            </w:pPr>
            <w:r>
              <w:rPr>
                <w:rFonts w:ascii="Times New Roman"/>
                <w:b/>
                <w:sz w:val="21"/>
              </w:rPr>
              <w:t>73.14</w:t>
            </w:r>
            <w:r>
              <w:rPr>
                <w:rFonts w:ascii="Times New Roman"/>
                <w:sz w:val="21"/>
              </w:rPr>
            </w:r>
          </w:p>
        </w:tc>
        <w:tc>
          <w:tcPr>
            <w:tcW w:w="9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b/>
                <w:sz w:val="21"/>
              </w:rPr>
              <w:t>44.12</w:t>
            </w:r>
            <w:r>
              <w:rPr>
                <w:rFonts w:ascii="Times New Roman"/>
                <w:sz w:val="21"/>
              </w:rPr>
            </w:r>
          </w:p>
        </w:tc>
        <w:tc>
          <w:tcPr>
            <w:tcW w:w="9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9"/>
              <w:ind w:right="96"/>
              <w:jc w:val="right"/>
              <w:rPr>
                <w:rFonts w:ascii="Times New Roman" w:hAnsi="Times New Roman" w:cs="Times New Roman" w:eastAsia="Times New Roman" w:hint="default"/>
                <w:sz w:val="21"/>
                <w:szCs w:val="21"/>
              </w:rPr>
            </w:pPr>
            <w:r>
              <w:rPr>
                <w:rFonts w:ascii="Times New Roman"/>
                <w:b/>
                <w:sz w:val="21"/>
              </w:rPr>
              <w:t>22.10</w:t>
            </w:r>
            <w:r>
              <w:rPr>
                <w:rFonts w:ascii="Times New Roman"/>
                <w:sz w:val="21"/>
              </w:rPr>
            </w:r>
          </w:p>
        </w:tc>
        <w:tc>
          <w:tcPr>
            <w:tcW w:w="97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9"/>
              <w:ind w:right="89"/>
              <w:jc w:val="right"/>
              <w:rPr>
                <w:rFonts w:ascii="Times New Roman" w:hAnsi="Times New Roman" w:cs="Times New Roman" w:eastAsia="Times New Roman" w:hint="default"/>
                <w:sz w:val="21"/>
                <w:szCs w:val="21"/>
              </w:rPr>
            </w:pPr>
            <w:r>
              <w:rPr>
                <w:rFonts w:ascii="Times New Roman"/>
                <w:b/>
                <w:sz w:val="21"/>
              </w:rPr>
              <w:t>4.84</w:t>
            </w:r>
            <w:r>
              <w:rPr>
                <w:rFonts w:ascii="Times New Roman"/>
                <w:sz w:val="21"/>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Heading5"/>
        <w:spacing w:line="240" w:lineRule="auto" w:before="26"/>
        <w:ind w:left="240" w:right="121"/>
        <w:jc w:val="left"/>
        <w:rPr>
          <w:b w:val="0"/>
          <w:bCs w:val="0"/>
        </w:rPr>
      </w:pPr>
      <w:r>
        <w:rPr/>
        <w:t>（</w:t>
      </w:r>
      <w:r>
        <w:rPr>
          <w:rFonts w:ascii="Times New Roman" w:hAnsi="Times New Roman" w:cs="Times New Roman" w:eastAsia="Times New Roman" w:hint="default"/>
        </w:rPr>
        <w:t>2</w:t>
      </w:r>
      <w:r>
        <w:rPr/>
        <w:t>）主营业务分地区情况</w:t>
      </w:r>
      <w:r>
        <w:rPr>
          <w:b w:val="0"/>
          <w:bCs w:val="0"/>
        </w:rPr>
      </w:r>
    </w:p>
    <w:p>
      <w:pPr>
        <w:spacing w:after="0" w:line="240" w:lineRule="auto"/>
        <w:jc w:val="left"/>
        <w:sectPr>
          <w:pgSz w:w="11910" w:h="16840"/>
          <w:pgMar w:header="884" w:footer="1007" w:top="1140" w:bottom="1200" w:left="1560" w:right="1160"/>
        </w:sectPr>
      </w:pPr>
    </w:p>
    <w:p>
      <w:pPr>
        <w:spacing w:line="240" w:lineRule="auto" w:before="10"/>
        <w:rPr>
          <w:rFonts w:ascii="宋体" w:hAnsi="宋体" w:cs="宋体" w:eastAsia="宋体" w:hint="default"/>
          <w:b/>
          <w:bCs/>
          <w:sz w:val="17"/>
          <w:szCs w:val="17"/>
        </w:rPr>
      </w:pPr>
    </w:p>
    <w:p>
      <w:pPr>
        <w:spacing w:before="36"/>
        <w:ind w:left="0" w:right="249" w:firstLine="0"/>
        <w:jc w:val="right"/>
        <w:rPr>
          <w:rFonts w:ascii="宋体" w:hAnsi="宋体" w:cs="宋体" w:eastAsia="宋体" w:hint="default"/>
          <w:sz w:val="21"/>
          <w:szCs w:val="21"/>
        </w:rPr>
      </w:pPr>
      <w:r>
        <w:rPr>
          <w:rFonts w:ascii="宋体" w:hAnsi="宋体" w:cs="宋体" w:eastAsia="宋体" w:hint="default"/>
          <w:b/>
          <w:bCs/>
          <w:sz w:val="21"/>
          <w:szCs w:val="21"/>
        </w:rPr>
        <w:t>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1625"/>
        <w:gridCol w:w="2312"/>
        <w:gridCol w:w="2312"/>
        <w:gridCol w:w="2492"/>
      </w:tblGrid>
      <w:tr>
        <w:trPr>
          <w:trHeight w:val="600" w:hRule="exact"/>
        </w:trPr>
        <w:tc>
          <w:tcPr>
            <w:tcW w:w="162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2"/>
              <w:ind w:right="7"/>
              <w:jc w:val="center"/>
              <w:rPr>
                <w:rFonts w:ascii="宋体" w:hAnsi="宋体" w:cs="宋体" w:eastAsia="宋体" w:hint="default"/>
                <w:sz w:val="21"/>
                <w:szCs w:val="21"/>
              </w:rPr>
            </w:pPr>
            <w:r>
              <w:rPr>
                <w:rFonts w:ascii="宋体" w:hAnsi="宋体" w:cs="宋体" w:eastAsia="宋体" w:hint="default"/>
                <w:b/>
                <w:bCs/>
                <w:sz w:val="21"/>
                <w:szCs w:val="21"/>
              </w:rPr>
              <w:t>地区</w:t>
            </w:r>
            <w:r>
              <w:rPr>
                <w:rFonts w:ascii="宋体" w:hAnsi="宋体" w:cs="宋体" w:eastAsia="宋体" w:hint="default"/>
                <w:sz w:val="21"/>
                <w:szCs w:val="21"/>
              </w:rPr>
            </w:r>
          </w:p>
        </w:tc>
        <w:tc>
          <w:tcPr>
            <w:tcW w:w="23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left="391"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年营业收入</w:t>
            </w:r>
            <w:r>
              <w:rPr>
                <w:rFonts w:ascii="宋体" w:hAnsi="宋体" w:cs="宋体" w:eastAsia="宋体" w:hint="default"/>
                <w:sz w:val="21"/>
                <w:szCs w:val="21"/>
              </w:rPr>
            </w:r>
          </w:p>
        </w:tc>
        <w:tc>
          <w:tcPr>
            <w:tcW w:w="23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2"/>
              <w:ind w:left="38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年营业收入</w:t>
            </w:r>
            <w:r>
              <w:rPr>
                <w:rFonts w:ascii="宋体" w:hAnsi="宋体" w:cs="宋体" w:eastAsia="宋体" w:hint="default"/>
                <w:sz w:val="21"/>
                <w:szCs w:val="21"/>
              </w:rPr>
            </w:r>
          </w:p>
        </w:tc>
        <w:tc>
          <w:tcPr>
            <w:tcW w:w="249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2"/>
              <w:ind w:left="710" w:right="0"/>
              <w:jc w:val="left"/>
              <w:rPr>
                <w:rFonts w:ascii="宋体" w:hAnsi="宋体" w:cs="宋体" w:eastAsia="宋体" w:hint="default"/>
                <w:sz w:val="21"/>
                <w:szCs w:val="21"/>
              </w:rPr>
            </w:pPr>
            <w:r>
              <w:rPr>
                <w:rFonts w:ascii="宋体" w:hAnsi="宋体" w:cs="宋体" w:eastAsia="宋体" w:hint="default"/>
                <w:b/>
                <w:bCs/>
                <w:sz w:val="21"/>
                <w:szCs w:val="21"/>
              </w:rPr>
              <w:t>比上年增加</w:t>
            </w:r>
            <w:r>
              <w:rPr>
                <w:rFonts w:ascii="宋体" w:hAnsi="宋体" w:cs="宋体" w:eastAsia="宋体" w:hint="default"/>
                <w:sz w:val="21"/>
                <w:szCs w:val="21"/>
              </w:rPr>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北京</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78,047,992.19</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82,582,827.85</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-5.49%</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东北</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10,894,280.71</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7,207,061.01</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51.16%</w:t>
            </w:r>
          </w:p>
        </w:tc>
      </w:tr>
      <w:tr>
        <w:trPr>
          <w:trHeight w:val="329"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华北</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40,224,986.66</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20,894,065.96</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88"/>
              <w:jc w:val="right"/>
              <w:rPr>
                <w:rFonts w:ascii="Times New Roman" w:hAnsi="Times New Roman" w:cs="Times New Roman" w:eastAsia="Times New Roman" w:hint="default"/>
                <w:sz w:val="21"/>
                <w:szCs w:val="21"/>
              </w:rPr>
            </w:pPr>
            <w:r>
              <w:rPr>
                <w:rFonts w:ascii="Times New Roman"/>
                <w:sz w:val="21"/>
              </w:rPr>
              <w:t>92.52%</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华东</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33,960,155.53</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25,631,562.64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32.49%</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华南</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57,344,257.53</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23,479,520.13</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144.23%</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华中</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10,401,481.16</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7,710,903.94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34.89%</w:t>
            </w:r>
          </w:p>
        </w:tc>
      </w:tr>
      <w:tr>
        <w:trPr>
          <w:trHeight w:val="329"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西北</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38,004,913.92</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23,336,881.14</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88"/>
              <w:jc w:val="right"/>
              <w:rPr>
                <w:rFonts w:ascii="Times New Roman" w:hAnsi="Times New Roman" w:cs="Times New Roman" w:eastAsia="Times New Roman" w:hint="default"/>
                <w:sz w:val="21"/>
                <w:szCs w:val="21"/>
              </w:rPr>
            </w:pPr>
            <w:r>
              <w:rPr>
                <w:rFonts w:ascii="Times New Roman"/>
                <w:sz w:val="21"/>
              </w:rPr>
              <w:t>62.85%</w:t>
            </w:r>
          </w:p>
        </w:tc>
      </w:tr>
      <w:tr>
        <w:trPr>
          <w:trHeight w:val="327"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西南</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2,784,018.20</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2"/>
                <w:sz w:val="21"/>
              </w:rPr>
              <w:t>8,462,031.11</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0"/>
              <w:jc w:val="right"/>
              <w:rPr>
                <w:rFonts w:ascii="Times New Roman" w:hAnsi="Times New Roman" w:cs="Times New Roman" w:eastAsia="Times New Roman" w:hint="default"/>
                <w:sz w:val="21"/>
                <w:szCs w:val="21"/>
              </w:rPr>
            </w:pPr>
            <w:r>
              <w:rPr>
                <w:rFonts w:ascii="Times New Roman"/>
                <w:spacing w:val="-1"/>
                <w:sz w:val="21"/>
              </w:rPr>
              <w:t>-67.10%</w:t>
            </w:r>
          </w:p>
        </w:tc>
      </w:tr>
      <w:tr>
        <w:trPr>
          <w:trHeight w:val="326" w:hRule="exact"/>
        </w:trPr>
        <w:tc>
          <w:tcPr>
            <w:tcW w:w="1625"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国际</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6"/>
              <w:jc w:val="right"/>
              <w:rPr>
                <w:rFonts w:ascii="Times New Roman" w:hAnsi="Times New Roman" w:cs="Times New Roman" w:eastAsia="Times New Roman" w:hint="default"/>
                <w:sz w:val="21"/>
                <w:szCs w:val="21"/>
              </w:rPr>
            </w:pPr>
            <w:r>
              <w:rPr>
                <w:rFonts w:ascii="Times New Roman"/>
                <w:spacing w:val="-1"/>
                <w:sz w:val="21"/>
              </w:rPr>
              <w:t>20,231,684.18</w:t>
            </w:r>
          </w:p>
        </w:tc>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3,233,129.12</w:t>
            </w:r>
          </w:p>
        </w:tc>
        <w:tc>
          <w:tcPr>
            <w:tcW w:w="249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88"/>
              <w:jc w:val="right"/>
              <w:rPr>
                <w:rFonts w:ascii="Times New Roman" w:hAnsi="Times New Roman" w:cs="Times New Roman" w:eastAsia="Times New Roman" w:hint="default"/>
                <w:sz w:val="21"/>
                <w:szCs w:val="21"/>
              </w:rPr>
            </w:pPr>
            <w:r>
              <w:rPr>
                <w:rFonts w:ascii="Times New Roman"/>
                <w:sz w:val="21"/>
              </w:rPr>
              <w:t>525.76%</w:t>
            </w:r>
          </w:p>
        </w:tc>
      </w:tr>
      <w:tr>
        <w:trPr>
          <w:trHeight w:val="334" w:hRule="exact"/>
        </w:trPr>
        <w:tc>
          <w:tcPr>
            <w:tcW w:w="1625" w:type="dxa"/>
            <w:tcBorders>
              <w:top w:val="single" w:sz="6" w:space="0" w:color="000000"/>
              <w:left w:val="single" w:sz="12" w:space="0" w:color="000000"/>
              <w:bottom w:val="single" w:sz="12" w:space="0" w:color="000000"/>
              <w:right w:val="single" w:sz="6" w:space="0" w:color="000000"/>
            </w:tcBorders>
          </w:tcPr>
          <w:p>
            <w:pPr>
              <w:pStyle w:val="TableParagraph"/>
              <w:tabs>
                <w:tab w:pos="422" w:val="left" w:leader="none"/>
              </w:tabs>
              <w:spacing w:line="262" w:lineRule="exact"/>
              <w:ind w:right="7"/>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b/>
                <w:spacing w:val="-1"/>
                <w:sz w:val="21"/>
              </w:rPr>
              <w:t>291,893,770.08</w:t>
            </w:r>
            <w:r>
              <w:rPr>
                <w:rFonts w:ascii="Times New Roman"/>
                <w:spacing w:val="-1"/>
                <w:sz w:val="21"/>
              </w:rPr>
            </w:r>
          </w:p>
        </w:tc>
        <w:tc>
          <w:tcPr>
            <w:tcW w:w="23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b/>
                <w:spacing w:val="-1"/>
                <w:sz w:val="21"/>
              </w:rPr>
              <w:t>202,537,982.90</w:t>
            </w:r>
            <w:r>
              <w:rPr>
                <w:rFonts w:ascii="Times New Roman"/>
                <w:spacing w:val="-1"/>
                <w:sz w:val="21"/>
              </w:rPr>
            </w:r>
          </w:p>
        </w:tc>
        <w:tc>
          <w:tcPr>
            <w:tcW w:w="249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6"/>
              <w:ind w:right="89"/>
              <w:jc w:val="right"/>
              <w:rPr>
                <w:rFonts w:ascii="Times New Roman" w:hAnsi="Times New Roman" w:cs="Times New Roman" w:eastAsia="Times New Roman" w:hint="default"/>
                <w:sz w:val="21"/>
                <w:szCs w:val="21"/>
              </w:rPr>
            </w:pPr>
            <w:r>
              <w:rPr>
                <w:rFonts w:ascii="Times New Roman"/>
                <w:b/>
                <w:spacing w:val="-1"/>
                <w:sz w:val="21"/>
              </w:rPr>
              <w:t>44.12%</w:t>
            </w:r>
            <w:r>
              <w:rPr>
                <w:rFonts w:ascii="Times New Roman"/>
                <w:spacing w:val="-1"/>
                <w:sz w:val="21"/>
              </w:rPr>
            </w:r>
          </w:p>
        </w:tc>
      </w:tr>
    </w:tbl>
    <w:p>
      <w:pPr>
        <w:spacing w:line="265" w:lineRule="exact" w:before="0"/>
        <w:ind w:left="660" w:right="121" w:firstLine="0"/>
        <w:jc w:val="left"/>
        <w:rPr>
          <w:rFonts w:ascii="宋体" w:hAnsi="宋体" w:cs="宋体" w:eastAsia="宋体" w:hint="default"/>
          <w:sz w:val="21"/>
          <w:szCs w:val="21"/>
        </w:rPr>
      </w:pPr>
      <w:r>
        <w:rPr>
          <w:rFonts w:ascii="宋体" w:hAnsi="宋体" w:cs="宋体" w:eastAsia="宋体" w:hint="default"/>
          <w:sz w:val="21"/>
          <w:szCs w:val="21"/>
        </w:rPr>
        <w:t>注：以上主营业务区域以最终用户的区域属性定义收入区域属性；</w:t>
      </w:r>
    </w:p>
    <w:p>
      <w:pPr>
        <w:spacing w:line="240" w:lineRule="auto" w:before="0"/>
        <w:rPr>
          <w:rFonts w:ascii="宋体" w:hAnsi="宋体" w:cs="宋体" w:eastAsia="宋体" w:hint="default"/>
          <w:sz w:val="20"/>
          <w:szCs w:val="20"/>
        </w:rPr>
      </w:pPr>
    </w:p>
    <w:p>
      <w:pPr>
        <w:pStyle w:val="BodyText"/>
        <w:spacing w:line="338" w:lineRule="auto" w:before="139"/>
        <w:ind w:left="240" w:right="254" w:firstLine="479"/>
        <w:jc w:val="both"/>
      </w:pPr>
      <w:r>
        <w:rPr>
          <w:spacing w:val="-2"/>
        </w:rPr>
        <w:t>截止报告期末，公司在国内除北京以外的地区，共设置了</w:t>
      </w:r>
      <w:r>
        <w:rPr>
          <w:rFonts w:ascii="Times New Roman" w:hAnsi="Times New Roman" w:cs="Times New Roman" w:eastAsia="Times New Roman" w:hint="default"/>
          <w:spacing w:val="-2"/>
        </w:rPr>
        <w:t>7</w:t>
      </w:r>
      <w:r>
        <w:rPr>
          <w:spacing w:val="-2"/>
        </w:rPr>
        <w:t>个分公司和</w:t>
      </w:r>
      <w:r>
        <w:rPr>
          <w:rFonts w:ascii="Times New Roman" w:hAnsi="Times New Roman" w:cs="Times New Roman" w:eastAsia="Times New Roman" w:hint="default"/>
          <w:spacing w:val="-2"/>
        </w:rPr>
        <w:t>11</w:t>
      </w:r>
      <w:r>
        <w:rPr>
          <w:spacing w:val="-2"/>
        </w:rPr>
        <w:t>个办事</w:t>
      </w:r>
      <w:r>
        <w:rPr/>
        <w:t> 处等区域性机构，大大提升了区域市场的拓展能力。</w:t>
      </w:r>
    </w:p>
    <w:p>
      <w:pPr>
        <w:pStyle w:val="BodyText"/>
        <w:spacing w:line="357" w:lineRule="auto" w:before="55"/>
        <w:ind w:left="240" w:right="256" w:firstLine="479"/>
        <w:jc w:val="both"/>
      </w:pPr>
      <w:r>
        <w:rPr/>
        <w:t>报告期内，东北、华北、华东、华南、华中地区营业收入有较大增长，主要原 因在于随着相关地区的办事处的设立，销售能力的进一步成熟，带动了相关区域的</w:t>
      </w:r>
      <w:r>
        <w:rPr>
          <w:spacing w:val="-77"/>
        </w:rPr>
        <w:t> </w:t>
      </w:r>
      <w:r>
        <w:rPr>
          <w:spacing w:val="-77"/>
        </w:rPr>
      </w:r>
      <w:r>
        <w:rPr/>
        <w:t>市场开拓。</w:t>
      </w:r>
    </w:p>
    <w:p>
      <w:pPr>
        <w:pStyle w:val="BodyText"/>
        <w:spacing w:line="338" w:lineRule="auto" w:before="36"/>
        <w:ind w:left="240" w:right="121" w:firstLine="599"/>
        <w:jc w:val="left"/>
      </w:pPr>
      <w:r>
        <w:rPr/>
        <w:t>报告期内，国际方面的营业收入增长</w:t>
      </w:r>
      <w:r>
        <w:rPr>
          <w:rFonts w:ascii="Times New Roman" w:hAnsi="Times New Roman" w:cs="Times New Roman" w:eastAsia="Times New Roman" w:hint="default"/>
        </w:rPr>
        <w:t>525.76%</w:t>
      </w:r>
      <w:r>
        <w:rPr/>
        <w:t>，主要原因在于报告期内合并了 日本超图全年营业收入，而上年同期仅合并</w:t>
      </w:r>
      <w:r>
        <w:rPr>
          <w:rFonts w:ascii="Times New Roman" w:hAnsi="Times New Roman" w:cs="Times New Roman" w:eastAsia="Times New Roman" w:hint="default"/>
        </w:rPr>
        <w:t>2</w:t>
      </w:r>
      <w:r>
        <w:rPr/>
        <w:t>个月日本超图营业收入。</w:t>
      </w:r>
    </w:p>
    <w:p>
      <w:pPr>
        <w:pStyle w:val="BodyText"/>
        <w:spacing w:line="357" w:lineRule="auto" w:before="27"/>
        <w:ind w:left="240" w:right="121" w:firstLine="599"/>
        <w:jc w:val="left"/>
      </w:pPr>
      <w:r>
        <w:rPr>
          <w:spacing w:val="-3"/>
        </w:rPr>
        <w:t>报告期内，西南的营业收入与同期相比有所下降，主要原因在于西南营销机构</w:t>
      </w:r>
      <w:r>
        <w:rPr/>
        <w:t> 在报告期内丢失部份项目机会，销售能力有待提升。</w:t>
      </w:r>
    </w:p>
    <w:p>
      <w:pPr>
        <w:spacing w:line="240" w:lineRule="auto" w:before="2"/>
        <w:rPr>
          <w:rFonts w:ascii="宋体" w:hAnsi="宋体" w:cs="宋体" w:eastAsia="宋体" w:hint="default"/>
          <w:sz w:val="25"/>
          <w:szCs w:val="25"/>
        </w:rPr>
      </w:pPr>
    </w:p>
    <w:p>
      <w:pPr>
        <w:pStyle w:val="Heading5"/>
        <w:spacing w:line="240" w:lineRule="auto"/>
        <w:ind w:left="240" w:right="121"/>
        <w:jc w:val="left"/>
        <w:rPr>
          <w:b w:val="0"/>
          <w:bCs w:val="0"/>
        </w:rPr>
      </w:pPr>
      <w:r>
        <w:rPr/>
        <w:t>（</w:t>
      </w:r>
      <w:r>
        <w:rPr>
          <w:rFonts w:ascii="Times New Roman" w:hAnsi="Times New Roman" w:cs="Times New Roman" w:eastAsia="Times New Roman" w:hint="default"/>
        </w:rPr>
        <w:t>3</w:t>
      </w:r>
      <w:r>
        <w:rPr/>
        <w:t>）主要供应商及主要客户情况</w:t>
      </w:r>
      <w:r>
        <w:rPr>
          <w:b w:val="0"/>
          <w:bCs w:val="0"/>
        </w:rPr>
      </w:r>
    </w:p>
    <w:p>
      <w:pPr>
        <w:spacing w:line="240" w:lineRule="auto" w:before="2"/>
        <w:rPr>
          <w:rFonts w:ascii="宋体" w:hAnsi="宋体" w:cs="宋体" w:eastAsia="宋体" w:hint="default"/>
          <w:b/>
          <w:bCs/>
          <w:sz w:val="33"/>
          <w:szCs w:val="33"/>
        </w:rPr>
      </w:pPr>
    </w:p>
    <w:p>
      <w:pPr>
        <w:pStyle w:val="BodyText"/>
        <w:spacing w:line="348" w:lineRule="auto"/>
        <w:ind w:left="240" w:right="252" w:firstLine="479"/>
        <w:jc w:val="both"/>
      </w:pPr>
      <w:r>
        <w:rPr/>
        <w:t>供应商主要为公司在定制软件相关技术开发服务业务中会涉及到第三方软硬件 </w:t>
      </w:r>
      <w:r>
        <w:rPr>
          <w:spacing w:val="-2"/>
        </w:rPr>
        <w:t>采购及将部分非核心技术服务内容外包给第三方机构完成，其中公司前</w:t>
      </w:r>
      <w:r>
        <w:rPr>
          <w:rFonts w:ascii="Times New Roman" w:hAnsi="Times New Roman" w:cs="Times New Roman" w:eastAsia="Times New Roman" w:hint="default"/>
          <w:spacing w:val="-2"/>
        </w:rPr>
        <w:t>5</w:t>
      </w:r>
      <w:r>
        <w:rPr>
          <w:spacing w:val="-2"/>
        </w:rPr>
        <w:t>大供应商的</w:t>
      </w:r>
      <w:r>
        <w:rPr>
          <w:spacing w:val="-116"/>
        </w:rPr>
        <w:t> </w:t>
      </w:r>
      <w:r>
        <w:rPr/>
        <w:t>采购支付和应付账款的情况为：</w:t>
      </w:r>
    </w:p>
    <w:tbl>
      <w:tblPr>
        <w:tblW w:w="0" w:type="auto"/>
        <w:jc w:val="left"/>
        <w:tblInd w:w="118" w:type="dxa"/>
        <w:tblLayout w:type="fixed"/>
        <w:tblCellMar>
          <w:top w:w="0" w:type="dxa"/>
          <w:left w:w="0" w:type="dxa"/>
          <w:bottom w:w="0" w:type="dxa"/>
          <w:right w:w="0" w:type="dxa"/>
        </w:tblCellMar>
        <w:tblLook w:val="01E0"/>
      </w:tblPr>
      <w:tblGrid>
        <w:gridCol w:w="3651"/>
        <w:gridCol w:w="1846"/>
        <w:gridCol w:w="1844"/>
        <w:gridCol w:w="1567"/>
      </w:tblGrid>
      <w:tr>
        <w:trPr>
          <w:trHeight w:val="492" w:hRule="exact"/>
        </w:trPr>
        <w:tc>
          <w:tcPr>
            <w:tcW w:w="36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6"/>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49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年度</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49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年度</w:t>
            </w:r>
            <w:r>
              <w:rPr>
                <w:rFonts w:ascii="宋体" w:hAnsi="宋体" w:cs="宋体" w:eastAsia="宋体" w:hint="default"/>
                <w:sz w:val="21"/>
                <w:szCs w:val="21"/>
              </w:rPr>
            </w:r>
          </w:p>
        </w:tc>
        <w:tc>
          <w:tcPr>
            <w:tcW w:w="15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6"/>
              <w:ind w:right="132"/>
              <w:jc w:val="right"/>
              <w:rPr>
                <w:rFonts w:ascii="宋体" w:hAnsi="宋体" w:cs="宋体" w:eastAsia="宋体" w:hint="default"/>
                <w:sz w:val="21"/>
                <w:szCs w:val="21"/>
              </w:rPr>
            </w:pPr>
            <w:r>
              <w:rPr>
                <w:rFonts w:ascii="宋体" w:hAnsi="宋体" w:cs="宋体" w:eastAsia="宋体" w:hint="default"/>
                <w:b/>
                <w:bCs/>
                <w:sz w:val="21"/>
                <w:szCs w:val="21"/>
              </w:rPr>
              <w:t>同比变动幅度</w:t>
            </w:r>
            <w:r>
              <w:rPr>
                <w:rFonts w:ascii="宋体" w:hAnsi="宋体" w:cs="宋体" w:eastAsia="宋体" w:hint="default"/>
                <w:sz w:val="21"/>
                <w:szCs w:val="21"/>
              </w:rPr>
            </w:r>
          </w:p>
        </w:tc>
      </w:tr>
      <w:tr>
        <w:trPr>
          <w:trHeight w:val="482"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前五名供应商合计采购金额（万元）</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600.65</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1209.16</w:t>
            </w:r>
          </w:p>
        </w:tc>
        <w:tc>
          <w:tcPr>
            <w:tcW w:w="1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right="90"/>
              <w:jc w:val="right"/>
              <w:rPr>
                <w:rFonts w:ascii="Times New Roman" w:hAnsi="Times New Roman" w:cs="Times New Roman" w:eastAsia="Times New Roman" w:hint="default"/>
                <w:sz w:val="21"/>
                <w:szCs w:val="21"/>
              </w:rPr>
            </w:pPr>
            <w:r>
              <w:rPr>
                <w:rFonts w:ascii="Times New Roman"/>
                <w:spacing w:val="-1"/>
                <w:sz w:val="21"/>
              </w:rPr>
              <w:t>-50.37%</w:t>
            </w:r>
          </w:p>
        </w:tc>
      </w:tr>
      <w:tr>
        <w:trPr>
          <w:trHeight w:val="482"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占年度采购总金额的比例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9.22%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z w:val="21"/>
              </w:rPr>
              <w:t>25.89%</w:t>
            </w:r>
          </w:p>
        </w:tc>
        <w:tc>
          <w:tcPr>
            <w:tcW w:w="1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right="90"/>
              <w:jc w:val="right"/>
              <w:rPr>
                <w:rFonts w:ascii="Times New Roman" w:hAnsi="Times New Roman" w:cs="Times New Roman" w:eastAsia="Times New Roman" w:hint="default"/>
                <w:sz w:val="21"/>
                <w:szCs w:val="21"/>
              </w:rPr>
            </w:pPr>
            <w:r>
              <w:rPr>
                <w:rFonts w:ascii="Times New Roman"/>
                <w:spacing w:val="-1"/>
                <w:sz w:val="21"/>
              </w:rPr>
              <w:t>-16.67%</w:t>
            </w:r>
          </w:p>
        </w:tc>
      </w:tr>
      <w:tr>
        <w:trPr>
          <w:trHeight w:val="492" w:hRule="exact"/>
        </w:trPr>
        <w:tc>
          <w:tcPr>
            <w:tcW w:w="3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应付账款余额（万元）</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824.25</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555.05</w:t>
            </w:r>
          </w:p>
        </w:tc>
        <w:tc>
          <w:tcPr>
            <w:tcW w:w="15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1"/>
              <w:ind w:right="88"/>
              <w:jc w:val="right"/>
              <w:rPr>
                <w:rFonts w:ascii="Times New Roman" w:hAnsi="Times New Roman" w:cs="Times New Roman" w:eastAsia="Times New Roman" w:hint="default"/>
                <w:sz w:val="21"/>
                <w:szCs w:val="21"/>
              </w:rPr>
            </w:pPr>
            <w:r>
              <w:rPr>
                <w:rFonts w:ascii="Times New Roman"/>
                <w:sz w:val="21"/>
              </w:rPr>
              <w:t>48.50%</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007" w:top="1140" w:bottom="1200" w:left="1560" w:right="1160"/>
        </w:sectPr>
      </w:pPr>
    </w:p>
    <w:p>
      <w:pPr>
        <w:spacing w:line="240" w:lineRule="auto" w:before="6"/>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3651"/>
        <w:gridCol w:w="1846"/>
        <w:gridCol w:w="1844"/>
        <w:gridCol w:w="1567"/>
      </w:tblGrid>
      <w:tr>
        <w:trPr>
          <w:trHeight w:val="500" w:hRule="exact"/>
        </w:trPr>
        <w:tc>
          <w:tcPr>
            <w:tcW w:w="3651"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7"/>
              <w:ind w:left="93" w:right="0"/>
              <w:jc w:val="left"/>
              <w:rPr>
                <w:rFonts w:ascii="宋体" w:hAnsi="宋体" w:cs="宋体" w:eastAsia="宋体" w:hint="default"/>
                <w:sz w:val="21"/>
                <w:szCs w:val="21"/>
              </w:rPr>
            </w:pPr>
            <w:r>
              <w:rPr>
                <w:rFonts w:ascii="宋体" w:hAnsi="宋体" w:cs="宋体" w:eastAsia="宋体" w:hint="default"/>
                <w:sz w:val="21"/>
                <w:szCs w:val="21"/>
              </w:rPr>
              <w:t>占公司年度应付帐款总余额的比例</w:t>
            </w:r>
          </w:p>
        </w:tc>
        <w:tc>
          <w:tcPr>
            <w:tcW w:w="18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4"/>
              <w:ind w:left="1080" w:right="0"/>
              <w:jc w:val="left"/>
              <w:rPr>
                <w:rFonts w:ascii="Times New Roman" w:hAnsi="Times New Roman" w:cs="Times New Roman" w:eastAsia="Times New Roman" w:hint="default"/>
                <w:sz w:val="21"/>
                <w:szCs w:val="21"/>
              </w:rPr>
            </w:pPr>
            <w:r>
              <w:rPr>
                <w:rFonts w:ascii="Times New Roman"/>
                <w:sz w:val="21"/>
              </w:rPr>
              <w:t>17.11%</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4"/>
              <w:ind w:left="1079" w:right="0"/>
              <w:jc w:val="left"/>
              <w:rPr>
                <w:rFonts w:ascii="Times New Roman" w:hAnsi="Times New Roman" w:cs="Times New Roman" w:eastAsia="Times New Roman" w:hint="default"/>
                <w:sz w:val="21"/>
                <w:szCs w:val="21"/>
              </w:rPr>
            </w:pPr>
            <w:r>
              <w:rPr>
                <w:rFonts w:ascii="Times New Roman"/>
                <w:sz w:val="21"/>
              </w:rPr>
              <w:t>22.69%</w:t>
            </w:r>
          </w:p>
        </w:tc>
        <w:tc>
          <w:tcPr>
            <w:tcW w:w="156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14"/>
              <w:ind w:left="839" w:right="0"/>
              <w:jc w:val="left"/>
              <w:rPr>
                <w:rFonts w:ascii="Times New Roman" w:hAnsi="Times New Roman" w:cs="Times New Roman" w:eastAsia="Times New Roman" w:hint="default"/>
                <w:sz w:val="21"/>
                <w:szCs w:val="21"/>
              </w:rPr>
            </w:pPr>
            <w:r>
              <w:rPr>
                <w:rFonts w:ascii="Times New Roman"/>
                <w:sz w:val="21"/>
              </w:rPr>
              <w:t>-5.58%</w:t>
            </w:r>
          </w:p>
        </w:tc>
      </w:tr>
    </w:tbl>
    <w:p>
      <w:pPr>
        <w:spacing w:before="64"/>
        <w:ind w:left="660" w:right="121" w:firstLine="0"/>
        <w:jc w:val="left"/>
        <w:rPr>
          <w:rFonts w:ascii="宋体" w:hAnsi="宋体" w:cs="宋体" w:eastAsia="宋体" w:hint="default"/>
          <w:sz w:val="21"/>
          <w:szCs w:val="21"/>
        </w:rPr>
      </w:pPr>
      <w:r>
        <w:rPr>
          <w:rFonts w:ascii="宋体" w:hAnsi="宋体" w:cs="宋体" w:eastAsia="宋体" w:hint="default"/>
          <w:sz w:val="21"/>
          <w:szCs w:val="21"/>
        </w:rPr>
        <w:t>注：年度采购总金额为母公司的主营业务成本。</w:t>
      </w:r>
    </w:p>
    <w:p>
      <w:pPr>
        <w:pStyle w:val="BodyText"/>
        <w:spacing w:line="338" w:lineRule="auto" w:before="167"/>
        <w:ind w:left="240" w:right="241" w:firstLine="479"/>
        <w:jc w:val="left"/>
      </w:pPr>
      <w:r>
        <w:rPr>
          <w:spacing w:val="-2"/>
        </w:rPr>
        <w:t>公司客户比较分散，其中</w:t>
      </w:r>
      <w:r>
        <w:rPr>
          <w:rFonts w:ascii="Times New Roman" w:hAnsi="Times New Roman" w:cs="Times New Roman" w:eastAsia="Times New Roman" w:hint="default"/>
          <w:spacing w:val="-2"/>
        </w:rPr>
        <w:t>2011</w:t>
      </w:r>
      <w:r>
        <w:rPr>
          <w:spacing w:val="-2"/>
        </w:rPr>
        <w:t>年度公司前</w:t>
      </w:r>
      <w:r>
        <w:rPr>
          <w:rFonts w:ascii="Times New Roman" w:hAnsi="Times New Roman" w:cs="Times New Roman" w:eastAsia="Times New Roman" w:hint="default"/>
          <w:spacing w:val="-2"/>
        </w:rPr>
        <w:t>5</w:t>
      </w:r>
      <w:r>
        <w:rPr>
          <w:spacing w:val="-2"/>
        </w:rPr>
        <w:t>大客户收入占比情况及应收账款情况</w:t>
      </w:r>
      <w:r>
        <w:rPr/>
        <w:t> 如下：</w:t>
      </w:r>
    </w:p>
    <w:tbl>
      <w:tblPr>
        <w:tblW w:w="0" w:type="auto"/>
        <w:jc w:val="left"/>
        <w:tblInd w:w="118" w:type="dxa"/>
        <w:tblLayout w:type="fixed"/>
        <w:tblCellMar>
          <w:top w:w="0" w:type="dxa"/>
          <w:left w:w="0" w:type="dxa"/>
          <w:bottom w:w="0" w:type="dxa"/>
          <w:right w:w="0" w:type="dxa"/>
        </w:tblCellMar>
        <w:tblLook w:val="01E0"/>
      </w:tblPr>
      <w:tblGrid>
        <w:gridCol w:w="3651"/>
        <w:gridCol w:w="1846"/>
        <w:gridCol w:w="1844"/>
        <w:gridCol w:w="1567"/>
      </w:tblGrid>
      <w:tr>
        <w:trPr>
          <w:trHeight w:val="490" w:hRule="exact"/>
        </w:trPr>
        <w:tc>
          <w:tcPr>
            <w:tcW w:w="36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4"/>
              <w:ind w:right="8"/>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49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年度</w:t>
            </w:r>
            <w:r>
              <w:rPr>
                <w:rFonts w:ascii="宋体" w:hAnsi="宋体" w:cs="宋体" w:eastAsia="宋体" w:hint="default"/>
                <w:sz w:val="21"/>
                <w:szCs w:val="21"/>
              </w:rPr>
            </w:r>
          </w:p>
        </w:tc>
        <w:tc>
          <w:tcPr>
            <w:tcW w:w="18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49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年度</w:t>
            </w:r>
            <w:r>
              <w:rPr>
                <w:rFonts w:ascii="宋体" w:hAnsi="宋体" w:cs="宋体" w:eastAsia="宋体" w:hint="default"/>
                <w:sz w:val="21"/>
                <w:szCs w:val="21"/>
              </w:rPr>
            </w:r>
          </w:p>
        </w:tc>
        <w:tc>
          <w:tcPr>
            <w:tcW w:w="156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4"/>
              <w:ind w:right="132"/>
              <w:jc w:val="right"/>
              <w:rPr>
                <w:rFonts w:ascii="宋体" w:hAnsi="宋体" w:cs="宋体" w:eastAsia="宋体" w:hint="default"/>
                <w:sz w:val="21"/>
                <w:szCs w:val="21"/>
              </w:rPr>
            </w:pPr>
            <w:r>
              <w:rPr>
                <w:rFonts w:ascii="宋体" w:hAnsi="宋体" w:cs="宋体" w:eastAsia="宋体" w:hint="default"/>
                <w:b/>
                <w:bCs/>
                <w:sz w:val="21"/>
                <w:szCs w:val="21"/>
              </w:rPr>
              <w:t>同比变动幅度</w:t>
            </w:r>
            <w:r>
              <w:rPr>
                <w:rFonts w:ascii="宋体" w:hAnsi="宋体" w:cs="宋体" w:eastAsia="宋体" w:hint="default"/>
                <w:sz w:val="21"/>
                <w:szCs w:val="21"/>
              </w:rPr>
            </w:r>
          </w:p>
        </w:tc>
      </w:tr>
      <w:tr>
        <w:trPr>
          <w:trHeight w:val="485"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left="9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前五名客户合计销售金额（万元）</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8"/>
              <w:jc w:val="right"/>
              <w:rPr>
                <w:rFonts w:ascii="Times New Roman" w:hAnsi="Times New Roman" w:cs="Times New Roman" w:eastAsia="Times New Roman" w:hint="default"/>
                <w:sz w:val="21"/>
                <w:szCs w:val="21"/>
              </w:rPr>
            </w:pPr>
            <w:r>
              <w:rPr>
                <w:rFonts w:ascii="Times New Roman"/>
                <w:spacing w:val="-1"/>
                <w:sz w:val="21"/>
              </w:rPr>
              <w:t>6,497.57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right="96"/>
              <w:jc w:val="right"/>
              <w:rPr>
                <w:rFonts w:ascii="Times New Roman" w:hAnsi="Times New Roman" w:cs="Times New Roman" w:eastAsia="Times New Roman" w:hint="default"/>
                <w:sz w:val="21"/>
                <w:szCs w:val="21"/>
              </w:rPr>
            </w:pPr>
            <w:r>
              <w:rPr>
                <w:rFonts w:ascii="Times New Roman"/>
                <w:spacing w:val="-1"/>
                <w:sz w:val="21"/>
              </w:rPr>
              <w:t>4,450.05</w:t>
            </w:r>
          </w:p>
        </w:tc>
        <w:tc>
          <w:tcPr>
            <w:tcW w:w="1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3"/>
              <w:ind w:right="88"/>
              <w:jc w:val="right"/>
              <w:rPr>
                <w:rFonts w:ascii="Times New Roman" w:hAnsi="Times New Roman" w:cs="Times New Roman" w:eastAsia="Times New Roman" w:hint="default"/>
                <w:sz w:val="21"/>
                <w:szCs w:val="21"/>
              </w:rPr>
            </w:pPr>
            <w:r>
              <w:rPr>
                <w:rFonts w:ascii="Times New Roman"/>
                <w:sz w:val="21"/>
              </w:rPr>
              <w:t>46.01%</w:t>
            </w:r>
          </w:p>
        </w:tc>
      </w:tr>
      <w:tr>
        <w:trPr>
          <w:trHeight w:val="482"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占年度销售总额的比例</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22.17%</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z w:val="21"/>
              </w:rPr>
              <w:t>21.97%</w:t>
            </w:r>
          </w:p>
        </w:tc>
        <w:tc>
          <w:tcPr>
            <w:tcW w:w="1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right="88"/>
              <w:jc w:val="right"/>
              <w:rPr>
                <w:rFonts w:ascii="Times New Roman" w:hAnsi="Times New Roman" w:cs="Times New Roman" w:eastAsia="Times New Roman" w:hint="default"/>
                <w:sz w:val="21"/>
                <w:szCs w:val="21"/>
              </w:rPr>
            </w:pPr>
            <w:r>
              <w:rPr>
                <w:rFonts w:ascii="Times New Roman"/>
                <w:sz w:val="21"/>
              </w:rPr>
              <w:t>0.2%</w:t>
            </w:r>
          </w:p>
        </w:tc>
      </w:tr>
      <w:tr>
        <w:trPr>
          <w:trHeight w:val="483" w:hRule="exact"/>
        </w:trPr>
        <w:tc>
          <w:tcPr>
            <w:tcW w:w="36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5"/>
              <w:ind w:left="93" w:right="0"/>
              <w:jc w:val="left"/>
              <w:rPr>
                <w:rFonts w:ascii="宋体" w:hAnsi="宋体" w:cs="宋体" w:eastAsia="宋体" w:hint="default"/>
                <w:sz w:val="21"/>
                <w:szCs w:val="21"/>
              </w:rPr>
            </w:pPr>
            <w:r>
              <w:rPr>
                <w:rFonts w:ascii="宋体" w:hAnsi="宋体" w:cs="宋体" w:eastAsia="宋体" w:hint="default"/>
                <w:sz w:val="21"/>
                <w:szCs w:val="21"/>
              </w:rPr>
              <w:t>应收账款余额（万元）</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pacing w:val="-1"/>
                <w:sz w:val="21"/>
              </w:rPr>
              <w:t>2,920.62</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pacing w:val="-1"/>
                <w:sz w:val="21"/>
              </w:rPr>
              <w:t>2,027.73</w:t>
            </w:r>
          </w:p>
        </w:tc>
        <w:tc>
          <w:tcPr>
            <w:tcW w:w="1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1"/>
              <w:ind w:right="88"/>
              <w:jc w:val="right"/>
              <w:rPr>
                <w:rFonts w:ascii="Times New Roman" w:hAnsi="Times New Roman" w:cs="Times New Roman" w:eastAsia="Times New Roman" w:hint="default"/>
                <w:sz w:val="21"/>
                <w:szCs w:val="21"/>
              </w:rPr>
            </w:pPr>
            <w:r>
              <w:rPr>
                <w:rFonts w:ascii="Times New Roman"/>
                <w:sz w:val="21"/>
              </w:rPr>
              <w:t>44.03%</w:t>
            </w:r>
          </w:p>
        </w:tc>
      </w:tr>
      <w:tr>
        <w:trPr>
          <w:trHeight w:val="492" w:hRule="exact"/>
        </w:trPr>
        <w:tc>
          <w:tcPr>
            <w:tcW w:w="365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sz w:val="21"/>
                <w:szCs w:val="21"/>
              </w:rPr>
              <w:t>占公司年度应收帐款总余额的比例</w:t>
            </w:r>
          </w:p>
        </w:tc>
        <w:tc>
          <w:tcPr>
            <w:tcW w:w="18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22.27%</w:t>
            </w:r>
          </w:p>
        </w:tc>
        <w:tc>
          <w:tcPr>
            <w:tcW w:w="1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right="96"/>
              <w:jc w:val="right"/>
              <w:rPr>
                <w:rFonts w:ascii="Times New Roman" w:hAnsi="Times New Roman" w:cs="Times New Roman" w:eastAsia="Times New Roman" w:hint="default"/>
                <w:sz w:val="21"/>
                <w:szCs w:val="21"/>
              </w:rPr>
            </w:pPr>
            <w:r>
              <w:rPr>
                <w:rFonts w:ascii="Times New Roman"/>
                <w:sz w:val="21"/>
              </w:rPr>
              <w:t>18.0%</w:t>
            </w:r>
          </w:p>
        </w:tc>
        <w:tc>
          <w:tcPr>
            <w:tcW w:w="156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1"/>
              <w:ind w:right="88"/>
              <w:jc w:val="right"/>
              <w:rPr>
                <w:rFonts w:ascii="Times New Roman" w:hAnsi="Times New Roman" w:cs="Times New Roman" w:eastAsia="Times New Roman" w:hint="default"/>
                <w:sz w:val="21"/>
                <w:szCs w:val="21"/>
              </w:rPr>
            </w:pPr>
            <w:r>
              <w:rPr>
                <w:rFonts w:ascii="Times New Roman"/>
                <w:sz w:val="21"/>
              </w:rPr>
              <w:t>4.27%</w:t>
            </w:r>
          </w:p>
        </w:tc>
      </w:tr>
    </w:tbl>
    <w:p>
      <w:pPr>
        <w:pStyle w:val="BodyText"/>
        <w:spacing w:line="350" w:lineRule="auto" w:before="55"/>
        <w:ind w:left="240" w:right="224" w:firstLine="479"/>
        <w:jc w:val="both"/>
      </w:pPr>
      <w:r>
        <w:rPr/>
        <w:t>公司前五名客户和供应商与公司不存在关联关系，公司董事、监事、高级管理 人员、核心技术人员、持股</w:t>
      </w:r>
      <w:r>
        <w:rPr>
          <w:rFonts w:ascii="Times New Roman" w:hAnsi="Times New Roman" w:cs="Times New Roman" w:eastAsia="Times New Roman" w:hint="default"/>
        </w:rPr>
        <w:t>5%</w:t>
      </w:r>
      <w:r>
        <w:rPr/>
        <w:t>以上的股东、实际控制人和其他关联方在主要客户、 供应商中无直接或间接权益。公司不存在向单一供应商或客户采购、销售比例超过</w:t>
      </w:r>
      <w:r>
        <w:rPr>
          <w:spacing w:val="-77"/>
        </w:rPr>
        <w:t> </w:t>
      </w:r>
      <w:r>
        <w:rPr>
          <w:spacing w:val="-77"/>
        </w:rPr>
      </w:r>
      <w:r>
        <w:rPr/>
        <w:t>总额的</w:t>
      </w:r>
      <w:r>
        <w:rPr>
          <w:rFonts w:ascii="Times New Roman" w:hAnsi="Times New Roman" w:cs="Times New Roman" w:eastAsia="Times New Roman" w:hint="default"/>
        </w:rPr>
        <w:t>30%</w:t>
      </w:r>
      <w:r>
        <w:rPr/>
        <w:t>，或严重依赖于少数供应商或客户的情况。</w:t>
      </w:r>
    </w:p>
    <w:p>
      <w:pPr>
        <w:spacing w:line="240" w:lineRule="auto" w:before="6"/>
        <w:rPr>
          <w:rFonts w:ascii="宋体" w:hAnsi="宋体" w:cs="宋体" w:eastAsia="宋体" w:hint="default"/>
          <w:sz w:val="23"/>
          <w:szCs w:val="23"/>
        </w:rPr>
      </w:pPr>
    </w:p>
    <w:p>
      <w:pPr>
        <w:pStyle w:val="Heading5"/>
        <w:spacing w:line="240" w:lineRule="auto"/>
        <w:ind w:left="240" w:right="121"/>
        <w:jc w:val="left"/>
        <w:rPr>
          <w:b w:val="0"/>
          <w:bCs w:val="0"/>
        </w:rPr>
      </w:pPr>
      <w:r>
        <w:rPr/>
        <w:t>（</w:t>
      </w:r>
      <w:r>
        <w:rPr>
          <w:rFonts w:ascii="Times New Roman" w:hAnsi="Times New Roman" w:cs="Times New Roman" w:eastAsia="Times New Roman" w:hint="default"/>
        </w:rPr>
        <w:t>4</w:t>
      </w:r>
      <w:r>
        <w:rPr/>
        <w:t>）销售毛利率变动情况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8" w:type="dxa"/>
        <w:tblLayout w:type="fixed"/>
        <w:tblCellMar>
          <w:top w:w="0" w:type="dxa"/>
          <w:left w:w="0" w:type="dxa"/>
          <w:bottom w:w="0" w:type="dxa"/>
          <w:right w:w="0" w:type="dxa"/>
        </w:tblCellMar>
        <w:tblLook w:val="01E0"/>
      </w:tblPr>
      <w:tblGrid>
        <w:gridCol w:w="3416"/>
        <w:gridCol w:w="1971"/>
        <w:gridCol w:w="1971"/>
        <w:gridCol w:w="1358"/>
      </w:tblGrid>
      <w:tr>
        <w:trPr>
          <w:trHeight w:val="338" w:hRule="exact"/>
        </w:trPr>
        <w:tc>
          <w:tcPr>
            <w:tcW w:w="3416" w:type="dxa"/>
            <w:tcBorders>
              <w:top w:val="single" w:sz="12" w:space="0" w:color="000000"/>
              <w:left w:val="single" w:sz="12" w:space="0" w:color="000000"/>
              <w:bottom w:val="single" w:sz="6" w:space="0" w:color="000000"/>
              <w:right w:val="single" w:sz="6" w:space="0" w:color="000000"/>
            </w:tcBorders>
          </w:tcPr>
          <w:p>
            <w:pPr/>
          </w:p>
        </w:tc>
        <w:tc>
          <w:tcPr>
            <w:tcW w:w="1971"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535"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971"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年度</w:t>
            </w:r>
            <w:r>
              <w:rPr>
                <w:rFonts w:ascii="宋体" w:hAnsi="宋体" w:cs="宋体" w:eastAsia="宋体" w:hint="default"/>
                <w:sz w:val="21"/>
                <w:szCs w:val="21"/>
              </w:rPr>
            </w:r>
          </w:p>
        </w:tc>
        <w:tc>
          <w:tcPr>
            <w:tcW w:w="1358"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left="249" w:right="0"/>
              <w:jc w:val="lef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r>
      <w:tr>
        <w:trPr>
          <w:trHeight w:val="329" w:hRule="exact"/>
        </w:trPr>
        <w:tc>
          <w:tcPr>
            <w:tcW w:w="3416" w:type="dxa"/>
            <w:tcBorders>
              <w:top w:val="single" w:sz="6" w:space="0" w:color="000000"/>
              <w:left w:val="single" w:sz="12" w:space="0" w:color="000000"/>
              <w:bottom w:val="single" w:sz="6" w:space="0" w:color="000000"/>
              <w:right w:val="single" w:sz="6" w:space="0" w:color="000000"/>
            </w:tcBorders>
          </w:tcPr>
          <w:p>
            <w:pPr>
              <w:pStyle w:val="TableParagraph"/>
              <w:spacing w:line="278" w:lineRule="exact"/>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软件销售毛利率</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9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75.87</w:t>
            </w:r>
            <w:r>
              <w:rPr>
                <w:rFonts w:ascii="宋体" w:hAnsi="宋体" w:cs="宋体" w:eastAsia="宋体" w:hint="default"/>
                <w:spacing w:val="-1"/>
                <w:sz w:val="21"/>
                <w:szCs w:val="21"/>
              </w:rPr>
              <w:t>％</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73.26%</w:t>
            </w:r>
          </w:p>
        </w:tc>
        <w:tc>
          <w:tcPr>
            <w:tcW w:w="1358"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right="89"/>
              <w:jc w:val="right"/>
              <w:rPr>
                <w:rFonts w:ascii="宋体" w:hAnsi="宋体" w:cs="宋体" w:eastAsia="宋体" w:hint="default"/>
                <w:sz w:val="21"/>
                <w:szCs w:val="21"/>
              </w:rPr>
            </w:pPr>
            <w:r>
              <w:rPr>
                <w:rFonts w:ascii="Times New Roman" w:hAnsi="Times New Roman" w:cs="Times New Roman" w:eastAsia="Times New Roman" w:hint="default"/>
                <w:sz w:val="21"/>
                <w:szCs w:val="21"/>
              </w:rPr>
              <w:t>2.61</w:t>
            </w:r>
            <w:r>
              <w:rPr>
                <w:rFonts w:ascii="宋体" w:hAnsi="宋体" w:cs="宋体" w:eastAsia="宋体" w:hint="default"/>
                <w:sz w:val="21"/>
                <w:szCs w:val="21"/>
              </w:rPr>
              <w:t>％</w:t>
            </w:r>
          </w:p>
        </w:tc>
      </w:tr>
      <w:tr>
        <w:trPr>
          <w:trHeight w:val="331" w:hRule="exact"/>
        </w:trPr>
        <w:tc>
          <w:tcPr>
            <w:tcW w:w="3416" w:type="dxa"/>
            <w:tcBorders>
              <w:top w:val="single" w:sz="6" w:space="0" w:color="000000"/>
              <w:left w:val="single" w:sz="12" w:space="0" w:color="000000"/>
              <w:bottom w:val="single" w:sz="6" w:space="0" w:color="000000"/>
              <w:right w:val="single" w:sz="6" w:space="0" w:color="000000"/>
            </w:tcBorders>
          </w:tcPr>
          <w:p>
            <w:pPr>
              <w:pStyle w:val="TableParagraph"/>
              <w:spacing w:line="281" w:lineRule="exact"/>
              <w:ind w:right="5"/>
              <w:jc w:val="center"/>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配套用品销售毛利率</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9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21.62</w:t>
            </w:r>
            <w:r>
              <w:rPr>
                <w:rFonts w:ascii="宋体" w:hAnsi="宋体" w:cs="宋体" w:eastAsia="宋体" w:hint="default"/>
                <w:spacing w:val="-1"/>
                <w:sz w:val="21"/>
                <w:szCs w:val="21"/>
              </w:rPr>
              <w:t>％</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2"/>
                <w:sz w:val="21"/>
              </w:rPr>
              <w:t>11.60%</w:t>
            </w:r>
          </w:p>
        </w:tc>
        <w:tc>
          <w:tcPr>
            <w:tcW w:w="1358"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right="89"/>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10.02</w:t>
            </w:r>
            <w:r>
              <w:rPr>
                <w:rFonts w:ascii="宋体" w:hAnsi="宋体" w:cs="宋体" w:eastAsia="宋体" w:hint="default"/>
                <w:spacing w:val="-1"/>
                <w:sz w:val="21"/>
                <w:szCs w:val="21"/>
              </w:rPr>
              <w:t>％</w:t>
            </w:r>
          </w:p>
        </w:tc>
      </w:tr>
      <w:tr>
        <w:trPr>
          <w:trHeight w:val="338" w:hRule="exact"/>
        </w:trPr>
        <w:tc>
          <w:tcPr>
            <w:tcW w:w="3416"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综合毛利率</w:t>
            </w:r>
          </w:p>
        </w:tc>
        <w:tc>
          <w:tcPr>
            <w:tcW w:w="1971" w:type="dxa"/>
            <w:tcBorders>
              <w:top w:val="single" w:sz="6" w:space="0" w:color="000000"/>
              <w:left w:val="single" w:sz="6" w:space="0" w:color="000000"/>
              <w:bottom w:val="single" w:sz="12" w:space="0" w:color="000000"/>
              <w:right w:val="single" w:sz="6" w:space="0" w:color="000000"/>
            </w:tcBorders>
          </w:tcPr>
          <w:p>
            <w:pPr>
              <w:pStyle w:val="TableParagraph"/>
              <w:spacing w:line="281" w:lineRule="exact"/>
              <w:ind w:right="96"/>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73.14</w:t>
            </w:r>
            <w:r>
              <w:rPr>
                <w:rFonts w:ascii="宋体" w:hAnsi="宋体" w:cs="宋体" w:eastAsia="宋体" w:hint="default"/>
                <w:spacing w:val="-1"/>
                <w:sz w:val="21"/>
                <w:szCs w:val="21"/>
              </w:rPr>
              <w:t>％</w:t>
            </w:r>
          </w:p>
        </w:tc>
        <w:tc>
          <w:tcPr>
            <w:tcW w:w="19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68.30%</w:t>
            </w:r>
          </w:p>
        </w:tc>
        <w:tc>
          <w:tcPr>
            <w:tcW w:w="1358" w:type="dxa"/>
            <w:tcBorders>
              <w:top w:val="single" w:sz="6" w:space="0" w:color="000000"/>
              <w:left w:val="single" w:sz="6" w:space="0" w:color="000000"/>
              <w:bottom w:val="single" w:sz="12" w:space="0" w:color="000000"/>
              <w:right w:val="single" w:sz="12" w:space="0" w:color="000000"/>
            </w:tcBorders>
          </w:tcPr>
          <w:p>
            <w:pPr>
              <w:pStyle w:val="TableParagraph"/>
              <w:spacing w:line="281" w:lineRule="exact"/>
              <w:ind w:right="89"/>
              <w:jc w:val="right"/>
              <w:rPr>
                <w:rFonts w:ascii="宋体" w:hAnsi="宋体" w:cs="宋体" w:eastAsia="宋体" w:hint="default"/>
                <w:sz w:val="21"/>
                <w:szCs w:val="21"/>
              </w:rPr>
            </w:pPr>
            <w:r>
              <w:rPr>
                <w:rFonts w:ascii="Times New Roman" w:hAnsi="Times New Roman" w:cs="Times New Roman" w:eastAsia="Times New Roman" w:hint="default"/>
                <w:sz w:val="21"/>
                <w:szCs w:val="21"/>
              </w:rPr>
              <w:t>4.84</w:t>
            </w:r>
            <w:r>
              <w:rPr>
                <w:rFonts w:ascii="宋体" w:hAnsi="宋体" w:cs="宋体" w:eastAsia="宋体" w:hint="default"/>
                <w:sz w:val="21"/>
                <w:szCs w:val="21"/>
              </w:rPr>
              <w:t>％</w:t>
            </w:r>
          </w:p>
        </w:tc>
      </w:tr>
    </w:tbl>
    <w:p>
      <w:pPr>
        <w:pStyle w:val="BodyText"/>
        <w:spacing w:line="357" w:lineRule="auto" w:before="39"/>
        <w:ind w:left="240" w:right="252" w:firstLine="479"/>
        <w:jc w:val="both"/>
      </w:pPr>
      <w:r>
        <w:rPr/>
        <w:t>报告期内，公司整体综合毛利率变动浮动不大，原因系公司主营业务内容与去 年基本一致，没有发生较大变化。报告期内，公司加强了成本和费用控制，公司综</w:t>
      </w:r>
      <w:r>
        <w:rPr>
          <w:spacing w:val="-74"/>
        </w:rPr>
        <w:t> </w:t>
      </w:r>
      <w:r>
        <w:rPr>
          <w:spacing w:val="-74"/>
        </w:rPr>
      </w:r>
      <w:r>
        <w:rPr/>
        <w:t>合毛利率没有出现下滑。</w:t>
      </w:r>
    </w:p>
    <w:p>
      <w:pPr>
        <w:spacing w:line="240" w:lineRule="auto" w:before="3"/>
        <w:rPr>
          <w:rFonts w:ascii="宋体" w:hAnsi="宋体" w:cs="宋体" w:eastAsia="宋体" w:hint="default"/>
          <w:sz w:val="25"/>
          <w:szCs w:val="25"/>
        </w:rPr>
      </w:pPr>
    </w:p>
    <w:p>
      <w:pPr>
        <w:pStyle w:val="Heading5"/>
        <w:spacing w:line="240" w:lineRule="auto"/>
        <w:ind w:left="240" w:right="121"/>
        <w:jc w:val="left"/>
        <w:rPr>
          <w:b w:val="0"/>
          <w:bCs w:val="0"/>
        </w:rPr>
      </w:pPr>
      <w:r>
        <w:rPr/>
        <w:t>（</w:t>
      </w:r>
      <w:r>
        <w:rPr>
          <w:rFonts w:ascii="Times New Roman" w:hAnsi="Times New Roman" w:cs="Times New Roman" w:eastAsia="Times New Roman" w:hint="default"/>
        </w:rPr>
        <w:t>5</w:t>
      </w:r>
      <w:r>
        <w:rPr/>
        <w:t>）非经常性损益情况</w:t>
      </w:r>
      <w:r>
        <w:rPr>
          <w:b w:val="0"/>
          <w:bCs w:val="0"/>
        </w:rPr>
      </w:r>
    </w:p>
    <w:p>
      <w:pPr>
        <w:spacing w:line="240" w:lineRule="auto" w:before="3"/>
        <w:rPr>
          <w:rFonts w:ascii="宋体" w:hAnsi="宋体" w:cs="宋体" w:eastAsia="宋体" w:hint="default"/>
          <w:b/>
          <w:bCs/>
          <w:sz w:val="29"/>
          <w:szCs w:val="29"/>
        </w:rPr>
      </w:pPr>
    </w:p>
    <w:p>
      <w:pPr>
        <w:spacing w:before="0"/>
        <w:ind w:left="0" w:right="1015"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单位：人民币（元）</w:t>
      </w:r>
      <w:r>
        <w:rPr>
          <w:rFonts w:ascii="宋体" w:hAnsi="宋体" w:cs="宋体" w:eastAsia="宋体" w:hint="default"/>
          <w:spacing w:val="-3"/>
          <w:sz w:val="21"/>
          <w:szCs w:val="21"/>
        </w:rPr>
      </w:r>
    </w:p>
    <w:p>
      <w:pPr>
        <w:spacing w:line="240" w:lineRule="auto" w:before="9"/>
        <w:rPr>
          <w:rFonts w:ascii="宋体" w:hAnsi="宋体" w:cs="宋体" w:eastAsia="宋体" w:hint="default"/>
          <w:b/>
          <w:bCs/>
          <w:sz w:val="11"/>
          <w:szCs w:val="11"/>
        </w:rPr>
      </w:pPr>
    </w:p>
    <w:tbl>
      <w:tblPr>
        <w:tblW w:w="0" w:type="auto"/>
        <w:jc w:val="left"/>
        <w:tblInd w:w="118" w:type="dxa"/>
        <w:tblLayout w:type="fixed"/>
        <w:tblCellMar>
          <w:top w:w="0" w:type="dxa"/>
          <w:left w:w="0" w:type="dxa"/>
          <w:bottom w:w="0" w:type="dxa"/>
          <w:right w:w="0" w:type="dxa"/>
        </w:tblCellMar>
        <w:tblLook w:val="01E0"/>
      </w:tblPr>
      <w:tblGrid>
        <w:gridCol w:w="4724"/>
        <w:gridCol w:w="1752"/>
        <w:gridCol w:w="1755"/>
      </w:tblGrid>
      <w:tr>
        <w:trPr>
          <w:trHeight w:val="418" w:hRule="exact"/>
        </w:trPr>
        <w:tc>
          <w:tcPr>
            <w:tcW w:w="4724" w:type="dxa"/>
            <w:tcBorders>
              <w:top w:val="single" w:sz="12" w:space="0" w:color="000000"/>
              <w:left w:val="single" w:sz="12" w:space="0" w:color="000000"/>
              <w:bottom w:val="single" w:sz="6" w:space="0" w:color="000000"/>
              <w:right w:val="single" w:sz="6" w:space="0" w:color="000000"/>
            </w:tcBorders>
          </w:tcPr>
          <w:p>
            <w:pPr>
              <w:pStyle w:val="TableParagraph"/>
              <w:tabs>
                <w:tab w:pos="422" w:val="left" w:leader="none"/>
              </w:tabs>
              <w:spacing w:line="240" w:lineRule="auto" w:before="28"/>
              <w:ind w:right="5"/>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7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427"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75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42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326"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-423,261.20</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pacing w:val="-1"/>
                <w:sz w:val="21"/>
              </w:rPr>
              <w:t>6,684.26</w:t>
            </w:r>
          </w:p>
        </w:tc>
      </w:tr>
      <w:tr>
        <w:trPr>
          <w:trHeight w:val="326"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4,782,726.00</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21"/>
                <w:szCs w:val="21"/>
              </w:rPr>
            </w:pPr>
            <w:r>
              <w:rPr>
                <w:rFonts w:ascii="Times New Roman"/>
                <w:spacing w:val="-2"/>
                <w:sz w:val="21"/>
              </w:rPr>
              <w:t>10,689,116.81</w:t>
            </w:r>
          </w:p>
        </w:tc>
      </w:tr>
      <w:tr>
        <w:trPr>
          <w:trHeight w:val="833"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取得子公司、联营企业及合营企业的投资成本小</w:t>
            </w:r>
          </w:p>
          <w:p>
            <w:pPr>
              <w:pStyle w:val="TableParagraph"/>
              <w:spacing w:line="272" w:lineRule="exact" w:before="27"/>
              <w:ind w:left="93" w:right="101"/>
              <w:jc w:val="left"/>
              <w:rPr>
                <w:rFonts w:ascii="宋体" w:hAnsi="宋体" w:cs="宋体" w:eastAsia="宋体" w:hint="default"/>
                <w:sz w:val="21"/>
                <w:szCs w:val="21"/>
              </w:rPr>
            </w:pPr>
            <w:r>
              <w:rPr>
                <w:rFonts w:ascii="宋体" w:hAnsi="宋体" w:cs="宋体" w:eastAsia="宋体" w:hint="default"/>
                <w:spacing w:val="2"/>
                <w:sz w:val="21"/>
                <w:szCs w:val="21"/>
              </w:rPr>
              <w:t>于取得投资时应享有被投资单位可辨认净资产公</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允价值产生的收益</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05"/>
              <w:jc w:val="center"/>
              <w:rPr>
                <w:rFonts w:ascii="Times New Roman" w:hAnsi="Times New Roman" w:cs="Times New Roman" w:eastAsia="Times New Roman" w:hint="default"/>
                <w:sz w:val="21"/>
                <w:szCs w:val="21"/>
              </w:rPr>
            </w:pPr>
            <w:r>
              <w:rPr>
                <w:rFonts w:ascii="Times New Roman"/>
                <w:w w:val="100"/>
                <w:sz w:val="21"/>
              </w:rPr>
              <w:t>-</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99"/>
              <w:jc w:val="center"/>
              <w:rPr>
                <w:rFonts w:ascii="Times New Roman" w:hAnsi="Times New Roman" w:cs="Times New Roman" w:eastAsia="Times New Roman" w:hint="default"/>
                <w:sz w:val="21"/>
                <w:szCs w:val="21"/>
              </w:rPr>
            </w:pPr>
            <w:r>
              <w:rPr>
                <w:rFonts w:ascii="Times New Roman"/>
                <w:w w:val="100"/>
                <w:sz w:val="21"/>
              </w:rPr>
              <w:t>-</w:t>
            </w:r>
          </w:p>
        </w:tc>
      </w:tr>
      <w:tr>
        <w:trPr>
          <w:trHeight w:val="415" w:hRule="exact"/>
        </w:trPr>
        <w:tc>
          <w:tcPr>
            <w:tcW w:w="472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93" w:right="0"/>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w:t>
            </w:r>
          </w:p>
        </w:tc>
        <w:tc>
          <w:tcPr>
            <w:tcW w:w="1752" w:type="dxa"/>
            <w:tcBorders>
              <w:top w:val="single" w:sz="6" w:space="0" w:color="000000"/>
              <w:left w:val="single" w:sz="6" w:space="0" w:color="000000"/>
              <w:bottom w:val="single" w:sz="12" w:space="0" w:color="000000"/>
              <w:right w:val="single" w:sz="6" w:space="0" w:color="000000"/>
            </w:tcBorders>
          </w:tcPr>
          <w:p>
            <w:pPr/>
          </w:p>
        </w:tc>
        <w:tc>
          <w:tcPr>
            <w:tcW w:w="17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0"/>
              <w:ind w:right="99"/>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1007" w:top="1140" w:bottom="1200" w:left="1560" w:right="1160"/>
        </w:sectPr>
      </w:pPr>
    </w:p>
    <w:p>
      <w:pPr>
        <w:spacing w:line="240" w:lineRule="auto" w:before="6"/>
        <w:rPr>
          <w:rFonts w:ascii="宋体" w:hAnsi="宋体" w:cs="宋体" w:eastAsia="宋体" w:hint="default"/>
          <w:b/>
          <w:bCs/>
          <w:sz w:val="21"/>
          <w:szCs w:val="21"/>
        </w:rPr>
      </w:pPr>
    </w:p>
    <w:tbl>
      <w:tblPr>
        <w:tblW w:w="0" w:type="auto"/>
        <w:jc w:val="left"/>
        <w:tblInd w:w="118" w:type="dxa"/>
        <w:tblLayout w:type="fixed"/>
        <w:tblCellMar>
          <w:top w:w="0" w:type="dxa"/>
          <w:left w:w="0" w:type="dxa"/>
          <w:bottom w:w="0" w:type="dxa"/>
          <w:right w:w="0" w:type="dxa"/>
        </w:tblCellMar>
        <w:tblLook w:val="01E0"/>
      </w:tblPr>
      <w:tblGrid>
        <w:gridCol w:w="4724"/>
        <w:gridCol w:w="1752"/>
        <w:gridCol w:w="1755"/>
      </w:tblGrid>
      <w:tr>
        <w:trPr>
          <w:trHeight w:val="418" w:hRule="exact"/>
        </w:trPr>
        <w:tc>
          <w:tcPr>
            <w:tcW w:w="4724" w:type="dxa"/>
            <w:tcBorders>
              <w:top w:val="single" w:sz="12"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进行一次性调整对当期损益的影响</w:t>
            </w:r>
          </w:p>
        </w:tc>
        <w:tc>
          <w:tcPr>
            <w:tcW w:w="1752" w:type="dxa"/>
            <w:tcBorders>
              <w:top w:val="single" w:sz="12" w:space="0" w:color="000000"/>
              <w:left w:val="single" w:sz="6" w:space="0" w:color="000000"/>
              <w:bottom w:val="single" w:sz="6" w:space="0" w:color="000000"/>
              <w:right w:val="single" w:sz="6" w:space="0" w:color="000000"/>
            </w:tcBorders>
          </w:tcPr>
          <w:p>
            <w:pPr/>
          </w:p>
        </w:tc>
        <w:tc>
          <w:tcPr>
            <w:tcW w:w="1755" w:type="dxa"/>
            <w:tcBorders>
              <w:top w:val="single" w:sz="12" w:space="0" w:color="000000"/>
              <w:left w:val="single" w:sz="6" w:space="0" w:color="000000"/>
              <w:bottom w:val="single" w:sz="6" w:space="0" w:color="000000"/>
              <w:right w:val="single" w:sz="12" w:space="0" w:color="000000"/>
            </w:tcBorders>
          </w:tcPr>
          <w:p>
            <w:pPr/>
          </w:p>
        </w:tc>
      </w:tr>
      <w:tr>
        <w:trPr>
          <w:trHeight w:val="326"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17,873.56</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pacing w:val="-1"/>
                <w:sz w:val="21"/>
              </w:rPr>
              <w:t>-2,499.26</w:t>
            </w:r>
          </w:p>
        </w:tc>
      </w:tr>
      <w:tr>
        <w:trPr>
          <w:trHeight w:val="326"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752" w:type="dxa"/>
            <w:tcBorders>
              <w:top w:val="single" w:sz="6" w:space="0" w:color="000000"/>
              <w:left w:val="single" w:sz="6" w:space="0" w:color="000000"/>
              <w:bottom w:val="single" w:sz="6" w:space="0" w:color="000000"/>
              <w:right w:val="single" w:sz="6" w:space="0" w:color="000000"/>
            </w:tcBorders>
          </w:tcPr>
          <w:p>
            <w:pP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w w:val="100"/>
                <w:sz w:val="21"/>
              </w:rPr>
              <w:t>-</w:t>
            </w:r>
          </w:p>
        </w:tc>
      </w:tr>
      <w:tr>
        <w:trPr>
          <w:trHeight w:val="326"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4,377,338.36</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21"/>
                <w:szCs w:val="21"/>
              </w:rPr>
            </w:pPr>
            <w:r>
              <w:rPr>
                <w:rFonts w:ascii="Times New Roman"/>
                <w:spacing w:val="-1"/>
                <w:sz w:val="21"/>
              </w:rPr>
              <w:t>10,693,301.81</w:t>
            </w:r>
          </w:p>
        </w:tc>
      </w:tr>
      <w:tr>
        <w:trPr>
          <w:trHeight w:val="329"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731,647.50</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right="92"/>
              <w:jc w:val="right"/>
              <w:rPr>
                <w:rFonts w:ascii="Times New Roman" w:hAnsi="Times New Roman" w:cs="Times New Roman" w:eastAsia="Times New Roman" w:hint="default"/>
                <w:sz w:val="21"/>
                <w:szCs w:val="21"/>
              </w:rPr>
            </w:pPr>
            <w:r>
              <w:rPr>
                <w:rFonts w:ascii="Times New Roman"/>
                <w:spacing w:val="-1"/>
                <w:sz w:val="21"/>
              </w:rPr>
              <w:t>1,062,258.91</w:t>
            </w:r>
          </w:p>
        </w:tc>
      </w:tr>
      <w:tr>
        <w:trPr>
          <w:trHeight w:val="326"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3,645,690.86</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2"/>
              <w:jc w:val="right"/>
              <w:rPr>
                <w:rFonts w:ascii="Times New Roman" w:hAnsi="Times New Roman" w:cs="Times New Roman" w:eastAsia="Times New Roman" w:hint="default"/>
                <w:sz w:val="21"/>
                <w:szCs w:val="21"/>
              </w:rPr>
            </w:pPr>
            <w:r>
              <w:rPr>
                <w:rFonts w:ascii="Times New Roman"/>
                <w:spacing w:val="-1"/>
                <w:sz w:val="21"/>
              </w:rPr>
              <w:t>9,631,042.90</w:t>
            </w:r>
          </w:p>
        </w:tc>
      </w:tr>
      <w:tr>
        <w:trPr>
          <w:trHeight w:val="559"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304" w:right="0"/>
              <w:jc w:val="left"/>
              <w:rPr>
                <w:rFonts w:ascii="宋体" w:hAnsi="宋体" w:cs="宋体" w:eastAsia="宋体" w:hint="default"/>
                <w:sz w:val="21"/>
                <w:szCs w:val="21"/>
              </w:rPr>
            </w:pPr>
            <w:r>
              <w:rPr>
                <w:rFonts w:ascii="宋体" w:hAnsi="宋体" w:cs="宋体" w:eastAsia="宋体" w:hint="default"/>
                <w:spacing w:val="2"/>
                <w:sz w:val="21"/>
                <w:szCs w:val="21"/>
              </w:rPr>
              <w:t>减：归属于少数股东的非经常性损益净影响数</w:t>
            </w:r>
          </w:p>
          <w:p>
            <w:pPr>
              <w:pStyle w:val="TableParagraph"/>
              <w:spacing w:line="274" w:lineRule="exact"/>
              <w:ind w:left="93" w:right="0"/>
              <w:jc w:val="left"/>
              <w:rPr>
                <w:rFonts w:ascii="宋体" w:hAnsi="宋体" w:cs="宋体" w:eastAsia="宋体" w:hint="default"/>
                <w:sz w:val="21"/>
                <w:szCs w:val="21"/>
              </w:rPr>
            </w:pPr>
            <w:r>
              <w:rPr>
                <w:rFonts w:ascii="宋体" w:hAnsi="宋体" w:cs="宋体" w:eastAsia="宋体" w:hint="default"/>
                <w:sz w:val="21"/>
                <w:szCs w:val="21"/>
              </w:rPr>
              <w:t>（税后）</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spacing w:val="-1"/>
                <w:sz w:val="21"/>
              </w:rPr>
              <w:t>85,248.98</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2"/>
              <w:ind w:right="91"/>
              <w:jc w:val="right"/>
              <w:rPr>
                <w:rFonts w:ascii="Times New Roman" w:hAnsi="Times New Roman" w:cs="Times New Roman" w:eastAsia="Times New Roman" w:hint="default"/>
                <w:sz w:val="21"/>
                <w:szCs w:val="21"/>
              </w:rPr>
            </w:pPr>
            <w:r>
              <w:rPr>
                <w:rFonts w:ascii="Times New Roman"/>
                <w:spacing w:val="-1"/>
                <w:sz w:val="21"/>
              </w:rPr>
              <w:t>33,149.84</w:t>
            </w:r>
          </w:p>
        </w:tc>
      </w:tr>
      <w:tr>
        <w:trPr>
          <w:trHeight w:val="326" w:hRule="exact"/>
        </w:trPr>
        <w:tc>
          <w:tcPr>
            <w:tcW w:w="4724"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left="9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3,560,441.88</w:t>
            </w:r>
          </w:p>
        </w:tc>
        <w:tc>
          <w:tcPr>
            <w:tcW w:w="17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right="91"/>
              <w:jc w:val="right"/>
              <w:rPr>
                <w:rFonts w:ascii="Times New Roman" w:hAnsi="Times New Roman" w:cs="Times New Roman" w:eastAsia="Times New Roman" w:hint="default"/>
                <w:sz w:val="21"/>
                <w:szCs w:val="21"/>
              </w:rPr>
            </w:pPr>
            <w:r>
              <w:rPr>
                <w:rFonts w:ascii="Times New Roman"/>
                <w:spacing w:val="-1"/>
                <w:sz w:val="21"/>
              </w:rPr>
              <w:t>9,597,893.06</w:t>
            </w:r>
          </w:p>
        </w:tc>
      </w:tr>
      <w:tr>
        <w:trPr>
          <w:trHeight w:val="567" w:hRule="exact"/>
        </w:trPr>
        <w:tc>
          <w:tcPr>
            <w:tcW w:w="472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93" w:right="0"/>
              <w:jc w:val="left"/>
              <w:rPr>
                <w:rFonts w:ascii="宋体" w:hAnsi="宋体" w:cs="宋体" w:eastAsia="宋体" w:hint="default"/>
                <w:sz w:val="21"/>
                <w:szCs w:val="21"/>
              </w:rPr>
            </w:pPr>
            <w:r>
              <w:rPr>
                <w:rFonts w:ascii="宋体" w:hAnsi="宋体" w:cs="宋体" w:eastAsia="宋体" w:hint="default"/>
                <w:spacing w:val="2"/>
                <w:sz w:val="21"/>
                <w:szCs w:val="21"/>
              </w:rPr>
              <w:t>非经常性损益占归属于公司普通股股东净利润的</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752" w:type="dxa"/>
            <w:tcBorders>
              <w:top w:val="single" w:sz="6" w:space="0" w:color="000000"/>
              <w:left w:val="single" w:sz="6" w:space="0" w:color="000000"/>
              <w:bottom w:val="single" w:sz="12"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z w:val="21"/>
              </w:rPr>
              <w:t>7.61%</w:t>
            </w:r>
          </w:p>
        </w:tc>
        <w:tc>
          <w:tcPr>
            <w:tcW w:w="1755" w:type="dxa"/>
            <w:tcBorders>
              <w:top w:val="single" w:sz="6" w:space="0" w:color="000000"/>
              <w:left w:val="single" w:sz="6" w:space="0" w:color="000000"/>
              <w:bottom w:val="single" w:sz="12" w:space="0" w:color="000000"/>
              <w:right w:val="single" w:sz="12" w:space="0" w:color="000000"/>
            </w:tcBorders>
          </w:tcPr>
          <w:p>
            <w:pPr>
              <w:pStyle w:val="TableParagraph"/>
              <w:spacing w:line="237" w:lineRule="exact"/>
              <w:ind w:right="90"/>
              <w:jc w:val="right"/>
              <w:rPr>
                <w:rFonts w:ascii="Times New Roman" w:hAnsi="Times New Roman" w:cs="Times New Roman" w:eastAsia="Times New Roman" w:hint="default"/>
                <w:sz w:val="21"/>
                <w:szCs w:val="21"/>
              </w:rPr>
            </w:pPr>
            <w:r>
              <w:rPr>
                <w:rFonts w:ascii="Times New Roman"/>
                <w:sz w:val="21"/>
              </w:rPr>
              <w:t>21.37%</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Heading5"/>
        <w:spacing w:line="240" w:lineRule="auto" w:before="26"/>
        <w:ind w:left="240" w:right="121"/>
        <w:jc w:val="left"/>
        <w:rPr>
          <w:b w:val="0"/>
          <w:bCs w:val="0"/>
        </w:rPr>
      </w:pPr>
      <w:r>
        <w:rPr/>
        <w:t>（</w:t>
      </w:r>
      <w:r>
        <w:rPr>
          <w:rFonts w:ascii="Times New Roman" w:hAnsi="Times New Roman" w:cs="Times New Roman" w:eastAsia="Times New Roman" w:hint="default"/>
        </w:rPr>
        <w:t>6</w:t>
      </w:r>
      <w:r>
        <w:rPr/>
        <w:t>）主要税费情况</w:t>
      </w:r>
      <w:r>
        <w:rPr>
          <w:b w:val="0"/>
          <w:bCs w:val="0"/>
        </w:rPr>
      </w:r>
    </w:p>
    <w:p>
      <w:pPr>
        <w:spacing w:line="240" w:lineRule="auto" w:before="6"/>
        <w:rPr>
          <w:rFonts w:ascii="宋体" w:hAnsi="宋体" w:cs="宋体" w:eastAsia="宋体" w:hint="default"/>
          <w:b/>
          <w:bCs/>
          <w:sz w:val="26"/>
          <w:szCs w:val="26"/>
        </w:rPr>
      </w:pPr>
    </w:p>
    <w:p>
      <w:pPr>
        <w:spacing w:before="36"/>
        <w:ind w:left="0" w:right="252"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单位：人民币（万元）</w:t>
      </w:r>
      <w:r>
        <w:rPr>
          <w:rFonts w:ascii="宋体" w:hAnsi="宋体" w:cs="宋体" w:eastAsia="宋体" w:hint="default"/>
          <w:spacing w:val="-3"/>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1399"/>
        <w:gridCol w:w="1505"/>
        <w:gridCol w:w="1507"/>
        <w:gridCol w:w="1500"/>
        <w:gridCol w:w="1489"/>
        <w:gridCol w:w="1507"/>
      </w:tblGrid>
      <w:tr>
        <w:trPr>
          <w:trHeight w:val="840" w:hRule="exact"/>
        </w:trPr>
        <w:tc>
          <w:tcPr>
            <w:tcW w:w="1399"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right="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05"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410"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07" w:type="dxa"/>
            <w:tcBorders>
              <w:top w:val="single" w:sz="12" w:space="0" w:color="000000"/>
              <w:left w:val="single" w:sz="6" w:space="0" w:color="000000"/>
              <w:bottom w:val="single" w:sz="6" w:space="0" w:color="000000"/>
              <w:right w:val="single" w:sz="6" w:space="0" w:color="000000"/>
            </w:tcBorders>
          </w:tcPr>
          <w:p>
            <w:pPr>
              <w:pStyle w:val="TableParagraph"/>
              <w:spacing w:line="259" w:lineRule="exact"/>
              <w:ind w:left="4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0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本年比上年增</w:t>
            </w:r>
            <w:r>
              <w:rPr>
                <w:rFonts w:ascii="宋体" w:hAnsi="宋体" w:cs="宋体" w:eastAsia="宋体" w:hint="default"/>
                <w:sz w:val="21"/>
                <w:szCs w:val="21"/>
              </w:rPr>
            </w:r>
          </w:p>
          <w:p>
            <w:pPr>
              <w:pStyle w:val="TableParagraph"/>
              <w:spacing w:line="289" w:lineRule="exact"/>
              <w:ind w:left="3" w:right="0"/>
              <w:jc w:val="center"/>
              <w:rPr>
                <w:rFonts w:ascii="Times New Roman" w:hAnsi="Times New Roman" w:cs="Times New Roman" w:eastAsia="Times New Roman" w:hint="default"/>
                <w:sz w:val="21"/>
                <w:szCs w:val="21"/>
              </w:rPr>
            </w:pPr>
            <w:r>
              <w:rPr>
                <w:rFonts w:ascii="宋体" w:hAnsi="宋体" w:cs="宋体" w:eastAsia="宋体" w:hint="default"/>
                <w:b/>
                <w:bCs/>
                <w:sz w:val="21"/>
                <w:szCs w:val="21"/>
              </w:rPr>
              <w:t>减幅度</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489" w:type="dxa"/>
            <w:tcBorders>
              <w:top w:val="single" w:sz="12" w:space="0" w:color="000000"/>
              <w:left w:val="single" w:sz="6" w:space="0" w:color="000000"/>
              <w:bottom w:val="single" w:sz="6" w:space="0" w:color="000000"/>
              <w:right w:val="single" w:sz="6"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0"/>
                <w:sz w:val="21"/>
                <w:szCs w:val="21"/>
              </w:rPr>
              <w:t> </w:t>
            </w: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年营</w:t>
            </w:r>
            <w:r>
              <w:rPr>
                <w:rFonts w:ascii="宋体" w:hAnsi="宋体" w:cs="宋体" w:eastAsia="宋体" w:hint="default"/>
                <w:sz w:val="21"/>
                <w:szCs w:val="21"/>
              </w:rPr>
            </w:r>
          </w:p>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业收入比例</w:t>
            </w:r>
            <w:r>
              <w:rPr>
                <w:rFonts w:ascii="宋体" w:hAnsi="宋体" w:cs="宋体" w:eastAsia="宋体" w:hint="default"/>
                <w:sz w:val="21"/>
                <w:szCs w:val="21"/>
              </w:rPr>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1507" w:type="dxa"/>
            <w:tcBorders>
              <w:top w:val="single" w:sz="12" w:space="0" w:color="000000"/>
              <w:left w:val="single" w:sz="6" w:space="0" w:color="000000"/>
              <w:bottom w:val="single" w:sz="6" w:space="0" w:color="000000"/>
              <w:right w:val="single" w:sz="12" w:space="0" w:color="000000"/>
            </w:tcBorders>
          </w:tcPr>
          <w:p>
            <w:pPr>
              <w:pStyle w:val="TableParagraph"/>
              <w:spacing w:line="259" w:lineRule="exact"/>
              <w:ind w:left="4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26"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5,696.42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3,482.34</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63.58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19.43</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89"/>
              <w:jc w:val="right"/>
              <w:rPr>
                <w:rFonts w:ascii="Times New Roman" w:hAnsi="Times New Roman" w:cs="Times New Roman" w:eastAsia="Times New Roman" w:hint="default"/>
                <w:sz w:val="21"/>
                <w:szCs w:val="21"/>
              </w:rPr>
            </w:pPr>
            <w:r>
              <w:rPr>
                <w:rFonts w:ascii="Times New Roman"/>
                <w:spacing w:val="-1"/>
                <w:sz w:val="21"/>
              </w:rPr>
              <w:t>1,573.00</w:t>
            </w:r>
          </w:p>
        </w:tc>
      </w:tr>
      <w:tr>
        <w:trPr>
          <w:trHeight w:val="329"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5"/>
              <w:jc w:val="right"/>
              <w:rPr>
                <w:rFonts w:ascii="Times New Roman" w:hAnsi="Times New Roman" w:cs="Times New Roman" w:eastAsia="Times New Roman" w:hint="default"/>
                <w:sz w:val="21"/>
                <w:szCs w:val="21"/>
              </w:rPr>
            </w:pPr>
            <w:r>
              <w:rPr>
                <w:rFonts w:ascii="Times New Roman"/>
                <w:spacing w:val="-1"/>
                <w:sz w:val="21"/>
              </w:rPr>
              <w:t>10,828.62</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7,384.07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5"/>
              <w:jc w:val="right"/>
              <w:rPr>
                <w:rFonts w:ascii="Times New Roman" w:hAnsi="Times New Roman" w:cs="Times New Roman" w:eastAsia="Times New Roman" w:hint="default"/>
                <w:sz w:val="21"/>
                <w:szCs w:val="21"/>
              </w:rPr>
            </w:pPr>
            <w:r>
              <w:rPr>
                <w:rFonts w:ascii="Times New Roman"/>
                <w:sz w:val="21"/>
              </w:rPr>
              <w:t>46.65</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98"/>
              <w:jc w:val="right"/>
              <w:rPr>
                <w:rFonts w:ascii="Times New Roman" w:hAnsi="Times New Roman" w:cs="Times New Roman" w:eastAsia="Times New Roman" w:hint="default"/>
                <w:sz w:val="21"/>
                <w:szCs w:val="21"/>
              </w:rPr>
            </w:pPr>
            <w:r>
              <w:rPr>
                <w:rFonts w:ascii="Times New Roman"/>
                <w:sz w:val="21"/>
              </w:rPr>
              <w:t>36.94</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right="89"/>
              <w:jc w:val="right"/>
              <w:rPr>
                <w:rFonts w:ascii="Times New Roman" w:hAnsi="Times New Roman" w:cs="Times New Roman" w:eastAsia="Times New Roman" w:hint="default"/>
                <w:sz w:val="21"/>
                <w:szCs w:val="21"/>
              </w:rPr>
            </w:pPr>
            <w:r>
              <w:rPr>
                <w:rFonts w:ascii="Times New Roman"/>
                <w:spacing w:val="-1"/>
                <w:sz w:val="21"/>
              </w:rPr>
              <w:t>4,480.91</w:t>
            </w:r>
          </w:p>
        </w:tc>
      </w:tr>
      <w:tr>
        <w:trPr>
          <w:trHeight w:val="326"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-712.20</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-638.57</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2"/>
                <w:sz w:val="21"/>
              </w:rPr>
              <w:t>-11.53</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2.43</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91"/>
              <w:jc w:val="right"/>
              <w:rPr>
                <w:rFonts w:ascii="Times New Roman" w:hAnsi="Times New Roman" w:cs="Times New Roman" w:eastAsia="Times New Roman" w:hint="default"/>
                <w:sz w:val="21"/>
                <w:szCs w:val="21"/>
              </w:rPr>
            </w:pPr>
            <w:r>
              <w:rPr>
                <w:rFonts w:ascii="Times New Roman"/>
                <w:spacing w:val="-1"/>
                <w:sz w:val="21"/>
              </w:rPr>
              <w:t>-21.29</w:t>
            </w:r>
          </w:p>
        </w:tc>
      </w:tr>
      <w:tr>
        <w:trPr>
          <w:trHeight w:val="559"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营业税金及</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附加</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Times New Roman" w:hAnsi="Times New Roman" w:cs="Times New Roman" w:eastAsia="Times New Roman" w:hint="default"/>
                <w:sz w:val="21"/>
                <w:szCs w:val="21"/>
              </w:rPr>
            </w:pPr>
            <w:r>
              <w:rPr>
                <w:rFonts w:ascii="Times New Roman"/>
                <w:sz w:val="21"/>
              </w:rPr>
              <w:t>675.54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6"/>
              <w:jc w:val="right"/>
              <w:rPr>
                <w:rFonts w:ascii="Times New Roman" w:hAnsi="Times New Roman" w:cs="Times New Roman" w:eastAsia="Times New Roman" w:hint="default"/>
                <w:sz w:val="21"/>
                <w:szCs w:val="21"/>
              </w:rPr>
            </w:pPr>
            <w:r>
              <w:rPr>
                <w:rFonts w:ascii="Times New Roman"/>
                <w:sz w:val="21"/>
              </w:rPr>
              <w:t>426.93</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5"/>
              <w:jc w:val="right"/>
              <w:rPr>
                <w:rFonts w:ascii="Times New Roman" w:hAnsi="Times New Roman" w:cs="Times New Roman" w:eastAsia="Times New Roman" w:hint="default"/>
                <w:sz w:val="21"/>
                <w:szCs w:val="21"/>
              </w:rPr>
            </w:pPr>
            <w:r>
              <w:rPr>
                <w:rFonts w:ascii="Times New Roman"/>
                <w:sz w:val="21"/>
              </w:rPr>
              <w:t>58.23</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Times New Roman" w:hAnsi="Times New Roman" w:cs="Times New Roman" w:eastAsia="Times New Roman" w:hint="default"/>
                <w:sz w:val="21"/>
                <w:szCs w:val="21"/>
              </w:rPr>
            </w:pPr>
            <w:r>
              <w:rPr>
                <w:rFonts w:ascii="Times New Roman"/>
                <w:sz w:val="21"/>
              </w:rPr>
              <w:t>2.30</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89"/>
              <w:jc w:val="right"/>
              <w:rPr>
                <w:rFonts w:ascii="Times New Roman" w:hAnsi="Times New Roman" w:cs="Times New Roman" w:eastAsia="Times New Roman" w:hint="default"/>
                <w:sz w:val="21"/>
                <w:szCs w:val="21"/>
              </w:rPr>
            </w:pPr>
            <w:r>
              <w:rPr>
                <w:rFonts w:ascii="Times New Roman"/>
                <w:sz w:val="21"/>
              </w:rPr>
              <w:t>333.95</w:t>
            </w:r>
          </w:p>
        </w:tc>
      </w:tr>
      <w:tr>
        <w:trPr>
          <w:trHeight w:val="326" w:hRule="exact"/>
        </w:trPr>
        <w:tc>
          <w:tcPr>
            <w:tcW w:w="139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所得税费用</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662.19</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361.40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83.23</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2.26</w:t>
            </w:r>
          </w:p>
        </w:tc>
        <w:tc>
          <w:tcPr>
            <w:tcW w:w="15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right="89"/>
              <w:jc w:val="right"/>
              <w:rPr>
                <w:rFonts w:ascii="Times New Roman" w:hAnsi="Times New Roman" w:cs="Times New Roman" w:eastAsia="Times New Roman" w:hint="default"/>
                <w:sz w:val="21"/>
                <w:szCs w:val="21"/>
              </w:rPr>
            </w:pPr>
            <w:r>
              <w:rPr>
                <w:rFonts w:ascii="Times New Roman"/>
                <w:sz w:val="21"/>
              </w:rPr>
              <w:t>283.77</w:t>
            </w:r>
          </w:p>
        </w:tc>
      </w:tr>
      <w:tr>
        <w:trPr>
          <w:trHeight w:val="298" w:hRule="exact"/>
        </w:trPr>
        <w:tc>
          <w:tcPr>
            <w:tcW w:w="1399"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5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94"/>
              <w:jc w:val="right"/>
              <w:rPr>
                <w:rFonts w:ascii="Times New Roman" w:hAnsi="Times New Roman" w:cs="Times New Roman" w:eastAsia="Times New Roman" w:hint="default"/>
                <w:sz w:val="21"/>
                <w:szCs w:val="21"/>
              </w:rPr>
            </w:pPr>
            <w:r>
              <w:rPr>
                <w:rFonts w:ascii="Times New Roman"/>
                <w:spacing w:val="-1"/>
                <w:sz w:val="21"/>
              </w:rPr>
              <w:t>17,150.57</w:t>
            </w:r>
          </w:p>
        </w:tc>
        <w:tc>
          <w:tcPr>
            <w:tcW w:w="15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2"/>
                <w:sz w:val="21"/>
              </w:rPr>
              <w:t>11,016.17</w:t>
            </w:r>
          </w:p>
        </w:tc>
        <w:tc>
          <w:tcPr>
            <w:tcW w:w="15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95"/>
              <w:jc w:val="right"/>
              <w:rPr>
                <w:rFonts w:ascii="Times New Roman" w:hAnsi="Times New Roman" w:cs="Times New Roman" w:eastAsia="Times New Roman" w:hint="default"/>
                <w:sz w:val="21"/>
                <w:szCs w:val="21"/>
              </w:rPr>
            </w:pPr>
            <w:r>
              <w:rPr>
                <w:rFonts w:ascii="Times New Roman"/>
                <w:sz w:val="21"/>
              </w:rPr>
              <w:t>55.69</w:t>
            </w:r>
          </w:p>
        </w:tc>
        <w:tc>
          <w:tcPr>
            <w:tcW w:w="14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58.51</w:t>
            </w:r>
          </w:p>
        </w:tc>
        <w:tc>
          <w:tcPr>
            <w:tcW w:w="15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89"/>
              <w:jc w:val="right"/>
              <w:rPr>
                <w:rFonts w:ascii="Times New Roman" w:hAnsi="Times New Roman" w:cs="Times New Roman" w:eastAsia="Times New Roman" w:hint="default"/>
                <w:sz w:val="21"/>
                <w:szCs w:val="21"/>
              </w:rPr>
            </w:pPr>
            <w:r>
              <w:rPr>
                <w:rFonts w:ascii="Times New Roman"/>
                <w:spacing w:val="-1"/>
                <w:sz w:val="21"/>
              </w:rPr>
              <w:t>665,0.34</w:t>
            </w:r>
          </w:p>
        </w:tc>
      </w:tr>
    </w:tbl>
    <w:p>
      <w:pPr>
        <w:spacing w:line="240" w:lineRule="auto" w:before="0"/>
        <w:rPr>
          <w:rFonts w:ascii="宋体" w:hAnsi="宋体" w:cs="宋体" w:eastAsia="宋体" w:hint="default"/>
          <w:b/>
          <w:bCs/>
          <w:sz w:val="20"/>
          <w:szCs w:val="20"/>
        </w:rPr>
      </w:pPr>
    </w:p>
    <w:p>
      <w:pPr>
        <w:pStyle w:val="BodyText"/>
        <w:spacing w:line="338" w:lineRule="auto" w:before="199"/>
        <w:ind w:left="240" w:right="255" w:firstLine="479"/>
        <w:jc w:val="both"/>
      </w:pPr>
      <w:r>
        <w:rPr/>
        <w:t>报告期内销售费用同比上年增长</w:t>
      </w:r>
      <w:r>
        <w:rPr>
          <w:rFonts w:ascii="Times New Roman" w:hAnsi="Times New Roman" w:cs="Times New Roman" w:eastAsia="Times New Roman" w:hint="default"/>
        </w:rPr>
        <w:t>63.58%</w:t>
      </w:r>
      <w:r>
        <w:rPr/>
        <w:t>，主要原因系公司销售额规模扩大、销 售人员增加，工资、差旅费、场地租赁费、招待费及招投标费用增加所致。</w:t>
      </w:r>
    </w:p>
    <w:p>
      <w:pPr>
        <w:pStyle w:val="BodyText"/>
        <w:spacing w:line="338" w:lineRule="auto" w:before="56"/>
        <w:ind w:left="240" w:right="252" w:firstLine="479"/>
        <w:jc w:val="both"/>
      </w:pPr>
      <w:r>
        <w:rPr>
          <w:spacing w:val="-1"/>
        </w:rPr>
        <w:t>报告期内，公司管理费用同比上年增长</w:t>
      </w:r>
      <w:r>
        <w:rPr>
          <w:rFonts w:ascii="Times New Roman" w:hAnsi="Times New Roman" w:cs="Times New Roman" w:eastAsia="Times New Roman" w:hint="default"/>
          <w:spacing w:val="-1"/>
        </w:rPr>
        <w:t>46.65</w:t>
      </w:r>
      <w:r>
        <w:rPr>
          <w:spacing w:val="-1"/>
        </w:rPr>
        <w:t>％，主要原因系公司研发人员的增</w:t>
      </w:r>
      <w:r>
        <w:rPr/>
        <w:t> 长以及研发人员的薪酬成本上涨所致。</w:t>
      </w:r>
    </w:p>
    <w:p>
      <w:pPr>
        <w:pStyle w:val="BodyText"/>
        <w:spacing w:line="338" w:lineRule="auto" w:before="55"/>
        <w:ind w:left="240" w:right="252" w:firstLine="479"/>
        <w:jc w:val="both"/>
      </w:pPr>
      <w:r>
        <w:rPr>
          <w:spacing w:val="-1"/>
        </w:rPr>
        <w:t>报告期内，公司营业税金及附加同比上年增长</w:t>
      </w:r>
      <w:r>
        <w:rPr>
          <w:rFonts w:ascii="Times New Roman" w:hAnsi="Times New Roman" w:cs="Times New Roman" w:eastAsia="Times New Roman" w:hint="default"/>
          <w:spacing w:val="-1"/>
        </w:rPr>
        <w:t>58.23</w:t>
      </w:r>
      <w:r>
        <w:rPr>
          <w:spacing w:val="-1"/>
        </w:rPr>
        <w:t>％，主要系公司业务增长所</w:t>
      </w:r>
      <w:r>
        <w:rPr/>
        <w:t> 致。</w:t>
      </w:r>
    </w:p>
    <w:p>
      <w:pPr>
        <w:pStyle w:val="BodyText"/>
        <w:spacing w:line="338" w:lineRule="auto" w:before="55"/>
        <w:ind w:left="240" w:right="254" w:firstLine="479"/>
        <w:jc w:val="both"/>
      </w:pPr>
      <w:r>
        <w:rPr/>
        <w:t>报告期内公司所得税费用同比上年增长</w:t>
      </w:r>
      <w:r>
        <w:rPr>
          <w:rFonts w:ascii="Times New Roman" w:hAnsi="Times New Roman" w:cs="Times New Roman" w:eastAsia="Times New Roman" w:hint="default"/>
        </w:rPr>
        <w:t>83.23%</w:t>
      </w:r>
      <w:r>
        <w:rPr/>
        <w:t>，主要原因系</w:t>
      </w:r>
      <w:r>
        <w:rPr>
          <w:rFonts w:ascii="Times New Roman" w:hAnsi="Times New Roman" w:cs="Times New Roman" w:eastAsia="Times New Roman" w:hint="default"/>
        </w:rPr>
        <w:t>2011</w:t>
      </w:r>
      <w:r>
        <w:rPr/>
        <w:t>年度国家规划 布局内重点软件企业评审工作还未启动，公司的所得税按</w:t>
      </w:r>
      <w:r>
        <w:rPr>
          <w:rFonts w:ascii="Times New Roman" w:hAnsi="Times New Roman" w:cs="Times New Roman" w:eastAsia="Times New Roman" w:hint="default"/>
        </w:rPr>
        <w:t>15%</w:t>
      </w:r>
      <w:r>
        <w:rPr/>
        <w:t>计提，而上年同期，</w:t>
      </w:r>
      <w:r>
        <w:rPr>
          <w:spacing w:val="-47"/>
        </w:rPr>
        <w:t> </w:t>
      </w:r>
      <w:r>
        <w:rPr>
          <w:spacing w:val="-47"/>
        </w:rPr>
      </w:r>
      <w:r>
        <w:rPr/>
        <w:t>公司的所得税率为</w:t>
      </w:r>
      <w:r>
        <w:rPr>
          <w:rFonts w:ascii="Times New Roman" w:hAnsi="Times New Roman" w:cs="Times New Roman" w:eastAsia="Times New Roman" w:hint="default"/>
        </w:rPr>
        <w:t>10%</w:t>
      </w:r>
      <w:r>
        <w:rPr/>
        <w:t>。</w:t>
      </w:r>
    </w:p>
    <w:p>
      <w:pPr>
        <w:spacing w:after="0" w:line="338" w:lineRule="auto"/>
        <w:jc w:val="both"/>
        <w:sectPr>
          <w:pgSz w:w="11910" w:h="16840"/>
          <w:pgMar w:header="884" w:footer="1007" w:top="1140" w:bottom="1200" w:left="1560" w:right="1160"/>
        </w:sectPr>
      </w:pPr>
    </w:p>
    <w:p>
      <w:pPr>
        <w:spacing w:line="240" w:lineRule="auto" w:before="5"/>
        <w:rPr>
          <w:rFonts w:ascii="宋体" w:hAnsi="宋体" w:cs="宋体" w:eastAsia="宋体" w:hint="default"/>
          <w:sz w:val="23"/>
          <w:szCs w:val="23"/>
        </w:rPr>
      </w:pPr>
    </w:p>
    <w:p>
      <w:pPr>
        <w:pStyle w:val="Heading5"/>
        <w:spacing w:line="240" w:lineRule="auto" w:before="26"/>
        <w:ind w:left="140" w:right="0"/>
        <w:jc w:val="left"/>
        <w:rPr>
          <w:b w:val="0"/>
          <w:bCs w:val="0"/>
        </w:rPr>
      </w:pPr>
      <w:r>
        <w:rPr/>
        <w:t>（</w:t>
      </w:r>
      <w:r>
        <w:rPr>
          <w:rFonts w:ascii="Times New Roman" w:hAnsi="Times New Roman" w:cs="Times New Roman" w:eastAsia="Times New Roman" w:hint="default"/>
        </w:rPr>
        <w:t>7</w:t>
      </w:r>
      <w:r>
        <w:rPr/>
        <w:t>）报告期内公司资产构成情况</w:t>
      </w:r>
      <w:r>
        <w:rPr>
          <w:b w:val="0"/>
          <w:bCs w:val="0"/>
        </w:rPr>
      </w:r>
    </w:p>
    <w:p>
      <w:pPr>
        <w:spacing w:line="240" w:lineRule="auto" w:before="6"/>
        <w:rPr>
          <w:rFonts w:ascii="宋体" w:hAnsi="宋体" w:cs="宋体" w:eastAsia="宋体" w:hint="default"/>
          <w:b/>
          <w:bCs/>
          <w:sz w:val="26"/>
          <w:szCs w:val="26"/>
        </w:rPr>
      </w:pPr>
    </w:p>
    <w:p>
      <w:pPr>
        <w:spacing w:before="36"/>
        <w:ind w:left="0" w:right="624"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单位：人民币（万元）</w:t>
      </w:r>
      <w:r>
        <w:rPr>
          <w:rFonts w:ascii="宋体" w:hAnsi="宋体" w:cs="宋体" w:eastAsia="宋体" w:hint="default"/>
          <w:spacing w:val="-3"/>
          <w:sz w:val="21"/>
          <w:szCs w:val="21"/>
        </w:rPr>
      </w:r>
    </w:p>
    <w:p>
      <w:pPr>
        <w:spacing w:line="240" w:lineRule="auto" w:before="7"/>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1231"/>
        <w:gridCol w:w="1340"/>
        <w:gridCol w:w="989"/>
        <w:gridCol w:w="1138"/>
        <w:gridCol w:w="989"/>
        <w:gridCol w:w="852"/>
        <w:gridCol w:w="2182"/>
      </w:tblGrid>
      <w:tr>
        <w:trPr>
          <w:trHeight w:val="403" w:hRule="exact"/>
        </w:trPr>
        <w:tc>
          <w:tcPr>
            <w:tcW w:w="1231"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b/>
                <w:bCs/>
                <w:sz w:val="18"/>
                <w:szCs w:val="18"/>
              </w:rPr>
              <w:t>资产项目</w:t>
            </w:r>
            <w:r>
              <w:rPr>
                <w:rFonts w:ascii="宋体" w:hAnsi="宋体" w:cs="宋体" w:eastAsia="宋体" w:hint="default"/>
                <w:sz w:val="18"/>
                <w:szCs w:val="18"/>
              </w:rPr>
            </w:r>
          </w:p>
        </w:tc>
        <w:tc>
          <w:tcPr>
            <w:tcW w:w="2329"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417" w:right="0"/>
              <w:jc w:val="left"/>
              <w:rPr>
                <w:rFonts w:ascii="宋体" w:hAnsi="宋体" w:cs="宋体" w:eastAsia="宋体" w:hint="default"/>
                <w:sz w:val="18"/>
                <w:szCs w:val="18"/>
              </w:rPr>
            </w:pP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212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2"/>
              <w:ind w:left="38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2010</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b/>
                <w:bCs/>
                <w:spacing w:val="-46"/>
                <w:sz w:val="18"/>
                <w:szCs w:val="18"/>
              </w:rPr>
              <w:t> </w:t>
            </w:r>
            <w:r>
              <w:rPr>
                <w:rFonts w:ascii="Times New Roman" w:hAnsi="Times New Roman" w:cs="Times New Roman" w:eastAsia="Times New Roman" w:hint="default"/>
                <w:b/>
                <w:bCs/>
                <w:sz w:val="18"/>
                <w:szCs w:val="18"/>
              </w:rPr>
              <w:t>12</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月</w:t>
            </w:r>
            <w:r>
              <w:rPr>
                <w:rFonts w:ascii="宋体" w:hAnsi="宋体" w:cs="宋体" w:eastAsia="宋体" w:hint="default"/>
                <w:b/>
                <w:bCs/>
                <w:spacing w:val="-47"/>
                <w:sz w:val="18"/>
                <w:szCs w:val="18"/>
              </w:rPr>
              <w:t> </w:t>
            </w:r>
            <w:r>
              <w:rPr>
                <w:rFonts w:ascii="Times New Roman" w:hAnsi="Times New Roman" w:cs="Times New Roman" w:eastAsia="Times New Roman" w:hint="default"/>
                <w:b/>
                <w:bCs/>
                <w:sz w:val="18"/>
                <w:szCs w:val="18"/>
              </w:rPr>
              <w:t>31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852"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32" w:lineRule="exact"/>
              <w:ind w:left="304" w:right="167"/>
              <w:jc w:val="left"/>
              <w:rPr>
                <w:rFonts w:ascii="宋体" w:hAnsi="宋体" w:cs="宋体" w:eastAsia="宋体" w:hint="default"/>
                <w:sz w:val="18"/>
                <w:szCs w:val="18"/>
              </w:rPr>
            </w:pPr>
            <w:r>
              <w:rPr>
                <w:rFonts w:ascii="宋体" w:hAnsi="宋体" w:cs="宋体" w:eastAsia="宋体" w:hint="default"/>
                <w:b/>
                <w:bCs/>
                <w:sz w:val="18"/>
                <w:szCs w:val="18"/>
              </w:rPr>
              <w:t>变动</w:t>
            </w:r>
            <w:r>
              <w:rPr>
                <w:rFonts w:ascii="宋体" w:hAnsi="宋体" w:cs="宋体" w:eastAsia="宋体" w:hint="default"/>
                <w:b/>
                <w:bCs/>
                <w:spacing w:val="-89"/>
                <w:sz w:val="18"/>
                <w:szCs w:val="18"/>
              </w:rPr>
              <w:t> </w:t>
            </w:r>
            <w:r>
              <w:rPr>
                <w:rFonts w:ascii="宋体" w:hAnsi="宋体" w:cs="宋体" w:eastAsia="宋体" w:hint="default"/>
                <w:b/>
                <w:bCs/>
                <w:sz w:val="18"/>
                <w:szCs w:val="18"/>
              </w:rPr>
              <w:t>幅度</w:t>
            </w:r>
            <w:r>
              <w:rPr>
                <w:rFonts w:ascii="宋体" w:hAnsi="宋体" w:cs="宋体" w:eastAsia="宋体" w:hint="default"/>
                <w:sz w:val="18"/>
                <w:szCs w:val="18"/>
              </w:rPr>
            </w:r>
          </w:p>
          <w:p>
            <w:pPr>
              <w:pStyle w:val="TableParagraph"/>
              <w:spacing w:line="212" w:lineRule="exact"/>
              <w:ind w:left="216"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c>
        <w:tc>
          <w:tcPr>
            <w:tcW w:w="2182" w:type="dxa"/>
            <w:vMerge w:val="restart"/>
            <w:tcBorders>
              <w:top w:val="single" w:sz="12"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790" w:right="0"/>
              <w:jc w:val="left"/>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1255" w:hRule="exact"/>
        </w:trPr>
        <w:tc>
          <w:tcPr>
            <w:tcW w:w="1231" w:type="dxa"/>
            <w:vMerge/>
            <w:tcBorders>
              <w:left w:val="single" w:sz="12"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9" w:lineRule="auto"/>
              <w:ind w:left="223" w:right="207"/>
              <w:jc w:val="left"/>
              <w:rPr>
                <w:rFonts w:ascii="宋体" w:hAnsi="宋体" w:cs="宋体" w:eastAsia="宋体" w:hint="default"/>
                <w:sz w:val="18"/>
                <w:szCs w:val="18"/>
              </w:rPr>
            </w:pPr>
            <w:r>
              <w:rPr>
                <w:rFonts w:ascii="宋体" w:hAnsi="宋体" w:cs="宋体" w:eastAsia="宋体" w:hint="default"/>
                <w:b/>
                <w:bCs/>
                <w:sz w:val="18"/>
                <w:szCs w:val="18"/>
              </w:rPr>
              <w:t>占总资</w:t>
            </w:r>
            <w:r>
              <w:rPr>
                <w:rFonts w:ascii="宋体" w:hAnsi="宋体" w:cs="宋体" w:eastAsia="宋体" w:hint="default"/>
                <w:b/>
                <w:bCs/>
                <w:w w:val="99"/>
                <w:sz w:val="18"/>
                <w:szCs w:val="18"/>
              </w:rPr>
              <w:t> </w:t>
            </w:r>
            <w:r>
              <w:rPr>
                <w:rFonts w:ascii="宋体" w:hAnsi="宋体" w:cs="宋体" w:eastAsia="宋体" w:hint="default"/>
                <w:b/>
                <w:bCs/>
                <w:sz w:val="18"/>
                <w:szCs w:val="18"/>
              </w:rPr>
              <w:t>产比重</w:t>
            </w:r>
            <w:r>
              <w:rPr>
                <w:rFonts w:ascii="宋体" w:hAnsi="宋体" w:cs="宋体" w:eastAsia="宋体" w:hint="default"/>
                <w:sz w:val="18"/>
                <w:szCs w:val="18"/>
              </w:rPr>
            </w:r>
          </w:p>
          <w:p>
            <w:pPr>
              <w:pStyle w:val="TableParagraph"/>
              <w:spacing w:line="240" w:lineRule="auto" w:before="17"/>
              <w:ind w:left="22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151" w:right="0"/>
              <w:jc w:val="left"/>
              <w:rPr>
                <w:rFonts w:ascii="宋体" w:hAnsi="宋体" w:cs="宋体" w:eastAsia="宋体" w:hint="default"/>
                <w:sz w:val="18"/>
                <w:szCs w:val="18"/>
              </w:rPr>
            </w:pPr>
            <w:r>
              <w:rPr>
                <w:rFonts w:ascii="宋体" w:hAnsi="宋体" w:cs="宋体" w:eastAsia="宋体" w:hint="default"/>
                <w:b/>
                <w:bCs/>
                <w:sz w:val="18"/>
                <w:szCs w:val="18"/>
              </w:rPr>
              <w:t>占总资产</w:t>
            </w:r>
            <w:r>
              <w:rPr>
                <w:rFonts w:ascii="宋体" w:hAnsi="宋体" w:cs="宋体" w:eastAsia="宋体" w:hint="default"/>
                <w:sz w:val="18"/>
                <w:szCs w:val="18"/>
              </w:rPr>
            </w:r>
          </w:p>
          <w:p>
            <w:pPr>
              <w:pStyle w:val="TableParagraph"/>
              <w:spacing w:line="240" w:lineRule="auto" w:before="79"/>
              <w:ind w:left="141" w:right="0"/>
              <w:jc w:val="left"/>
              <w:rPr>
                <w:rFonts w:ascii="宋体" w:hAnsi="宋体" w:cs="宋体" w:eastAsia="宋体" w:hint="default"/>
                <w:sz w:val="18"/>
                <w:szCs w:val="18"/>
              </w:rPr>
            </w:pPr>
            <w:r>
              <w:rPr>
                <w:rFonts w:ascii="宋体" w:hAnsi="宋体" w:cs="宋体" w:eastAsia="宋体" w:hint="default"/>
                <w:b/>
                <w:bCs/>
                <w:spacing w:val="2"/>
                <w:w w:val="99"/>
                <w:sz w:val="18"/>
                <w:szCs w:val="18"/>
              </w:rPr>
              <w:t>比</w:t>
            </w:r>
            <w:r>
              <w:rPr>
                <w:rFonts w:ascii="宋体" w:hAnsi="宋体" w:cs="宋体" w:eastAsia="宋体" w:hint="default"/>
                <w:b/>
                <w:bCs/>
                <w:spacing w:val="-70"/>
                <w:w w:val="99"/>
                <w:sz w:val="18"/>
                <w:szCs w:val="18"/>
              </w:rPr>
              <w:t>重</w:t>
            </w:r>
            <w:r>
              <w:rPr>
                <w:rFonts w:ascii="宋体" w:hAnsi="宋体" w:cs="宋体" w:eastAsia="宋体" w:hint="default"/>
                <w:b/>
                <w:bCs/>
                <w:spacing w:val="2"/>
                <w:w w:val="99"/>
                <w:sz w:val="18"/>
                <w:szCs w:val="18"/>
              </w:rPr>
              <w:t>（</w:t>
            </w:r>
            <w:r>
              <w:rPr>
                <w:rFonts w:ascii="Times New Roman" w:hAnsi="Times New Roman" w:cs="Times New Roman" w:eastAsia="Times New Roman" w:hint="default"/>
                <w:b/>
                <w:bCs/>
                <w:spacing w:val="-5"/>
                <w:sz w:val="18"/>
                <w:szCs w:val="18"/>
              </w:rPr>
              <w:t>%</w:t>
            </w:r>
            <w:r>
              <w:rPr>
                <w:rFonts w:ascii="宋体" w:hAnsi="宋体" w:cs="宋体" w:eastAsia="宋体" w:hint="default"/>
                <w:b/>
                <w:bCs/>
                <w:w w:val="99"/>
                <w:sz w:val="18"/>
                <w:szCs w:val="18"/>
              </w:rPr>
              <w:t>）</w:t>
            </w:r>
            <w:r>
              <w:rPr>
                <w:rFonts w:ascii="宋体" w:hAnsi="宋体" w:cs="宋体" w:eastAsia="宋体" w:hint="default"/>
                <w:sz w:val="18"/>
                <w:szCs w:val="18"/>
              </w:rPr>
            </w:r>
          </w:p>
        </w:tc>
        <w:tc>
          <w:tcPr>
            <w:tcW w:w="852" w:type="dxa"/>
            <w:vMerge/>
            <w:tcBorders>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12" w:space="0" w:color="000000"/>
            </w:tcBorders>
          </w:tcPr>
          <w:p>
            <w:pPr/>
          </w:p>
        </w:tc>
      </w:tr>
      <w:tr>
        <w:trPr>
          <w:trHeight w:val="845"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34" w:lineRule="exact"/>
              <w:ind w:left="422" w:right="243" w:hanging="18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b/>
                <w:sz w:val="18"/>
              </w:rPr>
              <w:t>58,808.33</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b/>
                <w:sz w:val="18"/>
              </w:rPr>
              <w:t>81.14</w:t>
            </w:r>
            <w:r>
              <w:rPr>
                <w:rFonts w:ascii="Times New Roman"/>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b/>
                <w:sz w:val="18"/>
              </w:rPr>
              <w:t>53,493.98</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b/>
                <w:sz w:val="18"/>
              </w:rPr>
              <w:t>83.30</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b/>
                <w:sz w:val="18"/>
              </w:rPr>
              <w:t>9.93</w:t>
            </w:r>
            <w:r>
              <w:rPr>
                <w:rFonts w:ascii="Times New Roman"/>
                <w:sz w:val="18"/>
              </w:rPr>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713"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37,882.48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52.27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3,9037.86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60.79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-2.96</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6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8"/>
              <w:ind w:left="24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30.02</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0.05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737"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w w:val="95"/>
                <w:sz w:val="18"/>
              </w:rPr>
              <w:t>13,115.91</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z w:val="18"/>
              </w:rPr>
              <w:t>18.10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8,623.40</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z w:val="18"/>
              </w:rPr>
              <w:t>13.43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52.10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 w:right="0"/>
              <w:jc w:val="left"/>
              <w:rPr>
                <w:rFonts w:ascii="宋体" w:hAnsi="宋体" w:cs="宋体" w:eastAsia="宋体" w:hint="default"/>
                <w:sz w:val="18"/>
                <w:szCs w:val="18"/>
              </w:rPr>
            </w:pPr>
            <w:r>
              <w:rPr>
                <w:rFonts w:ascii="宋体" w:hAnsi="宋体" w:cs="宋体" w:eastAsia="宋体" w:hint="default"/>
                <w:sz w:val="18"/>
                <w:szCs w:val="18"/>
              </w:rPr>
              <w:t>主要系本年业务规模扩大、</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营业收入增长所致</w:t>
            </w:r>
          </w:p>
        </w:tc>
      </w:tr>
      <w:tr>
        <w:trPr>
          <w:trHeight w:val="113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5,552.36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7.66</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3556.43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5.54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z w:val="18"/>
              </w:rPr>
              <w:t>56.12</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1" w:right="0"/>
              <w:jc w:val="both"/>
              <w:rPr>
                <w:rFonts w:ascii="宋体" w:hAnsi="宋体" w:cs="宋体" w:eastAsia="宋体" w:hint="default"/>
                <w:sz w:val="18"/>
                <w:szCs w:val="18"/>
              </w:rPr>
            </w:pPr>
            <w:r>
              <w:rPr>
                <w:rFonts w:ascii="宋体" w:hAnsi="宋体" w:cs="宋体" w:eastAsia="宋体" w:hint="default"/>
                <w:sz w:val="18"/>
                <w:szCs w:val="18"/>
              </w:rPr>
              <w:t>主要系与部分定制型软件</w:t>
            </w:r>
          </w:p>
          <w:p>
            <w:pPr>
              <w:pStyle w:val="TableParagraph"/>
              <w:spacing w:line="237" w:lineRule="auto"/>
              <w:ind w:left="-1" w:right="178"/>
              <w:jc w:val="both"/>
              <w:rPr>
                <w:rFonts w:ascii="宋体" w:hAnsi="宋体" w:cs="宋体" w:eastAsia="宋体" w:hint="default"/>
                <w:sz w:val="18"/>
                <w:szCs w:val="18"/>
              </w:rPr>
            </w:pPr>
            <w:r>
              <w:rPr>
                <w:rFonts w:ascii="宋体" w:hAnsi="宋体" w:cs="宋体" w:eastAsia="宋体" w:hint="default"/>
                <w:sz w:val="18"/>
                <w:szCs w:val="18"/>
              </w:rPr>
              <w:t>项目收入相关的成本费用 支付进度高于完工进度造 成</w:t>
            </w:r>
          </w:p>
        </w:tc>
      </w:tr>
      <w:tr>
        <w:trPr>
          <w:trHeight w:val="44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left="24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37"/>
              <w:jc w:val="right"/>
              <w:rPr>
                <w:rFonts w:ascii="Times New Roman" w:hAnsi="Times New Roman" w:cs="Times New Roman" w:eastAsia="Times New Roman" w:hint="default"/>
                <w:sz w:val="18"/>
                <w:szCs w:val="18"/>
              </w:rPr>
            </w:pPr>
            <w:r>
              <w:rPr>
                <w:rFonts w:ascii="Times New Roman"/>
                <w:spacing w:val="-1"/>
                <w:sz w:val="18"/>
              </w:rPr>
              <w:t>538.74</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60"/>
              <w:jc w:val="right"/>
              <w:rPr>
                <w:rFonts w:ascii="Times New Roman" w:hAnsi="Times New Roman" w:cs="Times New Roman" w:eastAsia="Times New Roman" w:hint="default"/>
                <w:sz w:val="18"/>
                <w:szCs w:val="18"/>
              </w:rPr>
            </w:pPr>
            <w:r>
              <w:rPr>
                <w:rFonts w:ascii="Times New Roman"/>
                <w:spacing w:val="-1"/>
                <w:sz w:val="18"/>
              </w:rPr>
              <w:t>0.74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38"/>
              <w:jc w:val="right"/>
              <w:rPr>
                <w:rFonts w:ascii="Times New Roman" w:hAnsi="Times New Roman" w:cs="Times New Roman" w:eastAsia="Times New Roman" w:hint="default"/>
                <w:sz w:val="18"/>
                <w:szCs w:val="18"/>
              </w:rPr>
            </w:pPr>
            <w:r>
              <w:rPr>
                <w:rFonts w:ascii="Times New Roman"/>
                <w:spacing w:val="-1"/>
                <w:sz w:val="18"/>
              </w:rPr>
              <w:t>555.27</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60"/>
              <w:jc w:val="right"/>
              <w:rPr>
                <w:rFonts w:ascii="Times New Roman" w:hAnsi="Times New Roman" w:cs="Times New Roman" w:eastAsia="Times New Roman" w:hint="default"/>
                <w:sz w:val="18"/>
                <w:szCs w:val="18"/>
              </w:rPr>
            </w:pPr>
            <w:r>
              <w:rPr>
                <w:rFonts w:ascii="Times New Roman"/>
                <w:spacing w:val="-1"/>
                <w:sz w:val="18"/>
              </w:rPr>
              <w:t>0.86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21"/>
              <w:jc w:val="right"/>
              <w:rPr>
                <w:rFonts w:ascii="Times New Roman" w:hAnsi="Times New Roman" w:cs="Times New Roman" w:eastAsia="Times New Roman" w:hint="default"/>
                <w:sz w:val="18"/>
                <w:szCs w:val="18"/>
              </w:rPr>
            </w:pPr>
            <w:r>
              <w:rPr>
                <w:rFonts w:ascii="Times New Roman"/>
                <w:sz w:val="18"/>
              </w:rPr>
              <w:t>-2.98</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69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53"/>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1,222.65</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1.69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1,149.73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1.79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pacing w:val="-1"/>
                <w:sz w:val="18"/>
              </w:rPr>
              <w:t>6.34</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38"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7"/>
              <w:jc w:val="right"/>
              <w:rPr>
                <w:rFonts w:ascii="Times New Roman" w:hAnsi="Times New Roman" w:cs="Times New Roman" w:eastAsia="Times New Roman" w:hint="default"/>
                <w:sz w:val="18"/>
                <w:szCs w:val="18"/>
              </w:rPr>
            </w:pPr>
            <w:r>
              <w:rPr>
                <w:rFonts w:ascii="Times New Roman"/>
                <w:spacing w:val="-1"/>
                <w:sz w:val="18"/>
              </w:rPr>
              <w:t>496.19</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60"/>
              <w:jc w:val="right"/>
              <w:rPr>
                <w:rFonts w:ascii="Times New Roman" w:hAnsi="Times New Roman" w:cs="Times New Roman" w:eastAsia="Times New Roman" w:hint="default"/>
                <w:sz w:val="18"/>
                <w:szCs w:val="18"/>
              </w:rPr>
            </w:pPr>
            <w:r>
              <w:rPr>
                <w:rFonts w:ascii="Times New Roman"/>
                <w:spacing w:val="-1"/>
                <w:sz w:val="18"/>
              </w:rPr>
              <w:t>0.68</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8"/>
              <w:jc w:val="right"/>
              <w:rPr>
                <w:rFonts w:ascii="Times New Roman" w:hAnsi="Times New Roman" w:cs="Times New Roman" w:eastAsia="Times New Roman" w:hint="default"/>
                <w:sz w:val="18"/>
                <w:szCs w:val="18"/>
              </w:rPr>
            </w:pPr>
            <w:r>
              <w:rPr>
                <w:rFonts w:ascii="Times New Roman"/>
                <w:spacing w:val="-1"/>
                <w:sz w:val="18"/>
              </w:rPr>
              <w:t>541.27</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60"/>
              <w:jc w:val="right"/>
              <w:rPr>
                <w:rFonts w:ascii="Times New Roman" w:hAnsi="Times New Roman" w:cs="Times New Roman" w:eastAsia="Times New Roman" w:hint="default"/>
                <w:sz w:val="18"/>
                <w:szCs w:val="18"/>
              </w:rPr>
            </w:pPr>
            <w:r>
              <w:rPr>
                <w:rFonts w:ascii="Times New Roman"/>
                <w:spacing w:val="-1"/>
                <w:sz w:val="18"/>
              </w:rPr>
              <w:t>0.84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0"/>
              <w:jc w:val="right"/>
              <w:rPr>
                <w:rFonts w:ascii="Times New Roman" w:hAnsi="Times New Roman" w:cs="Times New Roman" w:eastAsia="Times New Roman" w:hint="default"/>
                <w:sz w:val="18"/>
                <w:szCs w:val="18"/>
              </w:rPr>
            </w:pPr>
            <w:r>
              <w:rPr>
                <w:rFonts w:ascii="Times New Roman"/>
                <w:spacing w:val="-1"/>
                <w:sz w:val="18"/>
              </w:rPr>
              <w:t>-8.33</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45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right="62"/>
              <w:jc w:val="right"/>
              <w:rPr>
                <w:rFonts w:ascii="宋体" w:hAnsi="宋体" w:cs="宋体" w:eastAsia="宋体" w:hint="default"/>
                <w:sz w:val="18"/>
                <w:szCs w:val="18"/>
              </w:rPr>
            </w:pPr>
            <w:r>
              <w:rPr>
                <w:rFonts w:ascii="宋体" w:hAnsi="宋体" w:cs="宋体" w:eastAsia="宋体" w:hint="default"/>
                <w:sz w:val="18"/>
                <w:szCs w:val="18"/>
              </w:rPr>
              <w:t>其他流动资产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2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40"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25"/>
              <w:ind w:left="422" w:right="151" w:hanging="269"/>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37"/>
              <w:jc w:val="right"/>
              <w:rPr>
                <w:rFonts w:ascii="Times New Roman" w:hAnsi="Times New Roman" w:cs="Times New Roman" w:eastAsia="Times New Roman" w:hint="default"/>
                <w:sz w:val="18"/>
                <w:szCs w:val="18"/>
              </w:rPr>
            </w:pPr>
            <w:r>
              <w:rPr>
                <w:rFonts w:ascii="Times New Roman"/>
                <w:b/>
                <w:spacing w:val="-1"/>
                <w:sz w:val="18"/>
              </w:rPr>
              <w:t>13,671.70</w:t>
            </w:r>
            <w:r>
              <w:rPr>
                <w:rFonts w:ascii="Times New Roman"/>
                <w:spacing w:val="-1"/>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58"/>
              <w:jc w:val="right"/>
              <w:rPr>
                <w:rFonts w:ascii="Times New Roman" w:hAnsi="Times New Roman" w:cs="Times New Roman" w:eastAsia="Times New Roman" w:hint="default"/>
                <w:sz w:val="18"/>
                <w:szCs w:val="18"/>
              </w:rPr>
            </w:pPr>
            <w:r>
              <w:rPr>
                <w:rFonts w:ascii="Times New Roman"/>
                <w:b/>
                <w:sz w:val="18"/>
              </w:rPr>
              <w:t>18.86</w:t>
            </w:r>
            <w:r>
              <w:rPr>
                <w:rFonts w:ascii="Times New Roman"/>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37"/>
              <w:jc w:val="right"/>
              <w:rPr>
                <w:rFonts w:ascii="Times New Roman" w:hAnsi="Times New Roman" w:cs="Times New Roman" w:eastAsia="Times New Roman" w:hint="default"/>
                <w:sz w:val="18"/>
                <w:szCs w:val="18"/>
              </w:rPr>
            </w:pPr>
            <w:r>
              <w:rPr>
                <w:rFonts w:ascii="Times New Roman"/>
                <w:b/>
                <w:spacing w:val="-1"/>
                <w:sz w:val="18"/>
              </w:rPr>
              <w:t>10,722.98</w:t>
            </w:r>
            <w:r>
              <w:rPr>
                <w:rFonts w:ascii="Times New Roman"/>
                <w:spacing w:val="-1"/>
                <w:sz w:val="18"/>
              </w:rPr>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60"/>
              <w:jc w:val="right"/>
              <w:rPr>
                <w:rFonts w:ascii="Times New Roman" w:hAnsi="Times New Roman" w:cs="Times New Roman" w:eastAsia="Times New Roman" w:hint="default"/>
                <w:sz w:val="18"/>
                <w:szCs w:val="18"/>
              </w:rPr>
            </w:pPr>
            <w:r>
              <w:rPr>
                <w:rFonts w:ascii="Times New Roman"/>
                <w:b/>
                <w:sz w:val="18"/>
              </w:rPr>
              <w:t>16.70</w:t>
            </w:r>
            <w:r>
              <w:rPr>
                <w:rFonts w:ascii="Times New Roman"/>
                <w:sz w:val="18"/>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218"/>
              <w:jc w:val="right"/>
              <w:rPr>
                <w:rFonts w:ascii="Times New Roman" w:hAnsi="Times New Roman" w:cs="Times New Roman" w:eastAsia="Times New Roman" w:hint="default"/>
                <w:sz w:val="18"/>
                <w:szCs w:val="18"/>
              </w:rPr>
            </w:pPr>
            <w:r>
              <w:rPr>
                <w:rFonts w:ascii="Times New Roman"/>
                <w:b/>
                <w:sz w:val="18"/>
              </w:rPr>
              <w:t>27.50</w:t>
            </w:r>
            <w:r>
              <w:rPr>
                <w:rFonts w:ascii="Times New Roman"/>
                <w:sz w:val="18"/>
              </w:rPr>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41"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right="153"/>
              <w:jc w:val="right"/>
              <w:rPr>
                <w:rFonts w:ascii="宋体" w:hAnsi="宋体" w:cs="宋体" w:eastAsia="宋体" w:hint="default"/>
                <w:sz w:val="18"/>
                <w:szCs w:val="18"/>
              </w:rPr>
            </w:pPr>
            <w:r>
              <w:rPr>
                <w:rFonts w:ascii="宋体" w:hAnsi="宋体" w:cs="宋体" w:eastAsia="宋体" w:hint="default"/>
                <w:sz w:val="18"/>
                <w:szCs w:val="18"/>
              </w:rPr>
              <w:t>长期应收款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7"/>
              <w:jc w:val="right"/>
              <w:rPr>
                <w:rFonts w:ascii="Times New Roman" w:hAnsi="Times New Roman" w:cs="Times New Roman" w:eastAsia="Times New Roman" w:hint="default"/>
                <w:sz w:val="18"/>
                <w:szCs w:val="18"/>
              </w:rPr>
            </w:pPr>
            <w:r>
              <w:rPr>
                <w:rFonts w:ascii="Times New Roman"/>
                <w:w w:val="95"/>
                <w:sz w:val="18"/>
              </w:rPr>
              <w:t>2,608.19</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60"/>
              <w:jc w:val="right"/>
              <w:rPr>
                <w:rFonts w:ascii="Times New Roman" w:hAnsi="Times New Roman" w:cs="Times New Roman" w:eastAsia="Times New Roman" w:hint="default"/>
                <w:sz w:val="18"/>
                <w:szCs w:val="18"/>
              </w:rPr>
            </w:pPr>
            <w:r>
              <w:rPr>
                <w:rFonts w:ascii="Times New Roman"/>
                <w:spacing w:val="-1"/>
                <w:sz w:val="18"/>
              </w:rPr>
              <w:t>3.60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6"/>
              <w:jc w:val="right"/>
              <w:rPr>
                <w:rFonts w:ascii="Times New Roman" w:hAnsi="Times New Roman" w:cs="Times New Roman" w:eastAsia="Times New Roman" w:hint="default"/>
                <w:sz w:val="18"/>
                <w:szCs w:val="18"/>
              </w:rPr>
            </w:pPr>
            <w:r>
              <w:rPr>
                <w:rFonts w:ascii="Times New Roman"/>
                <w:spacing w:val="-2"/>
                <w:w w:val="95"/>
                <w:sz w:val="18"/>
              </w:rPr>
              <w:t>111.03</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60"/>
              <w:jc w:val="right"/>
              <w:rPr>
                <w:rFonts w:ascii="Times New Roman" w:hAnsi="Times New Roman" w:cs="Times New Roman" w:eastAsia="Times New Roman" w:hint="default"/>
                <w:sz w:val="18"/>
                <w:szCs w:val="18"/>
              </w:rPr>
            </w:pPr>
            <w:r>
              <w:rPr>
                <w:rFonts w:ascii="Times New Roman"/>
                <w:spacing w:val="-1"/>
                <w:sz w:val="18"/>
              </w:rPr>
              <w:t>0.17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0"/>
              <w:jc w:val="right"/>
              <w:rPr>
                <w:rFonts w:ascii="Times New Roman" w:hAnsi="Times New Roman" w:cs="Times New Roman" w:eastAsia="Times New Roman" w:hint="default"/>
                <w:sz w:val="18"/>
                <w:szCs w:val="18"/>
              </w:rPr>
            </w:pPr>
            <w:r>
              <w:rPr>
                <w:rFonts w:ascii="Times New Roman"/>
                <w:sz w:val="18"/>
              </w:rPr>
              <w:t>2249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12" w:lineRule="exact"/>
              <w:ind w:left="-1" w:right="0"/>
              <w:jc w:val="left"/>
              <w:rPr>
                <w:rFonts w:ascii="宋体" w:hAnsi="宋体" w:cs="宋体" w:eastAsia="宋体" w:hint="default"/>
                <w:sz w:val="18"/>
                <w:szCs w:val="18"/>
              </w:rPr>
            </w:pPr>
            <w:r>
              <w:rPr>
                <w:rFonts w:ascii="宋体" w:hAnsi="宋体" w:cs="宋体" w:eastAsia="宋体" w:hint="default"/>
                <w:sz w:val="18"/>
                <w:szCs w:val="18"/>
              </w:rPr>
              <w:t>系新增西安数字城管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项</w:t>
            </w:r>
          </w:p>
          <w:p>
            <w:pPr>
              <w:pStyle w:val="TableParagraph"/>
              <w:spacing w:line="229" w:lineRule="exact"/>
              <w:ind w:left="-1" w:right="0"/>
              <w:jc w:val="left"/>
              <w:rPr>
                <w:rFonts w:ascii="宋体" w:hAnsi="宋体" w:cs="宋体" w:eastAsia="宋体" w:hint="default"/>
                <w:sz w:val="18"/>
                <w:szCs w:val="18"/>
              </w:rPr>
            </w:pPr>
            <w:r>
              <w:rPr>
                <w:rFonts w:ascii="宋体" w:hAnsi="宋体" w:cs="宋体" w:eastAsia="宋体" w:hint="default"/>
                <w:sz w:val="18"/>
                <w:szCs w:val="18"/>
              </w:rPr>
              <w:t>目分期收款所致</w:t>
            </w:r>
          </w:p>
        </w:tc>
      </w:tr>
      <w:tr>
        <w:trPr>
          <w:trHeight w:val="538"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3"/>
              <w:ind w:right="62"/>
              <w:jc w:val="right"/>
              <w:rPr>
                <w:rFonts w:ascii="宋体" w:hAnsi="宋体" w:cs="宋体" w:eastAsia="宋体" w:hint="default"/>
                <w:sz w:val="18"/>
                <w:szCs w:val="18"/>
              </w:rPr>
            </w:pPr>
            <w:r>
              <w:rPr>
                <w:rFonts w:ascii="宋体" w:hAnsi="宋体" w:cs="宋体" w:eastAsia="宋体" w:hint="default"/>
                <w:sz w:val="18"/>
                <w:szCs w:val="18"/>
              </w:rPr>
              <w:t>长期股权投资</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7"/>
              <w:jc w:val="right"/>
              <w:rPr>
                <w:rFonts w:ascii="Times New Roman" w:hAnsi="Times New Roman" w:cs="Times New Roman" w:eastAsia="Times New Roman" w:hint="default"/>
                <w:sz w:val="18"/>
                <w:szCs w:val="18"/>
              </w:rPr>
            </w:pPr>
            <w:r>
              <w:rPr>
                <w:rFonts w:ascii="Times New Roman"/>
                <w:w w:val="95"/>
                <w:sz w:val="18"/>
              </w:rPr>
              <w:t>1,376.08</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60"/>
              <w:jc w:val="right"/>
              <w:rPr>
                <w:rFonts w:ascii="Times New Roman" w:hAnsi="Times New Roman" w:cs="Times New Roman" w:eastAsia="Times New Roman" w:hint="default"/>
                <w:sz w:val="18"/>
                <w:szCs w:val="18"/>
              </w:rPr>
            </w:pPr>
            <w:r>
              <w:rPr>
                <w:rFonts w:ascii="Times New Roman"/>
                <w:spacing w:val="-1"/>
                <w:sz w:val="18"/>
              </w:rPr>
              <w:t>1.90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6"/>
              <w:jc w:val="right"/>
              <w:rPr>
                <w:rFonts w:ascii="Times New Roman" w:hAnsi="Times New Roman" w:cs="Times New Roman" w:eastAsia="Times New Roman" w:hint="default"/>
                <w:sz w:val="18"/>
                <w:szCs w:val="18"/>
              </w:rPr>
            </w:pPr>
            <w:r>
              <w:rPr>
                <w:rFonts w:ascii="Times New Roman"/>
                <w:w w:val="95"/>
                <w:sz w:val="18"/>
              </w:rPr>
              <w:t>1,218.76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60"/>
              <w:jc w:val="right"/>
              <w:rPr>
                <w:rFonts w:ascii="Times New Roman" w:hAnsi="Times New Roman" w:cs="Times New Roman" w:eastAsia="Times New Roman" w:hint="default"/>
                <w:sz w:val="18"/>
                <w:szCs w:val="18"/>
              </w:rPr>
            </w:pPr>
            <w:r>
              <w:rPr>
                <w:rFonts w:ascii="Times New Roman"/>
                <w:spacing w:val="-1"/>
                <w:sz w:val="18"/>
              </w:rPr>
              <w:t>1.90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0"/>
              <w:jc w:val="right"/>
              <w:rPr>
                <w:rFonts w:ascii="Times New Roman" w:hAnsi="Times New Roman" w:cs="Times New Roman" w:eastAsia="Times New Roman" w:hint="default"/>
                <w:sz w:val="18"/>
                <w:szCs w:val="18"/>
              </w:rPr>
            </w:pPr>
            <w:r>
              <w:rPr>
                <w:rFonts w:ascii="Times New Roman"/>
                <w:sz w:val="18"/>
              </w:rPr>
              <w:t>12.91</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40"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6"/>
              <w:ind w:right="62"/>
              <w:jc w:val="right"/>
              <w:rPr>
                <w:rFonts w:ascii="宋体" w:hAnsi="宋体" w:cs="宋体" w:eastAsia="宋体" w:hint="default"/>
                <w:sz w:val="18"/>
                <w:szCs w:val="18"/>
              </w:rPr>
            </w:pPr>
            <w:r>
              <w:rPr>
                <w:rFonts w:ascii="宋体" w:hAnsi="宋体" w:cs="宋体" w:eastAsia="宋体" w:hint="default"/>
                <w:sz w:val="18"/>
                <w:szCs w:val="18"/>
              </w:rPr>
              <w:t>投资性房地产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6"/>
              <w:jc w:val="right"/>
              <w:rPr>
                <w:rFonts w:ascii="Times New Roman" w:hAnsi="Times New Roman" w:cs="Times New Roman" w:eastAsia="Times New Roman" w:hint="default"/>
                <w:sz w:val="18"/>
                <w:szCs w:val="18"/>
              </w:rPr>
            </w:pPr>
            <w:r>
              <w:rPr>
                <w:rFonts w:ascii="Times New Roman"/>
                <w:spacing w:val="-1"/>
                <w:sz w:val="18"/>
              </w:rPr>
              <w:t>689.22</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60"/>
              <w:jc w:val="right"/>
              <w:rPr>
                <w:rFonts w:ascii="Times New Roman" w:hAnsi="Times New Roman" w:cs="Times New Roman" w:eastAsia="Times New Roman" w:hint="default"/>
                <w:sz w:val="18"/>
                <w:szCs w:val="18"/>
              </w:rPr>
            </w:pPr>
            <w:r>
              <w:rPr>
                <w:rFonts w:ascii="Times New Roman"/>
                <w:spacing w:val="-1"/>
                <w:sz w:val="18"/>
              </w:rPr>
              <w:t>0.95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3"/>
              <w:ind w:right="22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1" w:right="0"/>
              <w:jc w:val="left"/>
              <w:rPr>
                <w:rFonts w:ascii="宋体" w:hAnsi="宋体" w:cs="宋体" w:eastAsia="宋体" w:hint="default"/>
                <w:sz w:val="18"/>
                <w:szCs w:val="18"/>
              </w:rPr>
            </w:pPr>
            <w:r>
              <w:rPr>
                <w:rFonts w:ascii="宋体" w:hAnsi="宋体" w:cs="宋体" w:eastAsia="宋体" w:hint="default"/>
                <w:sz w:val="18"/>
                <w:szCs w:val="18"/>
              </w:rPr>
              <w:t>系公司将原科技财富中心</w:t>
            </w: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办公用房出租后所形成</w:t>
            </w:r>
          </w:p>
        </w:tc>
      </w:tr>
      <w:tr>
        <w:trPr>
          <w:trHeight w:val="80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6,193.66</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z w:val="18"/>
              </w:rPr>
              <w:t>8.55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6,968.55</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z w:val="18"/>
              </w:rPr>
              <w:t>10.85</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pacing w:val="-1"/>
                <w:w w:val="95"/>
                <w:sz w:val="18"/>
              </w:rPr>
              <w:t>-11.12</w:t>
            </w:r>
            <w:r>
              <w:rPr>
                <w:rFonts w:ascii="Times New Roman"/>
                <w:spacing w:val="-1"/>
                <w:sz w:val="18"/>
              </w:rPr>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703"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2,139.34</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2.95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2,051.85</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3.20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20"/>
              <w:jc w:val="right"/>
              <w:rPr>
                <w:rFonts w:ascii="Times New Roman" w:hAnsi="Times New Roman" w:cs="Times New Roman" w:eastAsia="Times New Roman" w:hint="default"/>
                <w:sz w:val="18"/>
                <w:szCs w:val="18"/>
              </w:rPr>
            </w:pPr>
            <w:r>
              <w:rPr>
                <w:rFonts w:ascii="Times New Roman"/>
                <w:spacing w:val="-1"/>
                <w:sz w:val="18"/>
              </w:rPr>
              <w:t>4.26</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71"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商誉</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131.21</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0.18</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38"/>
              <w:jc w:val="right"/>
              <w:rPr>
                <w:rFonts w:ascii="Times New Roman" w:hAnsi="Times New Roman" w:cs="Times New Roman" w:eastAsia="Times New Roman" w:hint="default"/>
                <w:sz w:val="18"/>
                <w:szCs w:val="18"/>
              </w:rPr>
            </w:pPr>
            <w:r>
              <w:rPr>
                <w:rFonts w:ascii="Times New Roman"/>
                <w:spacing w:val="-1"/>
                <w:sz w:val="18"/>
              </w:rPr>
              <w:t>131.21</w:t>
            </w:r>
          </w:p>
        </w:tc>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z w:val="18"/>
              </w:rPr>
              <w:t>0.2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z w:val="18"/>
              </w:rPr>
              <w:t>0</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74" w:hRule="exact"/>
        </w:trPr>
        <w:tc>
          <w:tcPr>
            <w:tcW w:w="12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8"/>
              <w:ind w:right="127"/>
              <w:jc w:val="right"/>
              <w:rPr>
                <w:rFonts w:ascii="宋体" w:hAnsi="宋体" w:cs="宋体" w:eastAsia="宋体" w:hint="default"/>
                <w:sz w:val="18"/>
                <w:szCs w:val="18"/>
              </w:rPr>
            </w:pPr>
            <w:r>
              <w:rPr>
                <w:rFonts w:ascii="宋体" w:hAnsi="宋体" w:cs="宋体" w:eastAsia="宋体" w:hint="default"/>
                <w:sz w:val="18"/>
                <w:szCs w:val="18"/>
              </w:rPr>
              <w:t>长期待摊费用</w:t>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138.30</w:t>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0.19</w:t>
            </w:r>
          </w:p>
        </w:tc>
        <w:tc>
          <w:tcPr>
            <w:tcW w:w="1138" w:type="dxa"/>
            <w:tcBorders>
              <w:top w:val="single" w:sz="6" w:space="0" w:color="000000"/>
              <w:left w:val="single" w:sz="6" w:space="0" w:color="000000"/>
              <w:bottom w:val="single" w:sz="12" w:space="0" w:color="000000"/>
              <w:right w:val="single" w:sz="6" w:space="0" w:color="000000"/>
            </w:tcBorders>
          </w:tcPr>
          <w:p>
            <w:pP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6" w:space="0" w:color="000000"/>
              <w:left w:val="single" w:sz="6" w:space="0" w:color="000000"/>
              <w:bottom w:val="single" w:sz="12" w:space="0" w:color="000000"/>
              <w:right w:val="single" w:sz="6" w:space="0" w:color="000000"/>
            </w:tcBorders>
          </w:tcPr>
          <w:p>
            <w:pPr/>
          </w:p>
        </w:tc>
        <w:tc>
          <w:tcPr>
            <w:tcW w:w="218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84" w:footer="1007" w:top="1140" w:bottom="1200" w:left="1660" w:right="1260"/>
        </w:sectPr>
      </w:pPr>
    </w:p>
    <w:p>
      <w:pPr>
        <w:spacing w:line="240" w:lineRule="auto" w:before="6"/>
        <w:rPr>
          <w:rFonts w:ascii="宋体" w:hAnsi="宋体" w:cs="宋体" w:eastAsia="宋体" w:hint="default"/>
          <w:b/>
          <w:bCs/>
          <w:sz w:val="21"/>
          <w:szCs w:val="21"/>
        </w:rPr>
      </w:pPr>
    </w:p>
    <w:tbl>
      <w:tblPr>
        <w:tblW w:w="0" w:type="auto"/>
        <w:jc w:val="left"/>
        <w:tblInd w:w="111" w:type="dxa"/>
        <w:tblLayout w:type="fixed"/>
        <w:tblCellMar>
          <w:top w:w="0" w:type="dxa"/>
          <w:left w:w="0" w:type="dxa"/>
          <w:bottom w:w="0" w:type="dxa"/>
          <w:right w:w="0" w:type="dxa"/>
        </w:tblCellMar>
        <w:tblLook w:val="01E0"/>
      </w:tblPr>
      <w:tblGrid>
        <w:gridCol w:w="1231"/>
        <w:gridCol w:w="1340"/>
        <w:gridCol w:w="989"/>
        <w:gridCol w:w="1138"/>
        <w:gridCol w:w="989"/>
        <w:gridCol w:w="852"/>
        <w:gridCol w:w="2182"/>
      </w:tblGrid>
      <w:tr>
        <w:trPr>
          <w:trHeight w:val="848" w:hRule="exact"/>
        </w:trPr>
        <w:tc>
          <w:tcPr>
            <w:tcW w:w="123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32" w:lineRule="exact"/>
              <w:ind w:left="513" w:right="62" w:hanging="449"/>
              <w:jc w:val="left"/>
              <w:rPr>
                <w:rFonts w:ascii="宋体" w:hAnsi="宋体" w:cs="宋体" w:eastAsia="宋体" w:hint="default"/>
                <w:sz w:val="18"/>
                <w:szCs w:val="18"/>
              </w:rPr>
            </w:pPr>
            <w:r>
              <w:rPr>
                <w:rFonts w:ascii="宋体" w:hAnsi="宋体" w:cs="宋体" w:eastAsia="宋体" w:hint="default"/>
                <w:sz w:val="18"/>
                <w:szCs w:val="18"/>
              </w:rPr>
              <w:t>递延所得税资 产</w:t>
            </w:r>
          </w:p>
        </w:tc>
        <w:tc>
          <w:tcPr>
            <w:tcW w:w="13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1"/>
                <w:sz w:val="18"/>
              </w:rPr>
              <w:t>395.70</w:t>
            </w:r>
          </w:p>
        </w:tc>
        <w:tc>
          <w:tcPr>
            <w:tcW w:w="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61"/>
              <w:jc w:val="right"/>
              <w:rPr>
                <w:rFonts w:ascii="Times New Roman" w:hAnsi="Times New Roman" w:cs="Times New Roman" w:eastAsia="Times New Roman" w:hint="default"/>
                <w:sz w:val="18"/>
                <w:szCs w:val="18"/>
              </w:rPr>
            </w:pPr>
            <w:r>
              <w:rPr>
                <w:rFonts w:ascii="Times New Roman"/>
                <w:sz w:val="18"/>
              </w:rPr>
              <w:t>0.55</w:t>
            </w:r>
          </w:p>
        </w:tc>
        <w:tc>
          <w:tcPr>
            <w:tcW w:w="11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38"/>
              <w:jc w:val="right"/>
              <w:rPr>
                <w:rFonts w:ascii="Times New Roman" w:hAnsi="Times New Roman" w:cs="Times New Roman" w:eastAsia="Times New Roman" w:hint="default"/>
                <w:sz w:val="18"/>
                <w:szCs w:val="18"/>
              </w:rPr>
            </w:pPr>
            <w:r>
              <w:rPr>
                <w:rFonts w:ascii="Times New Roman"/>
                <w:spacing w:val="-1"/>
                <w:sz w:val="18"/>
              </w:rPr>
              <w:t>241.57</w:t>
            </w:r>
          </w:p>
        </w:tc>
        <w:tc>
          <w:tcPr>
            <w:tcW w:w="9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pacing w:val="-1"/>
                <w:sz w:val="18"/>
              </w:rPr>
              <w:t>0.38</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sz w:val="18"/>
              </w:rPr>
              <w:t>63.80</w:t>
            </w:r>
          </w:p>
        </w:tc>
        <w:tc>
          <w:tcPr>
            <w:tcW w:w="2182" w:type="dxa"/>
            <w:tcBorders>
              <w:top w:val="single" w:sz="12" w:space="0" w:color="000000"/>
              <w:left w:val="single" w:sz="6" w:space="0" w:color="000000"/>
              <w:bottom w:val="single" w:sz="6" w:space="0" w:color="000000"/>
              <w:right w:val="single" w:sz="12" w:space="0" w:color="000000"/>
            </w:tcBorders>
          </w:tcPr>
          <w:p>
            <w:pPr>
              <w:pStyle w:val="TableParagraph"/>
              <w:spacing w:line="207" w:lineRule="exact"/>
              <w:ind w:left="-1" w:right="0"/>
              <w:jc w:val="left"/>
              <w:rPr>
                <w:rFonts w:ascii="宋体" w:hAnsi="宋体" w:cs="宋体" w:eastAsia="宋体" w:hint="default"/>
                <w:sz w:val="18"/>
                <w:szCs w:val="18"/>
              </w:rPr>
            </w:pPr>
            <w:r>
              <w:rPr>
                <w:rFonts w:ascii="宋体" w:hAnsi="宋体" w:cs="宋体" w:eastAsia="宋体" w:hint="default"/>
                <w:sz w:val="18"/>
                <w:szCs w:val="18"/>
              </w:rPr>
              <w:t>主要系本年对应收款项计</w:t>
            </w:r>
          </w:p>
          <w:p>
            <w:pPr>
              <w:pStyle w:val="TableParagraph"/>
              <w:spacing w:line="232" w:lineRule="exact" w:before="23"/>
              <w:ind w:left="-1" w:right="178"/>
              <w:jc w:val="left"/>
              <w:rPr>
                <w:rFonts w:ascii="宋体" w:hAnsi="宋体" w:cs="宋体" w:eastAsia="宋体" w:hint="default"/>
                <w:sz w:val="18"/>
                <w:szCs w:val="18"/>
              </w:rPr>
            </w:pPr>
            <w:r>
              <w:rPr>
                <w:rFonts w:ascii="宋体" w:hAnsi="宋体" w:cs="宋体" w:eastAsia="宋体" w:hint="default"/>
                <w:sz w:val="18"/>
                <w:szCs w:val="18"/>
              </w:rPr>
              <w:t>提坏账准备导致可抵扣暂 时性差异增加所致</w:t>
            </w:r>
          </w:p>
        </w:tc>
      </w:tr>
      <w:tr>
        <w:trPr>
          <w:trHeight w:val="557"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32" w:lineRule="exact" w:before="33"/>
              <w:ind w:left="513" w:right="62" w:hanging="449"/>
              <w:jc w:val="left"/>
              <w:rPr>
                <w:rFonts w:ascii="宋体" w:hAnsi="宋体" w:cs="宋体" w:eastAsia="宋体" w:hint="default"/>
                <w:sz w:val="18"/>
                <w:szCs w:val="18"/>
              </w:rPr>
            </w:pPr>
            <w:r>
              <w:rPr>
                <w:rFonts w:ascii="宋体" w:hAnsi="宋体" w:cs="宋体" w:eastAsia="宋体" w:hint="default"/>
                <w:sz w:val="18"/>
                <w:szCs w:val="18"/>
              </w:rPr>
              <w:t>其他非流动资 产</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89"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420" w:hRule="exact"/>
        </w:trPr>
        <w:tc>
          <w:tcPr>
            <w:tcW w:w="123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37"/>
              <w:jc w:val="right"/>
              <w:rPr>
                <w:rFonts w:ascii="Times New Roman" w:hAnsi="Times New Roman" w:cs="Times New Roman" w:eastAsia="Times New Roman" w:hint="default"/>
                <w:sz w:val="18"/>
                <w:szCs w:val="18"/>
              </w:rPr>
            </w:pPr>
            <w:r>
              <w:rPr>
                <w:rFonts w:ascii="Times New Roman"/>
                <w:b/>
                <w:spacing w:val="-1"/>
                <w:sz w:val="18"/>
              </w:rPr>
              <w:t>72,480.03</w:t>
            </w:r>
            <w:r>
              <w:rPr>
                <w:rFonts w:ascii="Times New Roman"/>
                <w:sz w:val="18"/>
              </w:rPr>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58"/>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113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37"/>
              <w:jc w:val="right"/>
              <w:rPr>
                <w:rFonts w:ascii="Times New Roman" w:hAnsi="Times New Roman" w:cs="Times New Roman" w:eastAsia="Times New Roman" w:hint="default"/>
                <w:sz w:val="18"/>
                <w:szCs w:val="18"/>
              </w:rPr>
            </w:pPr>
            <w:r>
              <w:rPr>
                <w:rFonts w:ascii="Times New Roman"/>
                <w:b/>
                <w:spacing w:val="-1"/>
                <w:sz w:val="18"/>
              </w:rPr>
              <w:t>64,216.96</w:t>
            </w:r>
            <w:r>
              <w:rPr>
                <w:rFonts w:ascii="Times New Roman"/>
                <w:spacing w:val="-1"/>
                <w:sz w:val="18"/>
              </w:rPr>
            </w:r>
          </w:p>
        </w:tc>
        <w:tc>
          <w:tcPr>
            <w:tcW w:w="9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58"/>
              <w:jc w:val="right"/>
              <w:rPr>
                <w:rFonts w:ascii="Times New Roman" w:hAnsi="Times New Roman" w:cs="Times New Roman" w:eastAsia="Times New Roman" w:hint="default"/>
                <w:sz w:val="18"/>
                <w:szCs w:val="18"/>
              </w:rPr>
            </w:pPr>
            <w:r>
              <w:rPr>
                <w:rFonts w:ascii="Times New Roman"/>
                <w:b/>
                <w:sz w:val="18"/>
              </w:rPr>
              <w:t>100</w:t>
            </w:r>
            <w:r>
              <w:rPr>
                <w:rFonts w:ascii="Times New Roman"/>
                <w:sz w:val="18"/>
              </w:rPr>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6"/>
              <w:ind w:right="11"/>
              <w:jc w:val="center"/>
              <w:rPr>
                <w:rFonts w:ascii="Times New Roman" w:hAnsi="Times New Roman" w:cs="Times New Roman" w:eastAsia="Times New Roman" w:hint="default"/>
                <w:sz w:val="18"/>
                <w:szCs w:val="18"/>
              </w:rPr>
            </w:pPr>
            <w:r>
              <w:rPr>
                <w:rFonts w:ascii="Times New Roman"/>
                <w:b/>
                <w:sz w:val="18"/>
              </w:rPr>
              <w:t>12.87</w:t>
            </w:r>
            <w:r>
              <w:rPr>
                <w:rFonts w:ascii="Times New Roman"/>
                <w:sz w:val="18"/>
              </w:rPr>
            </w:r>
          </w:p>
        </w:tc>
        <w:tc>
          <w:tcPr>
            <w:tcW w:w="218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b/>
          <w:bCs/>
          <w:sz w:val="23"/>
          <w:szCs w:val="23"/>
        </w:rPr>
      </w:pPr>
    </w:p>
    <w:p>
      <w:pPr>
        <w:pStyle w:val="Heading5"/>
        <w:spacing w:line="240" w:lineRule="auto" w:before="26"/>
        <w:ind w:left="140" w:right="0"/>
        <w:jc w:val="left"/>
        <w:rPr>
          <w:b w:val="0"/>
          <w:bCs w:val="0"/>
        </w:rPr>
      </w:pPr>
      <w:r>
        <w:rPr/>
        <w:t>（</w:t>
      </w:r>
      <w:r>
        <w:rPr>
          <w:rFonts w:ascii="Times New Roman" w:hAnsi="Times New Roman" w:cs="Times New Roman" w:eastAsia="Times New Roman" w:hint="default"/>
        </w:rPr>
        <w:t>8</w:t>
      </w:r>
      <w:r>
        <w:rPr/>
        <w:t>）报告期内公司负债构成情况</w:t>
      </w:r>
      <w:r>
        <w:rPr>
          <w:b w:val="0"/>
          <w:bCs w:val="0"/>
        </w:rPr>
      </w:r>
    </w:p>
    <w:p>
      <w:pPr>
        <w:spacing w:line="240" w:lineRule="auto" w:before="6"/>
        <w:rPr>
          <w:rFonts w:ascii="宋体" w:hAnsi="宋体" w:cs="宋体" w:eastAsia="宋体" w:hint="default"/>
          <w:b/>
          <w:bCs/>
          <w:sz w:val="26"/>
          <w:szCs w:val="26"/>
        </w:rPr>
      </w:pPr>
    </w:p>
    <w:p>
      <w:pPr>
        <w:spacing w:before="36"/>
        <w:ind w:left="0" w:right="624"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单位：人民币（万元）</w:t>
      </w:r>
      <w:r>
        <w:rPr>
          <w:rFonts w:ascii="宋体" w:hAnsi="宋体" w:cs="宋体" w:eastAsia="宋体" w:hint="default"/>
          <w:spacing w:val="-3"/>
          <w:sz w:val="21"/>
          <w:szCs w:val="21"/>
        </w:rPr>
      </w:r>
    </w:p>
    <w:p>
      <w:pPr>
        <w:spacing w:line="240" w:lineRule="auto" w:before="7"/>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1231"/>
        <w:gridCol w:w="1340"/>
        <w:gridCol w:w="991"/>
        <w:gridCol w:w="1133"/>
        <w:gridCol w:w="991"/>
        <w:gridCol w:w="852"/>
        <w:gridCol w:w="2182"/>
      </w:tblGrid>
      <w:tr>
        <w:trPr>
          <w:trHeight w:val="404" w:hRule="exact"/>
        </w:trPr>
        <w:tc>
          <w:tcPr>
            <w:tcW w:w="1231"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b/>
                <w:bCs/>
                <w:sz w:val="21"/>
                <w:szCs w:val="21"/>
              </w:rPr>
              <w:t>负债项目</w:t>
            </w:r>
            <w:r>
              <w:rPr>
                <w:rFonts w:ascii="宋体" w:hAnsi="宋体" w:cs="宋体" w:eastAsia="宋体" w:hint="default"/>
                <w:sz w:val="21"/>
                <w:szCs w:val="21"/>
              </w:rPr>
            </w:r>
          </w:p>
        </w:tc>
        <w:tc>
          <w:tcPr>
            <w:tcW w:w="2331"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295"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12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0"/>
              <w:ind w:left="27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年</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月</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11"/>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852" w:type="dxa"/>
            <w:vMerge w:val="restart"/>
            <w:tcBorders>
              <w:top w:val="single" w:sz="12"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76" w:right="137"/>
              <w:jc w:val="center"/>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w w:val="100"/>
                <w:sz w:val="21"/>
                <w:szCs w:val="21"/>
              </w:rPr>
              <w:t> </w:t>
            </w:r>
            <w:r>
              <w:rPr>
                <w:rFonts w:ascii="宋体" w:hAnsi="宋体" w:cs="宋体" w:eastAsia="宋体" w:hint="default"/>
                <w:b/>
                <w:bCs/>
                <w:sz w:val="21"/>
                <w:szCs w:val="21"/>
              </w:rPr>
              <w:t>幅度</w:t>
            </w:r>
            <w:r>
              <w:rPr>
                <w:rFonts w:ascii="宋体" w:hAnsi="宋体" w:cs="宋体" w:eastAsia="宋体" w:hint="default"/>
                <w:sz w:val="21"/>
                <w:szCs w:val="21"/>
              </w:rPr>
            </w:r>
          </w:p>
          <w:p>
            <w:pPr>
              <w:pStyle w:val="TableParagraph"/>
              <w:spacing w:line="271" w:lineRule="exact"/>
              <w:ind w:left="136"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c>
          <w:tcPr>
            <w:tcW w:w="2182" w:type="dxa"/>
            <w:vMerge w:val="restart"/>
            <w:tcBorders>
              <w:top w:val="single" w:sz="12"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730"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1087" w:hRule="exact"/>
        </w:trPr>
        <w:tc>
          <w:tcPr>
            <w:tcW w:w="1231" w:type="dxa"/>
            <w:vMerge/>
            <w:tcBorders>
              <w:left w:val="single" w:sz="12" w:space="0" w:color="000000"/>
              <w:bottom w:val="single" w:sz="6" w:space="0" w:color="000000"/>
              <w:right w:val="single" w:sz="6" w:space="0" w:color="000000"/>
            </w:tcBorders>
          </w:tcPr>
          <w:p>
            <w:pP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3"/>
              <w:ind w:left="283" w:right="163" w:hanging="106"/>
              <w:jc w:val="left"/>
              <w:rPr>
                <w:rFonts w:ascii="宋体" w:hAnsi="宋体" w:cs="宋体" w:eastAsia="宋体" w:hint="default"/>
                <w:sz w:val="21"/>
                <w:szCs w:val="21"/>
              </w:rPr>
            </w:pPr>
            <w:r>
              <w:rPr>
                <w:rFonts w:ascii="宋体" w:hAnsi="宋体" w:cs="宋体" w:eastAsia="宋体" w:hint="default"/>
                <w:b/>
                <w:bCs/>
                <w:sz w:val="21"/>
                <w:szCs w:val="21"/>
              </w:rPr>
              <w:t>占负债</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p>
            <w:pPr>
              <w:pStyle w:val="TableParagraph"/>
              <w:spacing w:line="240" w:lineRule="auto" w:before="7"/>
              <w:ind w:left="179"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28"/>
                <w:szCs w:val="28"/>
              </w:rPr>
            </w:pPr>
          </w:p>
          <w:p>
            <w:pPr>
              <w:pStyle w:val="TableParagraph"/>
              <w:spacing w:line="240" w:lineRule="auto"/>
              <w:ind w:left="29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83"/>
              <w:ind w:left="302" w:right="144" w:hanging="106"/>
              <w:jc w:val="left"/>
              <w:rPr>
                <w:rFonts w:ascii="宋体" w:hAnsi="宋体" w:cs="宋体" w:eastAsia="宋体" w:hint="default"/>
                <w:sz w:val="21"/>
                <w:szCs w:val="21"/>
              </w:rPr>
            </w:pPr>
            <w:r>
              <w:rPr>
                <w:rFonts w:ascii="宋体" w:hAnsi="宋体" w:cs="宋体" w:eastAsia="宋体" w:hint="default"/>
                <w:b/>
                <w:bCs/>
                <w:sz w:val="21"/>
                <w:szCs w:val="21"/>
              </w:rPr>
              <w:t>占负债</w:t>
            </w:r>
            <w:r>
              <w:rPr>
                <w:rFonts w:ascii="宋体" w:hAnsi="宋体" w:cs="宋体" w:eastAsia="宋体" w:hint="default"/>
                <w:b/>
                <w:bCs/>
                <w:w w:val="100"/>
                <w:sz w:val="21"/>
                <w:szCs w:val="21"/>
              </w:rPr>
              <w:t> </w:t>
            </w:r>
            <w:r>
              <w:rPr>
                <w:rFonts w:ascii="宋体" w:hAnsi="宋体" w:cs="宋体" w:eastAsia="宋体" w:hint="default"/>
                <w:b/>
                <w:bCs/>
                <w:sz w:val="21"/>
                <w:szCs w:val="21"/>
              </w:rPr>
              <w:t>比重</w:t>
            </w:r>
            <w:r>
              <w:rPr>
                <w:rFonts w:ascii="宋体" w:hAnsi="宋体" w:cs="宋体" w:eastAsia="宋体" w:hint="default"/>
                <w:sz w:val="21"/>
                <w:szCs w:val="21"/>
              </w:rPr>
            </w:r>
          </w:p>
          <w:p>
            <w:pPr>
              <w:pStyle w:val="TableParagraph"/>
              <w:spacing w:line="240" w:lineRule="auto" w:before="7"/>
              <w:ind w:left="196"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852" w:type="dxa"/>
            <w:vMerge/>
            <w:tcBorders>
              <w:left w:val="single" w:sz="6" w:space="0" w:color="000000"/>
              <w:bottom w:val="single" w:sz="6" w:space="0" w:color="000000"/>
              <w:right w:val="single" w:sz="6" w:space="0" w:color="000000"/>
            </w:tcBorders>
          </w:tcPr>
          <w:p>
            <w:pPr/>
          </w:p>
        </w:tc>
        <w:tc>
          <w:tcPr>
            <w:tcW w:w="2182" w:type="dxa"/>
            <w:vMerge/>
            <w:tcBorders>
              <w:left w:val="single" w:sz="6" w:space="0" w:color="000000"/>
              <w:bottom w:val="single" w:sz="6" w:space="0" w:color="000000"/>
              <w:right w:val="single" w:sz="12" w:space="0" w:color="000000"/>
            </w:tcBorders>
          </w:tcPr>
          <w:p>
            <w:pPr/>
          </w:p>
        </w:tc>
      </w:tr>
      <w:tr>
        <w:trPr>
          <w:trHeight w:val="67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595.30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3.78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121.89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sz w:val="21"/>
              </w:rPr>
              <w:t>1.10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388.39</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before="92"/>
              <w:ind w:left="-1" w:right="179"/>
              <w:jc w:val="left"/>
              <w:rPr>
                <w:rFonts w:ascii="宋体" w:hAnsi="宋体" w:cs="宋体" w:eastAsia="宋体" w:hint="default"/>
                <w:sz w:val="18"/>
                <w:szCs w:val="18"/>
              </w:rPr>
            </w:pPr>
            <w:r>
              <w:rPr>
                <w:rFonts w:ascii="宋体" w:hAnsi="宋体" w:cs="宋体" w:eastAsia="宋体" w:hint="default"/>
                <w:sz w:val="18"/>
                <w:szCs w:val="18"/>
              </w:rPr>
              <w:t>本年日本超图取得短期信 用贷款所致</w:t>
            </w:r>
          </w:p>
        </w:tc>
      </w:tr>
      <w:tr>
        <w:trPr>
          <w:trHeight w:val="116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4,818.26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30.58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2,445.74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sz w:val="21"/>
              </w:rPr>
              <w:t>22.16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97.01</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主要系本年收入增长相应</w:t>
            </w:r>
          </w:p>
          <w:p>
            <w:pPr>
              <w:pStyle w:val="TableParagraph"/>
              <w:spacing w:line="237" w:lineRule="auto"/>
              <w:ind w:left="-1" w:right="55"/>
              <w:jc w:val="left"/>
              <w:rPr>
                <w:rFonts w:ascii="宋体" w:hAnsi="宋体" w:cs="宋体" w:eastAsia="宋体" w:hint="default"/>
                <w:sz w:val="18"/>
                <w:szCs w:val="18"/>
              </w:rPr>
            </w:pPr>
            <w:r>
              <w:rPr>
                <w:rFonts w:ascii="宋体" w:hAnsi="宋体" w:cs="宋体" w:eastAsia="宋体" w:hint="default"/>
                <w:spacing w:val="-5"/>
                <w:sz w:val="18"/>
                <w:szCs w:val="18"/>
              </w:rPr>
              <w:t>外包成本增加所致；此外部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分定制型软件项目收入相 关的成本费用支付进度低 于完工进度造成</w:t>
            </w:r>
          </w:p>
        </w:tc>
      </w:tr>
      <w:tr>
        <w:trPr>
          <w:trHeight w:val="70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4,356.84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27.65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4,014.99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sz w:val="21"/>
              </w:rPr>
              <w:t>36.37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8.51</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715"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1,493.87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9.48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2"/>
                <w:sz w:val="21"/>
              </w:rPr>
              <w:t>1,207.11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sz w:val="21"/>
              </w:rPr>
              <w:t>10.94</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23.76</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before="112"/>
              <w:ind w:left="-1" w:right="178"/>
              <w:jc w:val="left"/>
              <w:rPr>
                <w:rFonts w:ascii="宋体" w:hAnsi="宋体" w:cs="宋体" w:eastAsia="宋体" w:hint="default"/>
                <w:sz w:val="18"/>
                <w:szCs w:val="18"/>
              </w:rPr>
            </w:pPr>
            <w:r>
              <w:rPr>
                <w:rFonts w:ascii="宋体" w:hAnsi="宋体" w:cs="宋体" w:eastAsia="宋体" w:hint="default"/>
                <w:sz w:val="18"/>
                <w:szCs w:val="18"/>
              </w:rPr>
              <w:t>主要系人员增加及薪酬上 升所致</w:t>
            </w:r>
          </w:p>
        </w:tc>
      </w:tr>
      <w:tr>
        <w:trPr>
          <w:trHeight w:val="862"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应缴税费</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1,634.74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10.38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1,200.06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sz w:val="21"/>
              </w:rPr>
              <w:t>10.87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36.22</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9"/>
              <w:ind w:left="-1" w:right="178"/>
              <w:jc w:val="left"/>
              <w:rPr>
                <w:rFonts w:ascii="宋体" w:hAnsi="宋体" w:cs="宋体" w:eastAsia="宋体" w:hint="default"/>
                <w:sz w:val="18"/>
                <w:szCs w:val="18"/>
              </w:rPr>
            </w:pPr>
            <w:r>
              <w:rPr>
                <w:rFonts w:ascii="宋体" w:hAnsi="宋体" w:cs="宋体" w:eastAsia="宋体" w:hint="default"/>
                <w:sz w:val="18"/>
                <w:szCs w:val="18"/>
              </w:rPr>
              <w:t>主要系本年业务增长造成 所得税、营业税上升所致</w:t>
            </w:r>
          </w:p>
        </w:tc>
      </w:tr>
      <w:tr>
        <w:trPr>
          <w:trHeight w:val="698"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34"/>
              <w:jc w:val="right"/>
              <w:rPr>
                <w:rFonts w:ascii="Times New Roman" w:hAnsi="Times New Roman" w:cs="Times New Roman" w:eastAsia="Times New Roman" w:hint="default"/>
                <w:sz w:val="21"/>
                <w:szCs w:val="21"/>
              </w:rPr>
            </w:pPr>
            <w:r>
              <w:rPr>
                <w:rFonts w:ascii="Times New Roman"/>
                <w:sz w:val="21"/>
              </w:rPr>
              <w:t>0.38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0.00</w:t>
            </w:r>
          </w:p>
        </w:tc>
        <w:tc>
          <w:tcPr>
            <w:tcW w:w="113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62"/>
              <w:jc w:val="right"/>
              <w:rPr>
                <w:rFonts w:ascii="Times New Roman" w:hAnsi="Times New Roman" w:cs="Times New Roman" w:eastAsia="Times New Roman" w:hint="default"/>
                <w:sz w:val="21"/>
                <w:szCs w:val="21"/>
              </w:rPr>
            </w:pPr>
            <w:r>
              <w:rPr>
                <w:rFonts w:ascii="Times New Roman"/>
                <w:w w:val="100"/>
                <w:sz w:val="21"/>
              </w:rPr>
              <w:t>-</w:t>
            </w:r>
          </w:p>
        </w:tc>
        <w:tc>
          <w:tcPr>
            <w:tcW w:w="852"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697"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1,257.06</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7.98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670.81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sz w:val="21"/>
              </w:rPr>
              <w:t>6.08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87.40</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主要系员工垫付费用未完</w:t>
            </w:r>
          </w:p>
          <w:p>
            <w:pPr>
              <w:pStyle w:val="TableParagraph"/>
              <w:spacing w:line="232" w:lineRule="exact" w:before="23"/>
              <w:ind w:left="-1" w:right="178"/>
              <w:jc w:val="left"/>
              <w:rPr>
                <w:rFonts w:ascii="宋体" w:hAnsi="宋体" w:cs="宋体" w:eastAsia="宋体" w:hint="default"/>
                <w:sz w:val="18"/>
                <w:szCs w:val="18"/>
              </w:rPr>
            </w:pPr>
            <w:r>
              <w:rPr>
                <w:rFonts w:ascii="宋体" w:hAnsi="宋体" w:cs="宋体" w:eastAsia="宋体" w:hint="default"/>
                <w:sz w:val="18"/>
                <w:szCs w:val="18"/>
              </w:rPr>
              <w:t>成支付及支付投标保证金 等造成。</w:t>
            </w:r>
          </w:p>
        </w:tc>
      </w:tr>
      <w:tr>
        <w:trPr>
          <w:trHeight w:val="864"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32" w:lineRule="exact"/>
              <w:ind w:left="153" w:right="62" w:hanging="89"/>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378.58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2.40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477.31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sz w:val="21"/>
              </w:rPr>
              <w:t>4.32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21"/>
              <w:jc w:val="right"/>
              <w:rPr>
                <w:rFonts w:ascii="Times New Roman" w:hAnsi="Times New Roman" w:cs="Times New Roman" w:eastAsia="Times New Roman" w:hint="default"/>
                <w:sz w:val="21"/>
                <w:szCs w:val="21"/>
              </w:rPr>
            </w:pPr>
            <w:r>
              <w:rPr>
                <w:rFonts w:ascii="Times New Roman"/>
                <w:spacing w:val="-1"/>
                <w:sz w:val="21"/>
              </w:rPr>
              <w:t>-20.69</w:t>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576"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其他流动负债</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5"/>
              <w:jc w:val="right"/>
              <w:rPr>
                <w:rFonts w:ascii="Times New Roman" w:hAnsi="Times New Roman" w:cs="Times New Roman" w:eastAsia="Times New Roman" w:hint="default"/>
                <w:sz w:val="21"/>
                <w:szCs w:val="21"/>
              </w:rPr>
            </w:pPr>
            <w:r>
              <w:rPr>
                <w:rFonts w:ascii="Times New Roman"/>
                <w:sz w:val="21"/>
              </w:rPr>
              <w:t>98.61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58"/>
              <w:jc w:val="right"/>
              <w:rPr>
                <w:rFonts w:ascii="Times New Roman" w:hAnsi="Times New Roman" w:cs="Times New Roman" w:eastAsia="Times New Roman" w:hint="default"/>
                <w:sz w:val="21"/>
                <w:szCs w:val="21"/>
              </w:rPr>
            </w:pPr>
            <w:r>
              <w:rPr>
                <w:rFonts w:ascii="Times New Roman"/>
                <w:sz w:val="21"/>
              </w:rPr>
              <w:t>0.63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35"/>
              <w:jc w:val="right"/>
              <w:rPr>
                <w:rFonts w:ascii="Times New Roman" w:hAnsi="Times New Roman" w:cs="Times New Roman" w:eastAsia="Times New Roman" w:hint="default"/>
                <w:sz w:val="21"/>
                <w:szCs w:val="21"/>
              </w:rPr>
            </w:pPr>
            <w:r>
              <w:rPr>
                <w:rFonts w:ascii="Times New Roman"/>
                <w:sz w:val="21"/>
              </w:rPr>
              <w:t>55.73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61"/>
              <w:jc w:val="right"/>
              <w:rPr>
                <w:rFonts w:ascii="Times New Roman" w:hAnsi="Times New Roman" w:cs="Times New Roman" w:eastAsia="Times New Roman" w:hint="default"/>
                <w:sz w:val="21"/>
                <w:szCs w:val="21"/>
              </w:rPr>
            </w:pPr>
            <w:r>
              <w:rPr>
                <w:rFonts w:ascii="Times New Roman"/>
                <w:sz w:val="21"/>
              </w:rPr>
              <w:t>0.50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218"/>
              <w:jc w:val="right"/>
              <w:rPr>
                <w:rFonts w:ascii="Times New Roman" w:hAnsi="Times New Roman" w:cs="Times New Roman" w:eastAsia="Times New Roman" w:hint="default"/>
                <w:sz w:val="21"/>
                <w:szCs w:val="21"/>
              </w:rPr>
            </w:pPr>
            <w:r>
              <w:rPr>
                <w:rFonts w:ascii="Times New Roman"/>
                <w:sz w:val="21"/>
              </w:rPr>
              <w:t>76.95</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5"/>
              <w:ind w:left="-1" w:right="178"/>
              <w:jc w:val="left"/>
              <w:rPr>
                <w:rFonts w:ascii="宋体" w:hAnsi="宋体" w:cs="宋体" w:eastAsia="宋体" w:hint="default"/>
                <w:sz w:val="18"/>
                <w:szCs w:val="18"/>
              </w:rPr>
            </w:pPr>
            <w:r>
              <w:rPr>
                <w:rFonts w:ascii="宋体" w:hAnsi="宋体" w:cs="宋体" w:eastAsia="宋体" w:hint="default"/>
                <w:sz w:val="18"/>
                <w:szCs w:val="18"/>
              </w:rPr>
              <w:t>系本年收到需要递延确认 的政府补助增加所致</w:t>
            </w:r>
          </w:p>
        </w:tc>
      </w:tr>
      <w:tr>
        <w:trPr>
          <w:trHeight w:val="427"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5"/>
              <w:jc w:val="right"/>
              <w:rPr>
                <w:rFonts w:ascii="Times New Roman" w:hAnsi="Times New Roman" w:cs="Times New Roman" w:eastAsia="Times New Roman" w:hint="default"/>
                <w:sz w:val="21"/>
                <w:szCs w:val="21"/>
              </w:rPr>
            </w:pPr>
            <w:r>
              <w:rPr>
                <w:rFonts w:ascii="Times New Roman"/>
                <w:b/>
                <w:spacing w:val="-1"/>
                <w:sz w:val="21"/>
              </w:rPr>
              <w:t>14,633.61</w:t>
            </w:r>
            <w:r>
              <w:rPr>
                <w:rFonts w:ascii="Times New Roman"/>
                <w:spacing w:val="-1"/>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58"/>
              <w:jc w:val="right"/>
              <w:rPr>
                <w:rFonts w:ascii="Times New Roman" w:hAnsi="Times New Roman" w:cs="Times New Roman" w:eastAsia="Times New Roman" w:hint="default"/>
                <w:sz w:val="21"/>
                <w:szCs w:val="21"/>
              </w:rPr>
            </w:pPr>
            <w:r>
              <w:rPr>
                <w:rFonts w:ascii="Times New Roman"/>
                <w:b/>
                <w:sz w:val="21"/>
              </w:rPr>
              <w:t>92.88</w:t>
            </w:r>
            <w:r>
              <w:rPr>
                <w:rFonts w:ascii="Times New Roman"/>
                <w:sz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35"/>
              <w:jc w:val="right"/>
              <w:rPr>
                <w:rFonts w:ascii="Times New Roman" w:hAnsi="Times New Roman" w:cs="Times New Roman" w:eastAsia="Times New Roman" w:hint="default"/>
                <w:sz w:val="21"/>
                <w:szCs w:val="21"/>
              </w:rPr>
            </w:pPr>
            <w:r>
              <w:rPr>
                <w:rFonts w:ascii="Times New Roman"/>
                <w:b/>
                <w:spacing w:val="-1"/>
                <w:sz w:val="21"/>
              </w:rPr>
              <w:t>10,193.64</w:t>
            </w:r>
            <w:r>
              <w:rPr>
                <w:rFonts w:ascii="Times New Roman"/>
                <w:spacing w:val="-1"/>
                <w:sz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61"/>
              <w:jc w:val="right"/>
              <w:rPr>
                <w:rFonts w:ascii="Times New Roman" w:hAnsi="Times New Roman" w:cs="Times New Roman" w:eastAsia="Times New Roman" w:hint="default"/>
                <w:sz w:val="21"/>
                <w:szCs w:val="21"/>
              </w:rPr>
            </w:pPr>
            <w:r>
              <w:rPr>
                <w:rFonts w:ascii="Times New Roman"/>
                <w:b/>
                <w:sz w:val="21"/>
              </w:rPr>
              <w:t>92.34</w:t>
            </w:r>
            <w:r>
              <w:rPr>
                <w:rFonts w:ascii="Times New Roman"/>
                <w:sz w:val="21"/>
              </w:rPr>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18"/>
              <w:jc w:val="right"/>
              <w:rPr>
                <w:rFonts w:ascii="Times New Roman" w:hAnsi="Times New Roman" w:cs="Times New Roman" w:eastAsia="Times New Roman" w:hint="default"/>
                <w:sz w:val="21"/>
                <w:szCs w:val="21"/>
              </w:rPr>
            </w:pPr>
            <w:r>
              <w:rPr>
                <w:rFonts w:ascii="Times New Roman"/>
                <w:b/>
                <w:sz w:val="21"/>
              </w:rPr>
              <w:t>43.56</w:t>
            </w:r>
            <w:r>
              <w:rPr>
                <w:rFonts w:ascii="Times New Roman"/>
                <w:sz w:val="21"/>
              </w:rPr>
            </w:r>
          </w:p>
        </w:tc>
        <w:tc>
          <w:tcPr>
            <w:tcW w:w="2182" w:type="dxa"/>
            <w:tcBorders>
              <w:top w:val="single" w:sz="6" w:space="0" w:color="000000"/>
              <w:left w:val="single" w:sz="6" w:space="0" w:color="000000"/>
              <w:bottom w:val="single" w:sz="6" w:space="0" w:color="000000"/>
              <w:right w:val="single" w:sz="12" w:space="0" w:color="000000"/>
            </w:tcBorders>
          </w:tcPr>
          <w:p>
            <w:pPr/>
          </w:p>
        </w:tc>
      </w:tr>
      <w:tr>
        <w:trPr>
          <w:trHeight w:val="833" w:hRule="exact"/>
        </w:trPr>
        <w:tc>
          <w:tcPr>
            <w:tcW w:w="12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pacing w:val="-1"/>
                <w:sz w:val="21"/>
              </w:rPr>
              <w:t>1,121.81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58"/>
              <w:jc w:val="right"/>
              <w:rPr>
                <w:rFonts w:ascii="Times New Roman" w:hAnsi="Times New Roman" w:cs="Times New Roman" w:eastAsia="Times New Roman" w:hint="default"/>
                <w:sz w:val="21"/>
                <w:szCs w:val="21"/>
              </w:rPr>
            </w:pPr>
            <w:r>
              <w:rPr>
                <w:rFonts w:ascii="Times New Roman"/>
                <w:sz w:val="21"/>
              </w:rPr>
              <w:t>7.12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35"/>
              <w:jc w:val="right"/>
              <w:rPr>
                <w:rFonts w:ascii="Times New Roman" w:hAnsi="Times New Roman" w:cs="Times New Roman" w:eastAsia="Times New Roman" w:hint="default"/>
                <w:sz w:val="21"/>
                <w:szCs w:val="21"/>
              </w:rPr>
            </w:pPr>
            <w:r>
              <w:rPr>
                <w:rFonts w:ascii="Times New Roman"/>
                <w:sz w:val="21"/>
              </w:rPr>
              <w:t>845.27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61"/>
              <w:jc w:val="right"/>
              <w:rPr>
                <w:rFonts w:ascii="Times New Roman" w:hAnsi="Times New Roman" w:cs="Times New Roman" w:eastAsia="Times New Roman" w:hint="default"/>
                <w:sz w:val="21"/>
                <w:szCs w:val="21"/>
              </w:rPr>
            </w:pPr>
            <w:r>
              <w:rPr>
                <w:rFonts w:ascii="Times New Roman"/>
                <w:sz w:val="21"/>
              </w:rPr>
              <w:t>7.66</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218"/>
              <w:jc w:val="right"/>
              <w:rPr>
                <w:rFonts w:ascii="Times New Roman" w:hAnsi="Times New Roman" w:cs="Times New Roman" w:eastAsia="Times New Roman" w:hint="default"/>
                <w:sz w:val="21"/>
                <w:szCs w:val="21"/>
              </w:rPr>
            </w:pPr>
            <w:r>
              <w:rPr>
                <w:rFonts w:ascii="Times New Roman"/>
                <w:sz w:val="21"/>
              </w:rPr>
              <w:t>32.72</w:t>
            </w:r>
          </w:p>
        </w:tc>
        <w:tc>
          <w:tcPr>
            <w:tcW w:w="2182"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32"/>
              <w:ind w:left="-1" w:right="178"/>
              <w:jc w:val="both"/>
              <w:rPr>
                <w:rFonts w:ascii="宋体" w:hAnsi="宋体" w:cs="宋体" w:eastAsia="宋体" w:hint="default"/>
                <w:sz w:val="18"/>
                <w:szCs w:val="18"/>
              </w:rPr>
            </w:pPr>
            <w:r>
              <w:rPr>
                <w:rFonts w:ascii="宋体" w:hAnsi="宋体" w:cs="宋体" w:eastAsia="宋体" w:hint="default"/>
                <w:sz w:val="18"/>
                <w:szCs w:val="18"/>
              </w:rPr>
              <w:t>系本公司之子公司日本超 图株式会本年新增长期借 款所致。</w:t>
            </w:r>
          </w:p>
        </w:tc>
      </w:tr>
      <w:tr>
        <w:trPr>
          <w:trHeight w:val="572" w:hRule="exact"/>
        </w:trPr>
        <w:tc>
          <w:tcPr>
            <w:tcW w:w="1231" w:type="dxa"/>
            <w:tcBorders>
              <w:top w:val="single" w:sz="6" w:space="0" w:color="000000"/>
              <w:left w:val="single" w:sz="12" w:space="0" w:color="000000"/>
              <w:bottom w:val="single" w:sz="12" w:space="0" w:color="000000"/>
              <w:right w:val="single" w:sz="6" w:space="0" w:color="000000"/>
            </w:tcBorders>
          </w:tcPr>
          <w:p>
            <w:pPr>
              <w:pStyle w:val="TableParagraph"/>
              <w:spacing w:line="232" w:lineRule="exact" w:before="35"/>
              <w:ind w:left="513" w:right="60" w:hanging="452"/>
              <w:jc w:val="left"/>
              <w:rPr>
                <w:rFonts w:ascii="宋体" w:hAnsi="宋体" w:cs="宋体" w:eastAsia="宋体" w:hint="default"/>
                <w:sz w:val="18"/>
                <w:szCs w:val="18"/>
              </w:rPr>
            </w:pPr>
            <w:r>
              <w:rPr>
                <w:rFonts w:ascii="宋体" w:hAnsi="宋体" w:cs="宋体" w:eastAsia="宋体" w:hint="default"/>
                <w:b/>
                <w:bCs/>
                <w:sz w:val="18"/>
                <w:szCs w:val="18"/>
              </w:rPr>
              <w:t>非流动负债合</w:t>
            </w:r>
            <w:r>
              <w:rPr>
                <w:rFonts w:ascii="宋体" w:hAnsi="宋体" w:cs="宋体" w:eastAsia="宋体" w:hint="default"/>
                <w:b/>
                <w:bCs/>
                <w:w w:val="9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3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35"/>
              <w:jc w:val="right"/>
              <w:rPr>
                <w:rFonts w:ascii="Times New Roman" w:hAnsi="Times New Roman" w:cs="Times New Roman" w:eastAsia="Times New Roman" w:hint="default"/>
                <w:sz w:val="21"/>
                <w:szCs w:val="21"/>
              </w:rPr>
            </w:pPr>
            <w:r>
              <w:rPr>
                <w:rFonts w:ascii="Times New Roman"/>
                <w:spacing w:val="-1"/>
                <w:sz w:val="21"/>
              </w:rPr>
              <w:t>1,121.81</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58"/>
              <w:jc w:val="right"/>
              <w:rPr>
                <w:rFonts w:ascii="Times New Roman" w:hAnsi="Times New Roman" w:cs="Times New Roman" w:eastAsia="Times New Roman" w:hint="default"/>
                <w:sz w:val="21"/>
                <w:szCs w:val="21"/>
              </w:rPr>
            </w:pPr>
            <w:r>
              <w:rPr>
                <w:rFonts w:ascii="Times New Roman"/>
                <w:sz w:val="21"/>
              </w:rPr>
              <w:t>7.12</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35"/>
              <w:jc w:val="right"/>
              <w:rPr>
                <w:rFonts w:ascii="Times New Roman" w:hAnsi="Times New Roman" w:cs="Times New Roman" w:eastAsia="Times New Roman" w:hint="default"/>
                <w:sz w:val="21"/>
                <w:szCs w:val="21"/>
              </w:rPr>
            </w:pPr>
            <w:r>
              <w:rPr>
                <w:rFonts w:ascii="Times New Roman"/>
                <w:sz w:val="21"/>
              </w:rPr>
              <w:t>845.27</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161"/>
              <w:jc w:val="right"/>
              <w:rPr>
                <w:rFonts w:ascii="Times New Roman" w:hAnsi="Times New Roman" w:cs="Times New Roman" w:eastAsia="Times New Roman" w:hint="default"/>
                <w:sz w:val="21"/>
                <w:szCs w:val="21"/>
              </w:rPr>
            </w:pPr>
            <w:r>
              <w:rPr>
                <w:rFonts w:ascii="Times New Roman"/>
                <w:sz w:val="21"/>
              </w:rPr>
              <w:t>7.66</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7"/>
              <w:ind w:right="218"/>
              <w:jc w:val="right"/>
              <w:rPr>
                <w:rFonts w:ascii="Times New Roman" w:hAnsi="Times New Roman" w:cs="Times New Roman" w:eastAsia="Times New Roman" w:hint="default"/>
                <w:sz w:val="21"/>
                <w:szCs w:val="21"/>
              </w:rPr>
            </w:pPr>
            <w:r>
              <w:rPr>
                <w:rFonts w:ascii="Times New Roman"/>
                <w:sz w:val="21"/>
              </w:rPr>
              <w:t>32.72</w:t>
            </w:r>
          </w:p>
        </w:tc>
        <w:tc>
          <w:tcPr>
            <w:tcW w:w="2182"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84" w:footer="1007" w:top="1140" w:bottom="1200" w:left="1660" w:right="1260"/>
        </w:sectPr>
      </w:pPr>
    </w:p>
    <w:p>
      <w:pPr>
        <w:spacing w:line="240" w:lineRule="auto" w:before="6"/>
        <w:rPr>
          <w:rFonts w:ascii="宋体" w:hAnsi="宋体" w:cs="宋体" w:eastAsia="宋体" w:hint="default"/>
          <w:b/>
          <w:bCs/>
          <w:sz w:val="21"/>
          <w:szCs w:val="21"/>
        </w:rPr>
      </w:pPr>
    </w:p>
    <w:tbl>
      <w:tblPr>
        <w:tblW w:w="0" w:type="auto"/>
        <w:jc w:val="left"/>
        <w:tblInd w:w="111" w:type="dxa"/>
        <w:tblLayout w:type="fixed"/>
        <w:tblCellMar>
          <w:top w:w="0" w:type="dxa"/>
          <w:left w:w="0" w:type="dxa"/>
          <w:bottom w:w="0" w:type="dxa"/>
          <w:right w:w="0" w:type="dxa"/>
        </w:tblCellMar>
        <w:tblLook w:val="01E0"/>
      </w:tblPr>
      <w:tblGrid>
        <w:gridCol w:w="1231"/>
        <w:gridCol w:w="1340"/>
        <w:gridCol w:w="991"/>
        <w:gridCol w:w="1133"/>
        <w:gridCol w:w="991"/>
        <w:gridCol w:w="852"/>
        <w:gridCol w:w="2182"/>
      </w:tblGrid>
      <w:tr>
        <w:trPr>
          <w:trHeight w:val="572" w:hRule="exact"/>
        </w:trPr>
        <w:tc>
          <w:tcPr>
            <w:tcW w:w="1231"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23"/>
              <w:ind w:left="242"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3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left="345" w:right="0"/>
              <w:jc w:val="left"/>
              <w:rPr>
                <w:rFonts w:ascii="Times New Roman" w:hAnsi="Times New Roman" w:cs="Times New Roman" w:eastAsia="Times New Roman" w:hint="default"/>
                <w:sz w:val="21"/>
                <w:szCs w:val="21"/>
              </w:rPr>
            </w:pPr>
            <w:r>
              <w:rPr>
                <w:rFonts w:ascii="Times New Roman"/>
                <w:b/>
                <w:sz w:val="21"/>
              </w:rPr>
              <w:t>15,755.44</w:t>
            </w:r>
            <w:r>
              <w:rPr>
                <w:rFonts w:ascii="Times New Roman"/>
                <w:sz w:val="21"/>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left="499" w:right="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11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left="151" w:right="0"/>
              <w:jc w:val="left"/>
              <w:rPr>
                <w:rFonts w:ascii="Times New Roman" w:hAnsi="Times New Roman" w:cs="Times New Roman" w:eastAsia="Times New Roman" w:hint="default"/>
                <w:sz w:val="21"/>
                <w:szCs w:val="21"/>
              </w:rPr>
            </w:pPr>
            <w:r>
              <w:rPr>
                <w:rFonts w:ascii="Times New Roman"/>
                <w:b/>
                <w:sz w:val="21"/>
              </w:rPr>
              <w:t>11,038.91</w:t>
            </w:r>
            <w:r>
              <w:rPr>
                <w:rFonts w:ascii="Times New Roman"/>
                <w:sz w:val="21"/>
              </w:rPr>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left="496" w:right="0"/>
              <w:jc w:val="lef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0"/>
              <w:ind w:left="141" w:right="0"/>
              <w:jc w:val="left"/>
              <w:rPr>
                <w:rFonts w:ascii="Times New Roman" w:hAnsi="Times New Roman" w:cs="Times New Roman" w:eastAsia="Times New Roman" w:hint="default"/>
                <w:sz w:val="21"/>
                <w:szCs w:val="21"/>
              </w:rPr>
            </w:pPr>
            <w:r>
              <w:rPr>
                <w:rFonts w:ascii="Times New Roman"/>
                <w:b/>
                <w:sz w:val="21"/>
              </w:rPr>
              <w:t>42.73</w:t>
            </w:r>
            <w:r>
              <w:rPr>
                <w:rFonts w:ascii="Times New Roman"/>
                <w:sz w:val="21"/>
              </w:rPr>
            </w:r>
          </w:p>
        </w:tc>
        <w:tc>
          <w:tcPr>
            <w:tcW w:w="2182" w:type="dxa"/>
            <w:tcBorders>
              <w:top w:val="single" w:sz="12" w:space="0" w:color="000000"/>
              <w:left w:val="single" w:sz="6" w:space="0" w:color="000000"/>
              <w:bottom w:val="single" w:sz="12" w:space="0" w:color="000000"/>
              <w:right w:val="single" w:sz="12" w:space="0" w:color="000000"/>
            </w:tcBorders>
          </w:tcPr>
          <w:p>
            <w:pPr/>
          </w:p>
        </w:tc>
      </w:tr>
    </w:tbl>
    <w:p>
      <w:pPr>
        <w:spacing w:line="240" w:lineRule="auto" w:before="5"/>
        <w:rPr>
          <w:rFonts w:ascii="宋体" w:hAnsi="宋体" w:cs="宋体" w:eastAsia="宋体" w:hint="default"/>
          <w:b/>
          <w:bCs/>
          <w:sz w:val="23"/>
          <w:szCs w:val="23"/>
        </w:rPr>
      </w:pPr>
    </w:p>
    <w:p>
      <w:pPr>
        <w:pStyle w:val="Heading5"/>
        <w:spacing w:line="240" w:lineRule="auto" w:before="26"/>
        <w:ind w:left="140" w:right="0"/>
        <w:jc w:val="left"/>
        <w:rPr>
          <w:b w:val="0"/>
          <w:bCs w:val="0"/>
        </w:rPr>
      </w:pPr>
      <w:r>
        <w:rPr/>
        <w:t>（</w:t>
      </w:r>
      <w:r>
        <w:rPr>
          <w:rFonts w:ascii="Times New Roman" w:hAnsi="Times New Roman" w:cs="Times New Roman" w:eastAsia="Times New Roman" w:hint="default"/>
        </w:rPr>
        <w:t>9</w:t>
      </w:r>
      <w:r>
        <w:rPr/>
        <w:t>）报告期公司现金流量构成情况</w:t>
      </w:r>
      <w:r>
        <w:rPr>
          <w:b w:val="0"/>
          <w:bCs w:val="0"/>
        </w:rPr>
      </w:r>
    </w:p>
    <w:p>
      <w:pPr>
        <w:spacing w:line="240" w:lineRule="auto" w:before="6"/>
        <w:rPr>
          <w:rFonts w:ascii="宋体" w:hAnsi="宋体" w:cs="宋体" w:eastAsia="宋体" w:hint="default"/>
          <w:b/>
          <w:bCs/>
          <w:sz w:val="26"/>
          <w:szCs w:val="26"/>
        </w:rPr>
      </w:pPr>
    </w:p>
    <w:p>
      <w:pPr>
        <w:spacing w:before="36"/>
        <w:ind w:left="0" w:right="506" w:firstLine="0"/>
        <w:jc w:val="right"/>
        <w:rPr>
          <w:rFonts w:ascii="宋体" w:hAnsi="宋体" w:cs="宋体" w:eastAsia="宋体" w:hint="default"/>
          <w:sz w:val="21"/>
          <w:szCs w:val="21"/>
        </w:rPr>
      </w:pPr>
      <w:r>
        <w:rPr>
          <w:rFonts w:ascii="宋体" w:hAnsi="宋体" w:cs="宋体" w:eastAsia="宋体" w:hint="default"/>
          <w:b/>
          <w:bCs/>
          <w:spacing w:val="-3"/>
          <w:sz w:val="21"/>
          <w:szCs w:val="21"/>
        </w:rPr>
        <w:t>单位：人民币（元）</w:t>
      </w:r>
      <w:r>
        <w:rPr>
          <w:rFonts w:ascii="宋体" w:hAnsi="宋体" w:cs="宋体" w:eastAsia="宋体" w:hint="default"/>
          <w:spacing w:val="-3"/>
          <w:sz w:val="21"/>
          <w:szCs w:val="21"/>
        </w:rPr>
      </w:r>
    </w:p>
    <w:p>
      <w:pPr>
        <w:spacing w:line="240" w:lineRule="auto" w:before="9"/>
        <w:rPr>
          <w:rFonts w:ascii="宋体" w:hAnsi="宋体" w:cs="宋体" w:eastAsia="宋体" w:hint="default"/>
          <w:b/>
          <w:bCs/>
          <w:sz w:val="11"/>
          <w:szCs w:val="11"/>
        </w:rPr>
      </w:pPr>
    </w:p>
    <w:tbl>
      <w:tblPr>
        <w:tblW w:w="0" w:type="auto"/>
        <w:jc w:val="left"/>
        <w:tblInd w:w="111" w:type="dxa"/>
        <w:tblLayout w:type="fixed"/>
        <w:tblCellMar>
          <w:top w:w="0" w:type="dxa"/>
          <w:left w:w="0" w:type="dxa"/>
          <w:bottom w:w="0" w:type="dxa"/>
          <w:right w:w="0" w:type="dxa"/>
        </w:tblCellMar>
        <w:tblLook w:val="01E0"/>
      </w:tblPr>
      <w:tblGrid>
        <w:gridCol w:w="2525"/>
        <w:gridCol w:w="1666"/>
        <w:gridCol w:w="1668"/>
        <w:gridCol w:w="996"/>
        <w:gridCol w:w="2093"/>
      </w:tblGrid>
      <w:tr>
        <w:trPr>
          <w:trHeight w:val="722" w:hRule="exact"/>
        </w:trPr>
        <w:tc>
          <w:tcPr>
            <w:tcW w:w="252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8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86"/>
              <w:ind w:left="49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年度</w:t>
            </w:r>
            <w:r>
              <w:rPr>
                <w:rFonts w:ascii="宋体" w:hAnsi="宋体" w:cs="宋体" w:eastAsia="宋体" w:hint="default"/>
                <w:sz w:val="21"/>
                <w:szCs w:val="21"/>
              </w:rPr>
            </w:r>
          </w:p>
        </w:tc>
        <w:tc>
          <w:tcPr>
            <w:tcW w:w="16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86"/>
              <w:ind w:left="4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宋体" w:hAnsi="宋体" w:cs="宋体" w:eastAsia="宋体" w:hint="default"/>
                <w:b/>
                <w:bCs/>
                <w:sz w:val="21"/>
                <w:szCs w:val="21"/>
              </w:rPr>
              <w:t>年度</w:t>
            </w:r>
            <w:r>
              <w:rPr>
                <w:rFonts w:ascii="宋体" w:hAnsi="宋体" w:cs="宋体" w:eastAsia="宋体" w:hint="default"/>
                <w:sz w:val="21"/>
                <w:szCs w:val="21"/>
              </w:rPr>
            </w:r>
          </w:p>
        </w:tc>
        <w:tc>
          <w:tcPr>
            <w:tcW w:w="9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p>
            <w:pPr>
              <w:pStyle w:val="TableParagraph"/>
              <w:spacing w:line="240" w:lineRule="auto" w:before="34"/>
              <w:ind w:left="108"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09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841" w:hRule="exact"/>
        </w:trPr>
        <w:tc>
          <w:tcPr>
            <w:tcW w:w="2525" w:type="dxa"/>
            <w:tcBorders>
              <w:top w:val="single" w:sz="6" w:space="0" w:color="000000"/>
              <w:left w:val="single" w:sz="12" w:space="0" w:color="000000"/>
              <w:bottom w:val="single" w:sz="6" w:space="0" w:color="000000"/>
              <w:right w:val="single" w:sz="6" w:space="0" w:color="000000"/>
            </w:tcBorders>
          </w:tcPr>
          <w:p>
            <w:pPr>
              <w:pStyle w:val="TableParagraph"/>
              <w:spacing w:line="271" w:lineRule="auto" w:before="136"/>
              <w:ind w:left="108" w:right="19"/>
              <w:jc w:val="left"/>
              <w:rPr>
                <w:rFonts w:ascii="宋体" w:hAnsi="宋体" w:cs="宋体" w:eastAsia="宋体" w:hint="default"/>
                <w:sz w:val="21"/>
                <w:szCs w:val="21"/>
              </w:rPr>
            </w:pPr>
            <w:r>
              <w:rPr>
                <w:rFonts w:ascii="宋体" w:hAnsi="宋体" w:cs="宋体" w:eastAsia="宋体" w:hint="default"/>
                <w:b/>
                <w:bCs/>
                <w:spacing w:val="-14"/>
                <w:w w:val="100"/>
                <w:sz w:val="21"/>
                <w:szCs w:val="21"/>
              </w:rPr>
              <w:t>一、经营活动产生的现金流</w:t>
            </w:r>
            <w:r>
              <w:rPr>
                <w:rFonts w:ascii="宋体" w:hAnsi="宋体" w:cs="宋体" w:eastAsia="宋体" w:hint="default"/>
                <w:b/>
                <w:bCs/>
                <w:spacing w:val="-101"/>
                <w:w w:val="100"/>
                <w:sz w:val="21"/>
                <w:szCs w:val="21"/>
              </w:rPr>
              <w:t> </w:t>
            </w:r>
            <w:r>
              <w:rPr>
                <w:rFonts w:ascii="宋体" w:hAnsi="宋体" w:cs="宋体" w:eastAsia="宋体" w:hint="default"/>
                <w:b/>
                <w:bCs/>
                <w:spacing w:val="-101"/>
                <w:w w:val="100"/>
                <w:sz w:val="21"/>
                <w:szCs w:val="21"/>
              </w:rPr>
            </w:r>
            <w:r>
              <w:rPr>
                <w:rFonts w:ascii="宋体" w:hAnsi="宋体" w:cs="宋体" w:eastAsia="宋体" w:hint="default"/>
                <w:b/>
                <w:bCs/>
                <w:sz w:val="21"/>
                <w:szCs w:val="21"/>
              </w:rPr>
              <w:t>量净额</w:t>
            </w:r>
            <w:r>
              <w:rPr>
                <w:rFonts w:ascii="宋体" w:hAnsi="宋体" w:cs="宋体" w:eastAsia="宋体" w:hint="default"/>
                <w:sz w:val="21"/>
                <w:szCs w:val="21"/>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b/>
                <w:spacing w:val="-1"/>
                <w:sz w:val="21"/>
              </w:rPr>
              <w:t>842,753.72</w:t>
            </w:r>
            <w:r>
              <w:rPr>
                <w:rFonts w:ascii="Times New Roman"/>
                <w:spacing w:val="-1"/>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b/>
                <w:spacing w:val="-1"/>
                <w:sz w:val="21"/>
              </w:rPr>
              <w:t>26,975,393.38</w:t>
            </w:r>
            <w:r>
              <w:rPr>
                <w:rFonts w:ascii="Times New Roman"/>
                <w:spacing w:val="-1"/>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b/>
                <w:spacing w:val="-1"/>
                <w:sz w:val="21"/>
              </w:rPr>
              <w:t>-96.88</w:t>
            </w:r>
            <w:r>
              <w:rPr>
                <w:rFonts w:ascii="Times New Roman"/>
                <w:spacing w:val="-1"/>
                <w:sz w:val="21"/>
              </w:rPr>
            </w:r>
          </w:p>
        </w:tc>
        <w:tc>
          <w:tcPr>
            <w:tcW w:w="2093" w:type="dxa"/>
            <w:tcBorders>
              <w:top w:val="single" w:sz="6" w:space="0" w:color="000000"/>
              <w:left w:val="single" w:sz="6" w:space="0" w:color="000000"/>
              <w:bottom w:val="single" w:sz="6" w:space="0" w:color="000000"/>
              <w:right w:val="single" w:sz="12" w:space="0" w:color="000000"/>
            </w:tcBorders>
          </w:tcPr>
          <w:p>
            <w:pPr/>
          </w:p>
        </w:tc>
      </w:tr>
      <w:tr>
        <w:trPr>
          <w:trHeight w:val="1061" w:hRule="exact"/>
        </w:trPr>
        <w:tc>
          <w:tcPr>
            <w:tcW w:w="2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right="82"/>
              <w:jc w:val="right"/>
              <w:rPr>
                <w:rFonts w:ascii="宋体" w:hAnsi="宋体" w:cs="宋体" w:eastAsia="宋体" w:hint="default"/>
                <w:sz w:val="21"/>
                <w:szCs w:val="21"/>
              </w:rPr>
            </w:pPr>
            <w:r>
              <w:rPr>
                <w:rFonts w:ascii="宋体" w:hAnsi="宋体" w:cs="宋体" w:eastAsia="宋体" w:hint="default"/>
                <w:spacing w:val="-2"/>
                <w:sz w:val="21"/>
                <w:szCs w:val="21"/>
              </w:rPr>
              <w:t>经营活动现金流入量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2"/>
              <w:ind w:right="-1"/>
              <w:jc w:val="right"/>
              <w:rPr>
                <w:rFonts w:ascii="Times New Roman" w:hAnsi="Times New Roman" w:cs="Times New Roman" w:eastAsia="Times New Roman" w:hint="default"/>
                <w:sz w:val="21"/>
                <w:szCs w:val="21"/>
              </w:rPr>
            </w:pPr>
            <w:r>
              <w:rPr>
                <w:rFonts w:ascii="Times New Roman"/>
                <w:b/>
                <w:spacing w:val="-1"/>
                <w:sz w:val="21"/>
              </w:rPr>
              <w:t>253,033,521.17</w:t>
            </w:r>
            <w:r>
              <w:rPr>
                <w:rFonts w:ascii="Times New Roman"/>
                <w:spacing w:val="-1"/>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spacing w:val="-1"/>
                <w:sz w:val="21"/>
              </w:rPr>
              <w:t>223,346,247.11</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13.29</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144"/>
              <w:ind w:right="269"/>
              <w:jc w:val="both"/>
              <w:rPr>
                <w:rFonts w:ascii="宋体" w:hAnsi="宋体" w:cs="宋体" w:eastAsia="宋体" w:hint="default"/>
                <w:sz w:val="18"/>
                <w:szCs w:val="18"/>
              </w:rPr>
            </w:pPr>
            <w:r>
              <w:rPr>
                <w:rFonts w:ascii="宋体" w:hAnsi="宋体" w:cs="宋体" w:eastAsia="宋体" w:hint="default"/>
                <w:sz w:val="18"/>
                <w:szCs w:val="18"/>
              </w:rPr>
              <w:t>业务增长，收入增加， 销售软件产品、提供技 术服务收到的现金增加</w:t>
            </w:r>
          </w:p>
        </w:tc>
      </w:tr>
      <w:tr>
        <w:trPr>
          <w:trHeight w:val="1277" w:hRule="exact"/>
        </w:trPr>
        <w:tc>
          <w:tcPr>
            <w:tcW w:w="2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82"/>
              <w:jc w:val="right"/>
              <w:rPr>
                <w:rFonts w:ascii="宋体" w:hAnsi="宋体" w:cs="宋体" w:eastAsia="宋体" w:hint="default"/>
                <w:sz w:val="21"/>
                <w:szCs w:val="21"/>
              </w:rPr>
            </w:pPr>
            <w:r>
              <w:rPr>
                <w:rFonts w:ascii="宋体" w:hAnsi="宋体" w:cs="宋体" w:eastAsia="宋体" w:hint="default"/>
                <w:spacing w:val="-2"/>
                <w:sz w:val="21"/>
                <w:szCs w:val="21"/>
              </w:rPr>
              <w:t>经营活动现金流出量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54" w:right="0"/>
              <w:jc w:val="left"/>
              <w:rPr>
                <w:rFonts w:ascii="Times New Roman" w:hAnsi="Times New Roman" w:cs="Times New Roman" w:eastAsia="Times New Roman" w:hint="default"/>
                <w:sz w:val="21"/>
                <w:szCs w:val="21"/>
              </w:rPr>
            </w:pPr>
            <w:r>
              <w:rPr>
                <w:rFonts w:ascii="Times New Roman"/>
                <w:sz w:val="21"/>
              </w:rPr>
              <w:t>252,190,767.45</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82"/>
              <w:jc w:val="right"/>
              <w:rPr>
                <w:rFonts w:ascii="Times New Roman" w:hAnsi="Times New Roman" w:cs="Times New Roman" w:eastAsia="Times New Roman" w:hint="default"/>
                <w:sz w:val="21"/>
                <w:szCs w:val="21"/>
              </w:rPr>
            </w:pPr>
            <w:r>
              <w:rPr>
                <w:rFonts w:ascii="Times New Roman"/>
                <w:spacing w:val="-1"/>
                <w:sz w:val="21"/>
              </w:rPr>
              <w:t>196,370,853.73</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28.43</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37" w:lineRule="auto" w:before="20"/>
              <w:ind w:right="269"/>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公司规模扩大，人员增 加，人工成本以及其他 经营费用增加，同时业 务增长，支付的各项税 费增加</w:t>
            </w:r>
            <w:r>
              <w:rPr>
                <w:rFonts w:ascii="Times New Roman" w:hAnsi="Times New Roman" w:cs="Times New Roman" w:eastAsia="Times New Roman" w:hint="default"/>
                <w:sz w:val="18"/>
                <w:szCs w:val="18"/>
              </w:rPr>
              <w:t>.</w:t>
            </w:r>
          </w:p>
        </w:tc>
      </w:tr>
      <w:tr>
        <w:trPr>
          <w:trHeight w:val="679" w:hRule="exact"/>
        </w:trPr>
        <w:tc>
          <w:tcPr>
            <w:tcW w:w="2525" w:type="dxa"/>
            <w:tcBorders>
              <w:top w:val="single" w:sz="6" w:space="0" w:color="000000"/>
              <w:left w:val="single" w:sz="12" w:space="0" w:color="000000"/>
              <w:bottom w:val="single" w:sz="6" w:space="0" w:color="000000"/>
              <w:right w:val="single" w:sz="6" w:space="0" w:color="000000"/>
            </w:tcBorders>
          </w:tcPr>
          <w:p>
            <w:pPr>
              <w:pStyle w:val="TableParagraph"/>
              <w:spacing w:line="268" w:lineRule="auto" w:before="57"/>
              <w:ind w:left="108" w:right="19"/>
              <w:jc w:val="left"/>
              <w:rPr>
                <w:rFonts w:ascii="宋体" w:hAnsi="宋体" w:cs="宋体" w:eastAsia="宋体" w:hint="default"/>
                <w:sz w:val="21"/>
                <w:szCs w:val="21"/>
              </w:rPr>
            </w:pPr>
            <w:r>
              <w:rPr>
                <w:rFonts w:ascii="宋体" w:hAnsi="宋体" w:cs="宋体" w:eastAsia="宋体" w:hint="default"/>
                <w:b/>
                <w:bCs/>
                <w:spacing w:val="-14"/>
                <w:w w:val="100"/>
                <w:sz w:val="21"/>
                <w:szCs w:val="21"/>
              </w:rPr>
              <w:t>二、投资活动产生的现金流</w:t>
            </w:r>
            <w:r>
              <w:rPr>
                <w:rFonts w:ascii="宋体" w:hAnsi="宋体" w:cs="宋体" w:eastAsia="宋体" w:hint="default"/>
                <w:b/>
                <w:bCs/>
                <w:spacing w:val="-101"/>
                <w:w w:val="100"/>
                <w:sz w:val="21"/>
                <w:szCs w:val="21"/>
              </w:rPr>
              <w:t> </w:t>
            </w:r>
            <w:r>
              <w:rPr>
                <w:rFonts w:ascii="宋体" w:hAnsi="宋体" w:cs="宋体" w:eastAsia="宋体" w:hint="default"/>
                <w:b/>
                <w:bCs/>
                <w:spacing w:val="-101"/>
                <w:w w:val="100"/>
                <w:sz w:val="21"/>
                <w:szCs w:val="21"/>
              </w:rPr>
            </w:r>
            <w:r>
              <w:rPr>
                <w:rFonts w:ascii="宋体" w:hAnsi="宋体" w:cs="宋体" w:eastAsia="宋体" w:hint="default"/>
                <w:b/>
                <w:bCs/>
                <w:sz w:val="21"/>
                <w:szCs w:val="21"/>
              </w:rPr>
              <w:t>量净额</w:t>
            </w:r>
            <w:r>
              <w:rPr>
                <w:rFonts w:ascii="宋体" w:hAnsi="宋体" w:cs="宋体" w:eastAsia="宋体" w:hint="default"/>
                <w:sz w:val="21"/>
                <w:szCs w:val="21"/>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393" w:right="0"/>
              <w:jc w:val="left"/>
              <w:rPr>
                <w:rFonts w:ascii="Times New Roman" w:hAnsi="Times New Roman" w:cs="Times New Roman" w:eastAsia="Times New Roman" w:hint="default"/>
                <w:sz w:val="21"/>
                <w:szCs w:val="21"/>
              </w:rPr>
            </w:pPr>
            <w:r>
              <w:rPr>
                <w:rFonts w:ascii="Times New Roman"/>
                <w:b/>
                <w:sz w:val="21"/>
              </w:rPr>
              <w:t>-6,152,537.35</w:t>
            </w:r>
            <w:r>
              <w:rPr>
                <w:rFonts w:ascii="Times New Roman"/>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b/>
                <w:spacing w:val="-1"/>
                <w:sz w:val="21"/>
              </w:rPr>
              <w:t>-32,423,525.07</w:t>
            </w:r>
            <w:r>
              <w:rPr>
                <w:rFonts w:ascii="Times New Roman"/>
                <w:spacing w:val="-1"/>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b/>
                <w:sz w:val="21"/>
              </w:rPr>
              <w:t>81.02</w:t>
            </w:r>
            <w:r>
              <w:rPr>
                <w:rFonts w:ascii="Times New Roman"/>
                <w:sz w:val="21"/>
              </w:rPr>
            </w:r>
          </w:p>
        </w:tc>
        <w:tc>
          <w:tcPr>
            <w:tcW w:w="2093" w:type="dxa"/>
            <w:tcBorders>
              <w:top w:val="single" w:sz="6" w:space="0" w:color="000000"/>
              <w:left w:val="single" w:sz="6" w:space="0" w:color="000000"/>
              <w:bottom w:val="single" w:sz="6" w:space="0" w:color="000000"/>
              <w:right w:val="single" w:sz="12" w:space="0" w:color="000000"/>
            </w:tcBorders>
          </w:tcPr>
          <w:p>
            <w:pPr/>
          </w:p>
        </w:tc>
      </w:tr>
      <w:tr>
        <w:trPr>
          <w:trHeight w:val="723" w:hRule="exact"/>
        </w:trPr>
        <w:tc>
          <w:tcPr>
            <w:tcW w:w="2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82"/>
              <w:jc w:val="right"/>
              <w:rPr>
                <w:rFonts w:ascii="宋体" w:hAnsi="宋体" w:cs="宋体" w:eastAsia="宋体" w:hint="default"/>
                <w:sz w:val="21"/>
                <w:szCs w:val="21"/>
              </w:rPr>
            </w:pPr>
            <w:r>
              <w:rPr>
                <w:rFonts w:ascii="宋体" w:hAnsi="宋体" w:cs="宋体" w:eastAsia="宋体" w:hint="default"/>
                <w:spacing w:val="-2"/>
                <w:sz w:val="21"/>
                <w:szCs w:val="21"/>
              </w:rPr>
              <w:t>投资活动现金流入量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79"/>
              <w:jc w:val="right"/>
              <w:rPr>
                <w:rFonts w:ascii="Times New Roman" w:hAnsi="Times New Roman" w:cs="Times New Roman" w:eastAsia="Times New Roman" w:hint="default"/>
                <w:sz w:val="21"/>
                <w:szCs w:val="21"/>
              </w:rPr>
            </w:pPr>
            <w:r>
              <w:rPr>
                <w:rFonts w:ascii="Times New Roman"/>
                <w:spacing w:val="-1"/>
                <w:sz w:val="21"/>
              </w:rPr>
              <w:t>7,927,816.41</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
                <w:sz w:val="21"/>
              </w:rPr>
              <w:t>1,306,643.23</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z w:val="21"/>
              </w:rPr>
              <w:t>506.73</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09" w:lineRule="exact"/>
              <w:ind w:right="0"/>
              <w:jc w:val="left"/>
              <w:rPr>
                <w:rFonts w:ascii="宋体" w:hAnsi="宋体" w:cs="宋体" w:eastAsia="宋体" w:hint="default"/>
                <w:sz w:val="18"/>
                <w:szCs w:val="18"/>
              </w:rPr>
            </w:pPr>
            <w:r>
              <w:rPr>
                <w:rFonts w:ascii="宋体" w:hAnsi="宋体" w:cs="宋体" w:eastAsia="宋体" w:hint="default"/>
                <w:sz w:val="18"/>
                <w:szCs w:val="18"/>
              </w:rPr>
              <w:t>主要系本期取得房屋出</w:t>
            </w:r>
          </w:p>
          <w:p>
            <w:pPr>
              <w:pStyle w:val="TableParagraph"/>
              <w:spacing w:line="232" w:lineRule="exact" w:before="23"/>
              <w:ind w:right="269"/>
              <w:jc w:val="left"/>
              <w:rPr>
                <w:rFonts w:ascii="宋体" w:hAnsi="宋体" w:cs="宋体" w:eastAsia="宋体" w:hint="default"/>
                <w:sz w:val="18"/>
                <w:szCs w:val="18"/>
              </w:rPr>
            </w:pPr>
            <w:r>
              <w:rPr>
                <w:rFonts w:ascii="宋体" w:hAnsi="宋体" w:cs="宋体" w:eastAsia="宋体" w:hint="default"/>
                <w:sz w:val="18"/>
                <w:szCs w:val="18"/>
              </w:rPr>
              <w:t>租收入和利息收入上升 所致</w:t>
            </w:r>
          </w:p>
        </w:tc>
      </w:tr>
      <w:tr>
        <w:trPr>
          <w:trHeight w:val="1171" w:hRule="exact"/>
        </w:trPr>
        <w:tc>
          <w:tcPr>
            <w:tcW w:w="2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82"/>
              <w:jc w:val="right"/>
              <w:rPr>
                <w:rFonts w:ascii="宋体" w:hAnsi="宋体" w:cs="宋体" w:eastAsia="宋体" w:hint="default"/>
                <w:sz w:val="21"/>
                <w:szCs w:val="21"/>
              </w:rPr>
            </w:pPr>
            <w:r>
              <w:rPr>
                <w:rFonts w:ascii="宋体" w:hAnsi="宋体" w:cs="宋体" w:eastAsia="宋体" w:hint="default"/>
                <w:spacing w:val="-2"/>
                <w:sz w:val="21"/>
                <w:szCs w:val="21"/>
              </w:rPr>
              <w:t>投资活动现金流出量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14,080,353.76</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
                <w:sz w:val="21"/>
              </w:rPr>
              <w:t>33,730,168.30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-58.26</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主要系上年收购日本超</w:t>
            </w:r>
          </w:p>
          <w:p>
            <w:pPr>
              <w:pStyle w:val="TableParagraph"/>
              <w:spacing w:line="232" w:lineRule="exact" w:before="24"/>
              <w:ind w:right="127"/>
              <w:jc w:val="left"/>
              <w:rPr>
                <w:rFonts w:ascii="宋体" w:hAnsi="宋体" w:cs="宋体" w:eastAsia="宋体" w:hint="default"/>
                <w:sz w:val="18"/>
                <w:szCs w:val="18"/>
              </w:rPr>
            </w:pPr>
            <w:r>
              <w:rPr>
                <w:rFonts w:ascii="宋体" w:hAnsi="宋体" w:cs="宋体" w:eastAsia="宋体" w:hint="default"/>
                <w:sz w:val="18"/>
                <w:szCs w:val="18"/>
              </w:rPr>
              <w:t>图支付</w:t>
            </w:r>
            <w:r>
              <w:rPr>
                <w:rFonts w:ascii="宋体" w:hAnsi="宋体" w:cs="宋体" w:eastAsia="宋体" w:hint="default"/>
                <w:spacing w:val="-62"/>
                <w:sz w:val="18"/>
                <w:szCs w:val="18"/>
              </w:rPr>
              <w:t> </w:t>
            </w:r>
            <w:r>
              <w:rPr>
                <w:rFonts w:ascii="Times New Roman" w:hAnsi="Times New Roman" w:cs="Times New Roman" w:eastAsia="Times New Roman" w:hint="default"/>
                <w:spacing w:val="-1"/>
                <w:sz w:val="18"/>
                <w:szCs w:val="18"/>
              </w:rPr>
              <w:t>1700</w:t>
            </w:r>
            <w:r>
              <w:rPr>
                <w:rFonts w:ascii="Times New Roman" w:hAnsi="Times New Roman" w:cs="Times New Roman" w:eastAsia="Times New Roman" w:hint="default"/>
                <w:spacing w:val="-17"/>
                <w:sz w:val="18"/>
                <w:szCs w:val="18"/>
              </w:rPr>
              <w:t> </w:t>
            </w:r>
            <w:r>
              <w:rPr>
                <w:rFonts w:ascii="宋体" w:hAnsi="宋体" w:cs="宋体" w:eastAsia="宋体" w:hint="default"/>
                <w:spacing w:val="-16"/>
                <w:sz w:val="18"/>
                <w:szCs w:val="18"/>
              </w:rPr>
              <w:t>万元。此外，</w:t>
            </w:r>
            <w:r>
              <w:rPr>
                <w:rFonts w:ascii="宋体" w:hAnsi="宋体" w:cs="宋体" w:eastAsia="宋体" w:hint="default"/>
                <w:sz w:val="18"/>
                <w:szCs w:val="18"/>
              </w:rPr>
              <w:t> 上年度因装修办公用房 发生大额购置固定资产 费用。</w:t>
            </w:r>
          </w:p>
        </w:tc>
      </w:tr>
      <w:tr>
        <w:trPr>
          <w:trHeight w:val="746" w:hRule="exact"/>
        </w:trPr>
        <w:tc>
          <w:tcPr>
            <w:tcW w:w="2525" w:type="dxa"/>
            <w:tcBorders>
              <w:top w:val="single" w:sz="6" w:space="0" w:color="000000"/>
              <w:left w:val="single" w:sz="12" w:space="0" w:color="000000"/>
              <w:bottom w:val="single" w:sz="6" w:space="0" w:color="000000"/>
              <w:right w:val="single" w:sz="6" w:space="0" w:color="000000"/>
            </w:tcBorders>
          </w:tcPr>
          <w:p>
            <w:pPr>
              <w:pStyle w:val="TableParagraph"/>
              <w:spacing w:line="266" w:lineRule="auto" w:before="90"/>
              <w:ind w:left="108" w:right="19"/>
              <w:jc w:val="left"/>
              <w:rPr>
                <w:rFonts w:ascii="宋体" w:hAnsi="宋体" w:cs="宋体" w:eastAsia="宋体" w:hint="default"/>
                <w:sz w:val="21"/>
                <w:szCs w:val="21"/>
              </w:rPr>
            </w:pPr>
            <w:r>
              <w:rPr>
                <w:rFonts w:ascii="宋体" w:hAnsi="宋体" w:cs="宋体" w:eastAsia="宋体" w:hint="default"/>
                <w:b/>
                <w:bCs/>
                <w:spacing w:val="-14"/>
                <w:w w:val="100"/>
                <w:sz w:val="21"/>
                <w:szCs w:val="21"/>
              </w:rPr>
              <w:t>三、筹资活动产生的现金流</w:t>
            </w:r>
            <w:r>
              <w:rPr>
                <w:rFonts w:ascii="宋体" w:hAnsi="宋体" w:cs="宋体" w:eastAsia="宋体" w:hint="default"/>
                <w:b/>
                <w:bCs/>
                <w:spacing w:val="-101"/>
                <w:w w:val="100"/>
                <w:sz w:val="21"/>
                <w:szCs w:val="21"/>
              </w:rPr>
              <w:t> </w:t>
            </w:r>
            <w:r>
              <w:rPr>
                <w:rFonts w:ascii="宋体" w:hAnsi="宋体" w:cs="宋体" w:eastAsia="宋体" w:hint="default"/>
                <w:b/>
                <w:bCs/>
                <w:spacing w:val="-101"/>
                <w:w w:val="100"/>
                <w:sz w:val="21"/>
                <w:szCs w:val="21"/>
              </w:rPr>
            </w:r>
            <w:r>
              <w:rPr>
                <w:rFonts w:ascii="宋体" w:hAnsi="宋体" w:cs="宋体" w:eastAsia="宋体" w:hint="default"/>
                <w:b/>
                <w:bCs/>
                <w:sz w:val="21"/>
                <w:szCs w:val="21"/>
              </w:rPr>
              <w:t>量净额</w:t>
            </w:r>
            <w:r>
              <w:rPr>
                <w:rFonts w:ascii="宋体" w:hAnsi="宋体" w:cs="宋体" w:eastAsia="宋体" w:hint="default"/>
                <w:sz w:val="21"/>
                <w:szCs w:val="21"/>
              </w:rPr>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393" w:right="0"/>
              <w:jc w:val="left"/>
              <w:rPr>
                <w:rFonts w:ascii="Times New Roman" w:hAnsi="Times New Roman" w:cs="Times New Roman" w:eastAsia="Times New Roman" w:hint="default"/>
                <w:sz w:val="21"/>
                <w:szCs w:val="21"/>
              </w:rPr>
            </w:pPr>
            <w:r>
              <w:rPr>
                <w:rFonts w:ascii="Times New Roman"/>
                <w:b/>
                <w:sz w:val="21"/>
              </w:rPr>
              <w:t>-8,534,500.30</w:t>
            </w:r>
            <w:r>
              <w:rPr>
                <w:rFonts w:ascii="Times New Roman"/>
                <w:sz w:val="21"/>
              </w:rPr>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b/>
                <w:spacing w:val="-1"/>
                <w:sz w:val="21"/>
              </w:rPr>
              <w:t>-32,330,692.25</w:t>
            </w:r>
            <w:r>
              <w:rPr>
                <w:rFonts w:ascii="Times New Roman"/>
                <w:spacing w:val="-1"/>
                <w:sz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b/>
                <w:spacing w:val="-1"/>
                <w:sz w:val="21"/>
              </w:rPr>
              <w:t>-73.60</w:t>
            </w:r>
            <w:r>
              <w:rPr>
                <w:rFonts w:ascii="Times New Roman"/>
                <w:spacing w:val="-1"/>
                <w:sz w:val="21"/>
              </w:rPr>
            </w:r>
          </w:p>
        </w:tc>
        <w:tc>
          <w:tcPr>
            <w:tcW w:w="2093" w:type="dxa"/>
            <w:tcBorders>
              <w:top w:val="single" w:sz="6" w:space="0" w:color="000000"/>
              <w:left w:val="single" w:sz="6" w:space="0" w:color="000000"/>
              <w:bottom w:val="single" w:sz="6" w:space="0" w:color="000000"/>
              <w:right w:val="single" w:sz="12" w:space="0" w:color="000000"/>
            </w:tcBorders>
          </w:tcPr>
          <w:p>
            <w:pPr/>
          </w:p>
        </w:tc>
      </w:tr>
      <w:tr>
        <w:trPr>
          <w:trHeight w:val="1241" w:hRule="exact"/>
        </w:trPr>
        <w:tc>
          <w:tcPr>
            <w:tcW w:w="2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82"/>
              <w:jc w:val="right"/>
              <w:rPr>
                <w:rFonts w:ascii="宋体" w:hAnsi="宋体" w:cs="宋体" w:eastAsia="宋体" w:hint="default"/>
                <w:sz w:val="21"/>
                <w:szCs w:val="21"/>
              </w:rPr>
            </w:pPr>
            <w:r>
              <w:rPr>
                <w:rFonts w:ascii="宋体" w:hAnsi="宋体" w:cs="宋体" w:eastAsia="宋体" w:hint="default"/>
                <w:spacing w:val="-2"/>
                <w:sz w:val="21"/>
                <w:szCs w:val="21"/>
              </w:rPr>
              <w:t>筹资活动现金流入量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19,155,700.00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
                <w:sz w:val="21"/>
              </w:rPr>
              <w:t>260,900.00</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7242.16</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32" w:lineRule="auto" w:before="122"/>
              <w:ind w:right="229"/>
              <w:jc w:val="both"/>
              <w:rPr>
                <w:rFonts w:ascii="宋体" w:hAnsi="宋体" w:cs="宋体" w:eastAsia="宋体" w:hint="default"/>
                <w:sz w:val="18"/>
                <w:szCs w:val="18"/>
              </w:rPr>
            </w:pPr>
            <w:r>
              <w:rPr>
                <w:rFonts w:ascii="宋体" w:hAnsi="宋体" w:cs="宋体" w:eastAsia="宋体" w:hint="default"/>
                <w:sz w:val="18"/>
                <w:szCs w:val="18"/>
              </w:rPr>
              <w:t>主要系本公司之子公司 日本超图长短期借款所 致，其中长期借款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1122 </w:t>
            </w:r>
            <w:r>
              <w:rPr>
                <w:rFonts w:ascii="宋体" w:hAnsi="宋体" w:cs="宋体" w:eastAsia="宋体" w:hint="default"/>
                <w:sz w:val="18"/>
                <w:szCs w:val="18"/>
              </w:rPr>
              <w:t>万。</w:t>
            </w:r>
          </w:p>
        </w:tc>
      </w:tr>
      <w:tr>
        <w:trPr>
          <w:trHeight w:val="564" w:hRule="exact"/>
        </w:trPr>
        <w:tc>
          <w:tcPr>
            <w:tcW w:w="25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3"/>
              <w:ind w:right="82"/>
              <w:jc w:val="right"/>
              <w:rPr>
                <w:rFonts w:ascii="宋体" w:hAnsi="宋体" w:cs="宋体" w:eastAsia="宋体" w:hint="default"/>
                <w:sz w:val="21"/>
                <w:szCs w:val="21"/>
              </w:rPr>
            </w:pPr>
            <w:r>
              <w:rPr>
                <w:rFonts w:ascii="宋体" w:hAnsi="宋体" w:cs="宋体" w:eastAsia="宋体" w:hint="default"/>
                <w:spacing w:val="-2"/>
                <w:sz w:val="21"/>
                <w:szCs w:val="21"/>
              </w:rPr>
              <w:t>筹资活动现金流出量</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27,690,200.30</w:t>
            </w:r>
          </w:p>
        </w:tc>
        <w:tc>
          <w:tcPr>
            <w:tcW w:w="16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spacing w:val="-1"/>
                <w:sz w:val="21"/>
              </w:rPr>
              <w:t>32,591,592.25</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-15.04</w:t>
            </w:r>
          </w:p>
        </w:tc>
        <w:tc>
          <w:tcPr>
            <w:tcW w:w="2093" w:type="dxa"/>
            <w:tcBorders>
              <w:top w:val="single" w:sz="6" w:space="0" w:color="000000"/>
              <w:left w:val="single" w:sz="6" w:space="0" w:color="000000"/>
              <w:bottom w:val="single" w:sz="6" w:space="0" w:color="000000"/>
              <w:right w:val="single" w:sz="12" w:space="0" w:color="000000"/>
            </w:tcBorders>
          </w:tcPr>
          <w:p>
            <w:pPr>
              <w:pStyle w:val="TableParagraph"/>
              <w:spacing w:line="242" w:lineRule="exact" w:before="10"/>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年支付</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IPO</w:t>
            </w:r>
          </w:p>
          <w:p>
            <w:pPr>
              <w:pStyle w:val="TableParagraph"/>
              <w:spacing w:line="229" w:lineRule="exact"/>
              <w:ind w:right="0"/>
              <w:jc w:val="left"/>
              <w:rPr>
                <w:rFonts w:ascii="宋体" w:hAnsi="宋体" w:cs="宋体" w:eastAsia="宋体" w:hint="default"/>
                <w:sz w:val="18"/>
                <w:szCs w:val="18"/>
              </w:rPr>
            </w:pPr>
            <w:r>
              <w:rPr>
                <w:rFonts w:ascii="宋体" w:hAnsi="宋体" w:cs="宋体" w:eastAsia="宋体" w:hint="default"/>
                <w:sz w:val="18"/>
                <w:szCs w:val="18"/>
              </w:rPr>
              <w:t>相关费用所致。</w:t>
            </w:r>
          </w:p>
        </w:tc>
      </w:tr>
      <w:tr>
        <w:trPr>
          <w:trHeight w:val="1099" w:hRule="exact"/>
        </w:trPr>
        <w:tc>
          <w:tcPr>
            <w:tcW w:w="252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66" w:lineRule="auto"/>
              <w:ind w:left="108" w:right="74"/>
              <w:jc w:val="left"/>
              <w:rPr>
                <w:rFonts w:ascii="宋体" w:hAnsi="宋体" w:cs="宋体" w:eastAsia="宋体" w:hint="default"/>
                <w:sz w:val="21"/>
                <w:szCs w:val="21"/>
              </w:rPr>
            </w:pPr>
            <w:r>
              <w:rPr>
                <w:rFonts w:ascii="宋体" w:hAnsi="宋体" w:cs="宋体" w:eastAsia="宋体" w:hint="default"/>
                <w:b/>
                <w:bCs/>
                <w:sz w:val="21"/>
                <w:szCs w:val="21"/>
              </w:rPr>
              <w:t>四、现金及现金等价物净</w:t>
            </w:r>
            <w:r>
              <w:rPr>
                <w:rFonts w:ascii="宋体" w:hAnsi="宋体" w:cs="宋体" w:eastAsia="宋体" w:hint="default"/>
                <w:b/>
                <w:bCs/>
                <w:w w:val="100"/>
                <w:sz w:val="21"/>
                <w:szCs w:val="21"/>
              </w:rPr>
              <w:t> </w:t>
            </w:r>
            <w:r>
              <w:rPr>
                <w:rFonts w:ascii="宋体" w:hAnsi="宋体" w:cs="宋体" w:eastAsia="宋体" w:hint="default"/>
                <w:b/>
                <w:bCs/>
                <w:sz w:val="21"/>
                <w:szCs w:val="21"/>
              </w:rPr>
              <w:t>增加额</w:t>
            </w:r>
            <w:r>
              <w:rPr>
                <w:rFonts w:ascii="宋体" w:hAnsi="宋体" w:cs="宋体" w:eastAsia="宋体" w:hint="default"/>
                <w:sz w:val="21"/>
                <w:szCs w:val="21"/>
              </w:rPr>
            </w:r>
          </w:p>
        </w:tc>
        <w:tc>
          <w:tcPr>
            <w:tcW w:w="16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b/>
                <w:sz w:val="21"/>
              </w:rPr>
              <w:t>-13,911,801.57</w:t>
            </w:r>
            <w:r>
              <w:rPr>
                <w:rFonts w:ascii="Times New Roman"/>
                <w:sz w:val="21"/>
              </w:rPr>
            </w:r>
          </w:p>
        </w:tc>
        <w:tc>
          <w:tcPr>
            <w:tcW w:w="16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81"/>
              <w:jc w:val="right"/>
              <w:rPr>
                <w:rFonts w:ascii="Times New Roman" w:hAnsi="Times New Roman" w:cs="Times New Roman" w:eastAsia="Times New Roman" w:hint="default"/>
                <w:sz w:val="21"/>
                <w:szCs w:val="21"/>
              </w:rPr>
            </w:pPr>
            <w:r>
              <w:rPr>
                <w:rFonts w:ascii="Times New Roman"/>
                <w:b/>
                <w:spacing w:val="-1"/>
                <w:sz w:val="21"/>
              </w:rPr>
              <w:t>-37,780,598.67</w:t>
            </w:r>
            <w:r>
              <w:rPr>
                <w:rFonts w:ascii="Times New Roman"/>
                <w:spacing w:val="-1"/>
                <w:sz w:val="21"/>
              </w:rPr>
            </w:r>
          </w:p>
        </w:tc>
        <w:tc>
          <w:tcPr>
            <w:tcW w:w="9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b/>
                <w:sz w:val="21"/>
              </w:rPr>
              <w:t>63.18</w:t>
            </w:r>
            <w:r>
              <w:rPr>
                <w:rFonts w:ascii="Times New Roman"/>
                <w:sz w:val="21"/>
              </w:rPr>
            </w:r>
          </w:p>
        </w:tc>
        <w:tc>
          <w:tcPr>
            <w:tcW w:w="2093"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0"/>
        <w:rPr>
          <w:rFonts w:ascii="宋体" w:hAnsi="宋体" w:cs="宋体" w:eastAsia="宋体" w:hint="default"/>
          <w:b/>
          <w:bCs/>
          <w:sz w:val="20"/>
          <w:szCs w:val="20"/>
        </w:rPr>
      </w:pPr>
    </w:p>
    <w:p>
      <w:pPr>
        <w:pStyle w:val="Heading5"/>
        <w:spacing w:line="240" w:lineRule="auto" w:before="173"/>
        <w:ind w:left="140" w:right="0"/>
        <w:jc w:val="left"/>
        <w:rPr>
          <w:b w:val="0"/>
          <w:bCs w:val="0"/>
        </w:rPr>
      </w:pPr>
      <w:r>
        <w:rPr/>
        <w:t>（</w:t>
      </w:r>
      <w:r>
        <w:rPr>
          <w:rFonts w:ascii="Times New Roman" w:hAnsi="Times New Roman" w:cs="Times New Roman" w:eastAsia="Times New Roman" w:hint="default"/>
        </w:rPr>
        <w:t>10</w:t>
      </w:r>
      <w:r>
        <w:rPr/>
        <w:t>）偿债能力分析</w:t>
      </w:r>
      <w:r>
        <w:rPr>
          <w:b w:val="0"/>
          <w:bCs w:val="0"/>
        </w:rPr>
      </w:r>
    </w:p>
    <w:p>
      <w:pPr>
        <w:spacing w:after="0" w:line="240" w:lineRule="auto"/>
        <w:jc w:val="left"/>
        <w:sectPr>
          <w:pgSz w:w="11910" w:h="16840"/>
          <w:pgMar w:header="884" w:footer="1007" w:top="1140" w:bottom="1200" w:left="1660" w:right="1040"/>
        </w:sectPr>
      </w:pPr>
    </w:p>
    <w:p>
      <w:pPr>
        <w:spacing w:line="240" w:lineRule="auto" w:before="6"/>
        <w:rPr>
          <w:rFonts w:ascii="宋体" w:hAnsi="宋体" w:cs="宋体" w:eastAsia="宋体" w:hint="default"/>
          <w:b/>
          <w:bCs/>
          <w:sz w:val="21"/>
          <w:szCs w:val="21"/>
        </w:rPr>
      </w:pPr>
    </w:p>
    <w:tbl>
      <w:tblPr>
        <w:tblW w:w="0" w:type="auto"/>
        <w:jc w:val="left"/>
        <w:tblInd w:w="211" w:type="dxa"/>
        <w:tblLayout w:type="fixed"/>
        <w:tblCellMar>
          <w:top w:w="0" w:type="dxa"/>
          <w:left w:w="0" w:type="dxa"/>
          <w:bottom w:w="0" w:type="dxa"/>
          <w:right w:w="0" w:type="dxa"/>
        </w:tblCellMar>
        <w:tblLook w:val="01E0"/>
      </w:tblPr>
      <w:tblGrid>
        <w:gridCol w:w="2569"/>
        <w:gridCol w:w="1630"/>
        <w:gridCol w:w="1524"/>
        <w:gridCol w:w="1577"/>
        <w:gridCol w:w="1421"/>
      </w:tblGrid>
      <w:tr>
        <w:trPr>
          <w:trHeight w:val="377" w:hRule="exact"/>
        </w:trPr>
        <w:tc>
          <w:tcPr>
            <w:tcW w:w="256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b/>
                <w:bCs/>
                <w:sz w:val="21"/>
                <w:szCs w:val="21"/>
              </w:rPr>
              <w:t>财务指标</w:t>
            </w:r>
            <w:r>
              <w:rPr>
                <w:rFonts w:ascii="宋体" w:hAnsi="宋体" w:cs="宋体" w:eastAsia="宋体" w:hint="default"/>
                <w:sz w:val="21"/>
                <w:szCs w:val="21"/>
              </w:rPr>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left="470"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left="41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left="360"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宋体" w:hAnsi="宋体" w:cs="宋体" w:eastAsia="宋体" w:hint="default"/>
                <w:sz w:val="21"/>
                <w:szCs w:val="21"/>
              </w:rPr>
            </w:r>
          </w:p>
        </w:tc>
        <w:tc>
          <w:tcPr>
            <w:tcW w:w="142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
              <w:ind w:left="35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259" w:hRule="exact"/>
        </w:trPr>
        <w:tc>
          <w:tcPr>
            <w:tcW w:w="256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流动比率（倍）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5"/>
              <w:jc w:val="right"/>
              <w:rPr>
                <w:rFonts w:ascii="Times New Roman" w:hAnsi="Times New Roman" w:cs="Times New Roman" w:eastAsia="Times New Roman" w:hint="default"/>
                <w:sz w:val="21"/>
                <w:szCs w:val="21"/>
              </w:rPr>
            </w:pPr>
            <w:r>
              <w:rPr>
                <w:rFonts w:ascii="Times New Roman"/>
                <w:sz w:val="21"/>
              </w:rPr>
              <w:t>4.02</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5"/>
              <w:jc w:val="right"/>
              <w:rPr>
                <w:rFonts w:ascii="Times New Roman" w:hAnsi="Times New Roman" w:cs="Times New Roman" w:eastAsia="Times New Roman" w:hint="default"/>
                <w:sz w:val="21"/>
                <w:szCs w:val="21"/>
              </w:rPr>
            </w:pPr>
            <w:r>
              <w:rPr>
                <w:rFonts w:ascii="Times New Roman"/>
                <w:sz w:val="21"/>
              </w:rPr>
              <w:t>5.25</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2"/>
              <w:jc w:val="right"/>
              <w:rPr>
                <w:rFonts w:ascii="Times New Roman" w:hAnsi="Times New Roman" w:cs="Times New Roman" w:eastAsia="Times New Roman" w:hint="default"/>
                <w:sz w:val="21"/>
                <w:szCs w:val="21"/>
              </w:rPr>
            </w:pPr>
            <w:r>
              <w:rPr>
                <w:rFonts w:ascii="Times New Roman"/>
                <w:spacing w:val="-1"/>
                <w:sz w:val="21"/>
              </w:rPr>
              <w:t>-1.23</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right="185"/>
              <w:jc w:val="right"/>
              <w:rPr>
                <w:rFonts w:ascii="Times New Roman" w:hAnsi="Times New Roman" w:cs="Times New Roman" w:eastAsia="Times New Roman" w:hint="default"/>
                <w:sz w:val="21"/>
                <w:szCs w:val="21"/>
              </w:rPr>
            </w:pPr>
            <w:r>
              <w:rPr>
                <w:rFonts w:ascii="Times New Roman"/>
                <w:sz w:val="21"/>
              </w:rPr>
              <w:t>7.51</w:t>
            </w:r>
          </w:p>
        </w:tc>
      </w:tr>
      <w:tr>
        <w:trPr>
          <w:trHeight w:val="281" w:hRule="exact"/>
        </w:trPr>
        <w:tc>
          <w:tcPr>
            <w:tcW w:w="256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速动比率（倍）</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5"/>
              <w:jc w:val="right"/>
              <w:rPr>
                <w:rFonts w:ascii="Times New Roman" w:hAnsi="Times New Roman" w:cs="Times New Roman" w:eastAsia="Times New Roman" w:hint="default"/>
                <w:sz w:val="21"/>
                <w:szCs w:val="21"/>
              </w:rPr>
            </w:pPr>
            <w:r>
              <w:rPr>
                <w:rFonts w:ascii="Times New Roman"/>
                <w:sz w:val="21"/>
              </w:rPr>
              <w:t>3.98</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5"/>
              <w:jc w:val="right"/>
              <w:rPr>
                <w:rFonts w:ascii="Times New Roman" w:hAnsi="Times New Roman" w:cs="Times New Roman" w:eastAsia="Times New Roman" w:hint="default"/>
                <w:sz w:val="21"/>
                <w:szCs w:val="21"/>
              </w:rPr>
            </w:pPr>
            <w:r>
              <w:rPr>
                <w:rFonts w:ascii="Times New Roman"/>
                <w:sz w:val="21"/>
              </w:rPr>
              <w:t>5.19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2"/>
              <w:jc w:val="right"/>
              <w:rPr>
                <w:rFonts w:ascii="Times New Roman" w:hAnsi="Times New Roman" w:cs="Times New Roman" w:eastAsia="Times New Roman" w:hint="default"/>
                <w:sz w:val="21"/>
                <w:szCs w:val="21"/>
              </w:rPr>
            </w:pPr>
            <w:r>
              <w:rPr>
                <w:rFonts w:ascii="Times New Roman"/>
                <w:spacing w:val="-1"/>
                <w:sz w:val="21"/>
              </w:rPr>
              <w:t>-1.21</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right="185"/>
              <w:jc w:val="right"/>
              <w:rPr>
                <w:rFonts w:ascii="Times New Roman" w:hAnsi="Times New Roman" w:cs="Times New Roman" w:eastAsia="Times New Roman" w:hint="default"/>
                <w:sz w:val="21"/>
                <w:szCs w:val="21"/>
              </w:rPr>
            </w:pPr>
            <w:r>
              <w:rPr>
                <w:rFonts w:ascii="Times New Roman"/>
                <w:sz w:val="21"/>
              </w:rPr>
              <w:t>7.51</w:t>
            </w:r>
          </w:p>
        </w:tc>
      </w:tr>
      <w:tr>
        <w:trPr>
          <w:trHeight w:val="317" w:hRule="exact"/>
        </w:trPr>
        <w:tc>
          <w:tcPr>
            <w:tcW w:w="2569"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84"/>
              <w:jc w:val="right"/>
              <w:rPr>
                <w:rFonts w:ascii="Times New Roman" w:hAnsi="Times New Roman" w:cs="Times New Roman" w:eastAsia="Times New Roman" w:hint="default"/>
                <w:sz w:val="21"/>
                <w:szCs w:val="21"/>
              </w:rPr>
            </w:pPr>
            <w:r>
              <w:rPr>
                <w:rFonts w:ascii="Times New Roman"/>
                <w:sz w:val="21"/>
              </w:rPr>
              <w:t>19.15%</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8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14.53</w:t>
            </w:r>
            <w:r>
              <w:rPr>
                <w:rFonts w:ascii="宋体" w:hAnsi="宋体" w:cs="宋体" w:eastAsia="宋体" w:hint="default"/>
                <w:spacing w:val="-1"/>
                <w:sz w:val="21"/>
                <w:szCs w:val="21"/>
              </w:rPr>
              <w:t>％</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49"/>
              <w:jc w:val="right"/>
              <w:rPr>
                <w:rFonts w:ascii="宋体" w:hAnsi="宋体" w:cs="宋体" w:eastAsia="宋体" w:hint="default"/>
                <w:sz w:val="21"/>
                <w:szCs w:val="21"/>
              </w:rPr>
            </w:pPr>
            <w:r>
              <w:rPr>
                <w:rFonts w:ascii="Times New Roman" w:hAnsi="Times New Roman" w:cs="Times New Roman" w:eastAsia="Times New Roman" w:hint="default"/>
                <w:sz w:val="21"/>
                <w:szCs w:val="21"/>
              </w:rPr>
              <w:t>4.62</w:t>
            </w:r>
            <w:r>
              <w:rPr>
                <w:rFonts w:ascii="宋体" w:hAnsi="宋体" w:cs="宋体" w:eastAsia="宋体" w:hint="default"/>
                <w:sz w:val="21"/>
                <w:szCs w:val="21"/>
              </w:rPr>
              <w:t>％</w:t>
            </w:r>
          </w:p>
        </w:tc>
        <w:tc>
          <w:tcPr>
            <w:tcW w:w="1421"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right="184"/>
              <w:jc w:val="right"/>
              <w:rPr>
                <w:rFonts w:ascii="Times New Roman" w:hAnsi="Times New Roman" w:cs="Times New Roman" w:eastAsia="Times New Roman" w:hint="default"/>
                <w:sz w:val="21"/>
                <w:szCs w:val="21"/>
              </w:rPr>
            </w:pPr>
            <w:r>
              <w:rPr>
                <w:rFonts w:ascii="Times New Roman"/>
                <w:spacing w:val="-2"/>
                <w:sz w:val="21"/>
              </w:rPr>
              <w:t>11.94%</w:t>
            </w:r>
          </w:p>
        </w:tc>
      </w:tr>
      <w:tr>
        <w:trPr>
          <w:trHeight w:val="295" w:hRule="exact"/>
        </w:trPr>
        <w:tc>
          <w:tcPr>
            <w:tcW w:w="2569"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资产负债率</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84"/>
              <w:jc w:val="right"/>
              <w:rPr>
                <w:rFonts w:ascii="Times New Roman" w:hAnsi="Times New Roman" w:cs="Times New Roman" w:eastAsia="Times New Roman" w:hint="default"/>
                <w:sz w:val="21"/>
                <w:szCs w:val="21"/>
              </w:rPr>
            </w:pPr>
            <w:r>
              <w:rPr>
                <w:rFonts w:ascii="Times New Roman"/>
                <w:sz w:val="21"/>
              </w:rPr>
              <w:t>21.74%</w:t>
            </w:r>
          </w:p>
        </w:tc>
        <w:tc>
          <w:tcPr>
            <w:tcW w:w="1524"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84"/>
              <w:jc w:val="right"/>
              <w:rPr>
                <w:rFonts w:ascii="Times New Roman" w:hAnsi="Times New Roman" w:cs="Times New Roman" w:eastAsia="Times New Roman" w:hint="default"/>
                <w:sz w:val="21"/>
                <w:szCs w:val="21"/>
              </w:rPr>
            </w:pPr>
            <w:r>
              <w:rPr>
                <w:rFonts w:ascii="Times New Roman"/>
                <w:sz w:val="21"/>
              </w:rPr>
              <w:t>17.19%</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right="149"/>
              <w:jc w:val="right"/>
              <w:rPr>
                <w:rFonts w:ascii="宋体" w:hAnsi="宋体" w:cs="宋体" w:eastAsia="宋体" w:hint="default"/>
                <w:sz w:val="21"/>
                <w:szCs w:val="21"/>
              </w:rPr>
            </w:pPr>
            <w:r>
              <w:rPr>
                <w:rFonts w:ascii="Times New Roman" w:hAnsi="Times New Roman" w:cs="Times New Roman" w:eastAsia="Times New Roman" w:hint="default"/>
                <w:sz w:val="21"/>
                <w:szCs w:val="21"/>
              </w:rPr>
              <w:t>4.55</w:t>
            </w:r>
            <w:r>
              <w:rPr>
                <w:rFonts w:ascii="宋体" w:hAnsi="宋体" w:cs="宋体" w:eastAsia="宋体" w:hint="default"/>
                <w:sz w:val="21"/>
                <w:szCs w:val="21"/>
              </w:rPr>
              <w:t>％</w:t>
            </w:r>
          </w:p>
        </w:tc>
        <w:tc>
          <w:tcPr>
            <w:tcW w:w="1421" w:type="dxa"/>
            <w:tcBorders>
              <w:top w:val="single" w:sz="6" w:space="0" w:color="000000"/>
              <w:left w:val="single" w:sz="6" w:space="0" w:color="000000"/>
              <w:bottom w:val="single" w:sz="12" w:space="0" w:color="000000"/>
              <w:right w:val="single" w:sz="12" w:space="0" w:color="000000"/>
            </w:tcBorders>
          </w:tcPr>
          <w:p>
            <w:pPr>
              <w:pStyle w:val="TableParagraph"/>
              <w:spacing w:line="235" w:lineRule="exact"/>
              <w:ind w:right="184"/>
              <w:jc w:val="right"/>
              <w:rPr>
                <w:rFonts w:ascii="Times New Roman" w:hAnsi="Times New Roman" w:cs="Times New Roman" w:eastAsia="Times New Roman" w:hint="default"/>
                <w:sz w:val="21"/>
                <w:szCs w:val="21"/>
              </w:rPr>
            </w:pPr>
            <w:r>
              <w:rPr>
                <w:rFonts w:ascii="Times New Roman"/>
                <w:sz w:val="21"/>
              </w:rPr>
              <w:t>12.06%</w:t>
            </w:r>
          </w:p>
        </w:tc>
      </w:tr>
    </w:tbl>
    <w:p>
      <w:pPr>
        <w:spacing w:line="240" w:lineRule="auto" w:before="5"/>
        <w:rPr>
          <w:rFonts w:ascii="宋体" w:hAnsi="宋体" w:cs="宋体" w:eastAsia="宋体" w:hint="default"/>
          <w:b/>
          <w:bCs/>
          <w:sz w:val="23"/>
          <w:szCs w:val="23"/>
        </w:rPr>
      </w:pPr>
    </w:p>
    <w:p>
      <w:pPr>
        <w:pStyle w:val="Heading5"/>
        <w:spacing w:line="240" w:lineRule="auto" w:before="26"/>
        <w:ind w:left="240" w:right="121"/>
        <w:jc w:val="left"/>
        <w:rPr>
          <w:b w:val="0"/>
          <w:bCs w:val="0"/>
        </w:rPr>
      </w:pPr>
      <w:r>
        <w:rPr/>
        <w:t>（</w:t>
      </w:r>
      <w:r>
        <w:rPr>
          <w:rFonts w:ascii="Times New Roman" w:hAnsi="Times New Roman" w:cs="Times New Roman" w:eastAsia="Times New Roman" w:hint="default"/>
        </w:rPr>
        <w:t>10</w:t>
      </w:r>
      <w:r>
        <w:rPr/>
        <w:t>）资产运营能力分析</w:t>
      </w:r>
      <w:r>
        <w:rPr>
          <w:b w:val="0"/>
          <w:bCs w:val="0"/>
        </w:rPr>
      </w:r>
    </w:p>
    <w:p>
      <w:pPr>
        <w:spacing w:line="240" w:lineRule="auto" w:before="6"/>
        <w:rPr>
          <w:rFonts w:ascii="宋体" w:hAnsi="宋体" w:cs="宋体" w:eastAsia="宋体" w:hint="default"/>
          <w:b/>
          <w:bCs/>
          <w:sz w:val="26"/>
          <w:szCs w:val="26"/>
        </w:rPr>
      </w:pPr>
    </w:p>
    <w:p>
      <w:pPr>
        <w:spacing w:before="36"/>
        <w:ind w:left="0" w:right="386"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单位：次</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年</w:t>
      </w:r>
      <w:r>
        <w:rPr>
          <w:rFonts w:ascii="宋体" w:hAnsi="宋体" w:cs="宋体" w:eastAsia="宋体" w:hint="default"/>
          <w:spacing w:val="-1"/>
          <w:sz w:val="21"/>
          <w:szCs w:val="21"/>
        </w:rPr>
      </w:r>
    </w:p>
    <w:p>
      <w:pPr>
        <w:spacing w:line="240" w:lineRule="auto" w:before="8"/>
        <w:rPr>
          <w:rFonts w:ascii="宋体" w:hAnsi="宋体" w:cs="宋体" w:eastAsia="宋体" w:hint="default"/>
          <w:b/>
          <w:bCs/>
          <w:sz w:val="2"/>
          <w:szCs w:val="2"/>
        </w:rPr>
      </w:pPr>
    </w:p>
    <w:tbl>
      <w:tblPr>
        <w:tblW w:w="0" w:type="auto"/>
        <w:jc w:val="left"/>
        <w:tblInd w:w="211" w:type="dxa"/>
        <w:tblLayout w:type="fixed"/>
        <w:tblCellMar>
          <w:top w:w="0" w:type="dxa"/>
          <w:left w:w="0" w:type="dxa"/>
          <w:bottom w:w="0" w:type="dxa"/>
          <w:right w:w="0" w:type="dxa"/>
        </w:tblCellMar>
        <w:tblLook w:val="01E0"/>
      </w:tblPr>
      <w:tblGrid>
        <w:gridCol w:w="2204"/>
        <w:gridCol w:w="1632"/>
        <w:gridCol w:w="1628"/>
        <w:gridCol w:w="1630"/>
        <w:gridCol w:w="1628"/>
      </w:tblGrid>
      <w:tr>
        <w:trPr>
          <w:trHeight w:val="348" w:hRule="exact"/>
        </w:trPr>
        <w:tc>
          <w:tcPr>
            <w:tcW w:w="2204"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2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32"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465"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28" w:type="dxa"/>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45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53"/>
              <w:jc w:val="center"/>
              <w:rPr>
                <w:rFonts w:ascii="宋体" w:hAnsi="宋体" w:cs="宋体" w:eastAsia="宋体" w:hint="default"/>
                <w:sz w:val="21"/>
                <w:szCs w:val="21"/>
              </w:rPr>
            </w:pPr>
            <w:r>
              <w:rPr>
                <w:rFonts w:ascii="宋体" w:hAnsi="宋体" w:cs="宋体" w:eastAsia="宋体" w:hint="default"/>
                <w:b/>
                <w:bCs/>
                <w:sz w:val="21"/>
                <w:szCs w:val="21"/>
              </w:rPr>
              <w:t>同比上年增减</w:t>
            </w:r>
            <w:r>
              <w:rPr>
                <w:rFonts w:ascii="宋体" w:hAnsi="宋体" w:cs="宋体" w:eastAsia="宋体" w:hint="default"/>
                <w:sz w:val="21"/>
                <w:szCs w:val="21"/>
              </w:rPr>
            </w:r>
          </w:p>
        </w:tc>
        <w:tc>
          <w:tcPr>
            <w:tcW w:w="1628" w:type="dxa"/>
            <w:tcBorders>
              <w:top w:val="single" w:sz="12" w:space="0" w:color="000000"/>
              <w:left w:val="single" w:sz="6" w:space="0" w:color="000000"/>
              <w:bottom w:val="single" w:sz="6" w:space="0" w:color="000000"/>
              <w:right w:val="single" w:sz="12" w:space="0" w:color="000000"/>
            </w:tcBorders>
          </w:tcPr>
          <w:p>
            <w:pPr>
              <w:pStyle w:val="TableParagraph"/>
              <w:spacing w:line="257" w:lineRule="exact"/>
              <w:ind w:left="39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2009 </w:t>
            </w:r>
            <w:r>
              <w:rPr>
                <w:rFonts w:ascii="宋体" w:hAnsi="宋体" w:cs="宋体" w:eastAsia="宋体" w:hint="default"/>
                <w:b/>
                <w:bCs/>
                <w:sz w:val="21"/>
                <w:szCs w:val="21"/>
              </w:rPr>
              <w:t>年度</w:t>
            </w:r>
            <w:r>
              <w:rPr>
                <w:rFonts w:ascii="宋体" w:hAnsi="宋体" w:cs="宋体" w:eastAsia="宋体" w:hint="default"/>
                <w:sz w:val="21"/>
                <w:szCs w:val="21"/>
              </w:rPr>
            </w:r>
          </w:p>
        </w:tc>
      </w:tr>
      <w:tr>
        <w:trPr>
          <w:trHeight w:val="274" w:hRule="exact"/>
        </w:trPr>
        <w:tc>
          <w:tcPr>
            <w:tcW w:w="22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32"/>
              <w:jc w:val="center"/>
              <w:rPr>
                <w:rFonts w:ascii="Times New Roman" w:hAnsi="Times New Roman" w:cs="Times New Roman" w:eastAsia="Times New Roman" w:hint="default"/>
                <w:sz w:val="21"/>
                <w:szCs w:val="21"/>
              </w:rPr>
            </w:pPr>
            <w:r>
              <w:rPr>
                <w:rFonts w:ascii="Times New Roman"/>
                <w:sz w:val="21"/>
              </w:rPr>
              <w:t>2.70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32"/>
              <w:jc w:val="center"/>
              <w:rPr>
                <w:rFonts w:ascii="Times New Roman" w:hAnsi="Times New Roman" w:cs="Times New Roman" w:eastAsia="Times New Roman" w:hint="default"/>
                <w:sz w:val="21"/>
                <w:szCs w:val="21"/>
              </w:rPr>
            </w:pPr>
            <w:r>
              <w:rPr>
                <w:rFonts w:ascii="Times New Roman"/>
                <w:sz w:val="21"/>
              </w:rPr>
              <w:t>2.83</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72"/>
              <w:jc w:val="center"/>
              <w:rPr>
                <w:rFonts w:ascii="Times New Roman" w:hAnsi="Times New Roman" w:cs="Times New Roman" w:eastAsia="Times New Roman" w:hint="default"/>
                <w:sz w:val="21"/>
                <w:szCs w:val="21"/>
              </w:rPr>
            </w:pPr>
            <w:r>
              <w:rPr>
                <w:rFonts w:ascii="Times New Roman"/>
                <w:sz w:val="21"/>
              </w:rPr>
              <w:t>-0.13</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36" w:lineRule="exact"/>
              <w:ind w:right="129"/>
              <w:jc w:val="center"/>
              <w:rPr>
                <w:rFonts w:ascii="Times New Roman" w:hAnsi="Times New Roman" w:cs="Times New Roman" w:eastAsia="Times New Roman" w:hint="default"/>
                <w:sz w:val="21"/>
                <w:szCs w:val="21"/>
              </w:rPr>
            </w:pPr>
            <w:r>
              <w:rPr>
                <w:rFonts w:ascii="Times New Roman"/>
                <w:sz w:val="21"/>
              </w:rPr>
              <w:t>3.12</w:t>
            </w:r>
          </w:p>
        </w:tc>
      </w:tr>
      <w:tr>
        <w:trPr>
          <w:trHeight w:val="281" w:hRule="exact"/>
        </w:trPr>
        <w:tc>
          <w:tcPr>
            <w:tcW w:w="2204"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309" w:right="0"/>
              <w:jc w:val="left"/>
              <w:rPr>
                <w:rFonts w:ascii="宋体" w:hAnsi="宋体" w:cs="宋体" w:eastAsia="宋体" w:hint="default"/>
                <w:sz w:val="21"/>
                <w:szCs w:val="21"/>
              </w:rPr>
            </w:pPr>
            <w:r>
              <w:rPr>
                <w:rFonts w:ascii="宋体" w:hAnsi="宋体" w:cs="宋体" w:eastAsia="宋体" w:hint="default"/>
                <w:sz w:val="21"/>
                <w:szCs w:val="21"/>
              </w:rPr>
              <w:t>流动资产周转率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32"/>
              <w:jc w:val="center"/>
              <w:rPr>
                <w:rFonts w:ascii="Times New Roman" w:hAnsi="Times New Roman" w:cs="Times New Roman" w:eastAsia="Times New Roman" w:hint="default"/>
                <w:sz w:val="21"/>
                <w:szCs w:val="21"/>
              </w:rPr>
            </w:pPr>
            <w:r>
              <w:rPr>
                <w:rFonts w:ascii="Times New Roman"/>
                <w:sz w:val="21"/>
              </w:rPr>
              <w:t>0.52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32"/>
              <w:jc w:val="center"/>
              <w:rPr>
                <w:rFonts w:ascii="Times New Roman" w:hAnsi="Times New Roman" w:cs="Times New Roman" w:eastAsia="Times New Roman" w:hint="default"/>
                <w:sz w:val="21"/>
                <w:szCs w:val="21"/>
              </w:rPr>
            </w:pPr>
            <w:r>
              <w:rPr>
                <w:rFonts w:ascii="Times New Roman"/>
                <w:sz w:val="21"/>
              </w:rPr>
              <w:t>0.39</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67"/>
              <w:jc w:val="center"/>
              <w:rPr>
                <w:rFonts w:ascii="Times New Roman" w:hAnsi="Times New Roman" w:cs="Times New Roman" w:eastAsia="Times New Roman" w:hint="default"/>
                <w:sz w:val="21"/>
                <w:szCs w:val="21"/>
              </w:rPr>
            </w:pPr>
            <w:r>
              <w:rPr>
                <w:rFonts w:ascii="Times New Roman"/>
                <w:sz w:val="21"/>
              </w:rPr>
              <w:t>0.13</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37" w:lineRule="exact"/>
              <w:ind w:right="129"/>
              <w:jc w:val="center"/>
              <w:rPr>
                <w:rFonts w:ascii="Times New Roman" w:hAnsi="Times New Roman" w:cs="Times New Roman" w:eastAsia="Times New Roman" w:hint="default"/>
                <w:sz w:val="21"/>
                <w:szCs w:val="21"/>
              </w:rPr>
            </w:pPr>
            <w:r>
              <w:rPr>
                <w:rFonts w:ascii="Times New Roman"/>
                <w:sz w:val="21"/>
              </w:rPr>
              <w:t>0.51</w:t>
            </w:r>
          </w:p>
        </w:tc>
      </w:tr>
      <w:tr>
        <w:trPr>
          <w:trHeight w:val="288" w:hRule="exact"/>
        </w:trPr>
        <w:tc>
          <w:tcPr>
            <w:tcW w:w="2204"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非流动资产周转率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2.40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2.55</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72"/>
              <w:jc w:val="center"/>
              <w:rPr>
                <w:rFonts w:ascii="Times New Roman" w:hAnsi="Times New Roman" w:cs="Times New Roman" w:eastAsia="Times New Roman" w:hint="default"/>
                <w:sz w:val="21"/>
                <w:szCs w:val="21"/>
              </w:rPr>
            </w:pPr>
            <w:r>
              <w:rPr>
                <w:rFonts w:ascii="Times New Roman"/>
                <w:sz w:val="21"/>
              </w:rPr>
              <w:t>-0.15</w:t>
            </w:r>
          </w:p>
        </w:tc>
        <w:tc>
          <w:tcPr>
            <w:tcW w:w="1628"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right="129"/>
              <w:jc w:val="center"/>
              <w:rPr>
                <w:rFonts w:ascii="Times New Roman" w:hAnsi="Times New Roman" w:cs="Times New Roman" w:eastAsia="Times New Roman" w:hint="default"/>
                <w:sz w:val="21"/>
                <w:szCs w:val="21"/>
              </w:rPr>
            </w:pPr>
            <w:r>
              <w:rPr>
                <w:rFonts w:ascii="Times New Roman"/>
                <w:sz w:val="21"/>
              </w:rPr>
              <w:t>2.99</w:t>
            </w:r>
          </w:p>
        </w:tc>
      </w:tr>
      <w:tr>
        <w:trPr>
          <w:trHeight w:val="276" w:hRule="exact"/>
        </w:trPr>
        <w:tc>
          <w:tcPr>
            <w:tcW w:w="2204"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总资产周转率</w:t>
            </w:r>
          </w:p>
        </w:tc>
        <w:tc>
          <w:tcPr>
            <w:tcW w:w="1632"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0.43</w:t>
            </w:r>
          </w:p>
        </w:tc>
        <w:tc>
          <w:tcPr>
            <w:tcW w:w="1628"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132"/>
              <w:jc w:val="center"/>
              <w:rPr>
                <w:rFonts w:ascii="Times New Roman" w:hAnsi="Times New Roman" w:cs="Times New Roman" w:eastAsia="Times New Roman" w:hint="default"/>
                <w:sz w:val="21"/>
                <w:szCs w:val="21"/>
              </w:rPr>
            </w:pPr>
            <w:r>
              <w:rPr>
                <w:rFonts w:ascii="Times New Roman"/>
                <w:sz w:val="21"/>
              </w:rPr>
              <w:t>0.34</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35" w:lineRule="exact"/>
              <w:ind w:right="67"/>
              <w:jc w:val="center"/>
              <w:rPr>
                <w:rFonts w:ascii="Times New Roman" w:hAnsi="Times New Roman" w:cs="Times New Roman" w:eastAsia="Times New Roman" w:hint="default"/>
                <w:sz w:val="21"/>
                <w:szCs w:val="21"/>
              </w:rPr>
            </w:pPr>
            <w:r>
              <w:rPr>
                <w:rFonts w:ascii="Times New Roman"/>
                <w:sz w:val="21"/>
              </w:rPr>
              <w:t>0.09</w:t>
            </w:r>
          </w:p>
        </w:tc>
        <w:tc>
          <w:tcPr>
            <w:tcW w:w="1628" w:type="dxa"/>
            <w:tcBorders>
              <w:top w:val="single" w:sz="6" w:space="0" w:color="000000"/>
              <w:left w:val="single" w:sz="6" w:space="0" w:color="000000"/>
              <w:bottom w:val="single" w:sz="12" w:space="0" w:color="000000"/>
              <w:right w:val="single" w:sz="12" w:space="0" w:color="000000"/>
            </w:tcBorders>
          </w:tcPr>
          <w:p>
            <w:pPr>
              <w:pStyle w:val="TableParagraph"/>
              <w:spacing w:line="235" w:lineRule="exact"/>
              <w:ind w:right="129"/>
              <w:jc w:val="center"/>
              <w:rPr>
                <w:rFonts w:ascii="Times New Roman" w:hAnsi="Times New Roman" w:cs="Times New Roman" w:eastAsia="Times New Roman" w:hint="default"/>
                <w:sz w:val="21"/>
                <w:szCs w:val="21"/>
              </w:rPr>
            </w:pPr>
            <w:r>
              <w:rPr>
                <w:rFonts w:ascii="Times New Roman"/>
                <w:sz w:val="21"/>
              </w:rPr>
              <w:t>0.43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spacing w:line="552" w:lineRule="auto" w:before="26"/>
        <w:ind w:left="720" w:right="1726"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11</w:t>
      </w:r>
      <w:r>
        <w:rPr>
          <w:rFonts w:ascii="宋体" w:hAnsi="宋体" w:cs="宋体" w:eastAsia="宋体" w:hint="default"/>
          <w:b/>
          <w:bCs/>
          <w:sz w:val="24"/>
          <w:szCs w:val="24"/>
        </w:rPr>
        <w:t>）薪酬分析</w:t>
      </w:r>
      <w:r>
        <w:rPr>
          <w:rFonts w:ascii="宋体" w:hAnsi="宋体" w:cs="宋体" w:eastAsia="宋体" w:hint="default"/>
          <w:b/>
          <w:bCs/>
          <w:w w:val="99"/>
          <w:sz w:val="24"/>
          <w:szCs w:val="24"/>
        </w:rPr>
        <w:t> </w:t>
      </w:r>
      <w:r>
        <w:rPr>
          <w:rFonts w:ascii="宋体" w:hAnsi="宋体" w:cs="宋体" w:eastAsia="宋体" w:hint="default"/>
          <w:sz w:val="24"/>
          <w:szCs w:val="24"/>
        </w:rPr>
        <w:t>详见本报告第六节——董事、监事、高级管理人员和员工情况。</w:t>
      </w:r>
    </w:p>
    <w:p>
      <w:pPr>
        <w:pStyle w:val="Heading5"/>
        <w:spacing w:line="240" w:lineRule="auto" w:before="134"/>
        <w:ind w:left="240" w:right="121"/>
        <w:jc w:val="left"/>
        <w:rPr>
          <w:b w:val="0"/>
          <w:bCs w:val="0"/>
        </w:rPr>
      </w:pPr>
      <w:r>
        <w:rPr/>
        <w:t>（</w:t>
      </w:r>
      <w:r>
        <w:rPr>
          <w:rFonts w:ascii="Times New Roman" w:hAnsi="Times New Roman" w:cs="Times New Roman" w:eastAsia="Times New Roman" w:hint="default"/>
        </w:rPr>
        <w:t>12</w:t>
      </w:r>
      <w:r>
        <w:rPr/>
        <w:t>）产品研发情况</w:t>
      </w:r>
      <w:r>
        <w:rPr>
          <w:b w:val="0"/>
          <w:bCs w:val="0"/>
        </w:rPr>
      </w:r>
    </w:p>
    <w:p>
      <w:pPr>
        <w:spacing w:line="240" w:lineRule="auto" w:before="1"/>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footerReference w:type="default" r:id="rId14"/>
          <w:pgSz w:w="11910" w:h="16840"/>
          <w:pgMar w:footer="1007" w:header="884" w:top="1140" w:bottom="1200" w:left="1560" w:right="1160"/>
        </w:sectPr>
      </w:pPr>
    </w:p>
    <w:p>
      <w:pPr>
        <w:pStyle w:val="BodyText"/>
        <w:spacing w:line="240" w:lineRule="auto" w:before="26"/>
        <w:ind w:left="660" w:right="-20"/>
        <w:jc w:val="left"/>
      </w:pPr>
      <w:r>
        <w:rPr>
          <w:rFonts w:ascii="Times New Roman" w:hAnsi="Times New Roman" w:cs="Times New Roman" w:eastAsia="Times New Roman" w:hint="default"/>
        </w:rPr>
        <w:t>1</w:t>
      </w:r>
      <w:r>
        <w:rPr/>
        <w:t>）研发费用投入情况</w:t>
      </w:r>
    </w:p>
    <w:p>
      <w:pPr>
        <w:spacing w:line="240" w:lineRule="auto" w:before="12"/>
        <w:rPr>
          <w:rFonts w:ascii="宋体" w:hAnsi="宋体" w:cs="宋体" w:eastAsia="宋体" w:hint="default"/>
          <w:sz w:val="27"/>
          <w:szCs w:val="27"/>
        </w:rPr>
      </w:pPr>
      <w:r>
        <w:rPr/>
        <w:br w:type="column"/>
      </w:r>
      <w:r>
        <w:rPr>
          <w:rFonts w:ascii="宋体"/>
          <w:sz w:val="27"/>
        </w:rPr>
      </w:r>
    </w:p>
    <w:p>
      <w:pPr>
        <w:spacing w:before="0"/>
        <w:ind w:left="660" w:right="0" w:firstLine="0"/>
        <w:jc w:val="left"/>
        <w:rPr>
          <w:rFonts w:ascii="宋体" w:hAnsi="宋体" w:cs="宋体" w:eastAsia="宋体" w:hint="default"/>
          <w:sz w:val="21"/>
          <w:szCs w:val="21"/>
        </w:rPr>
      </w:pPr>
      <w:r>
        <w:rPr>
          <w:rFonts w:ascii="宋体" w:hAnsi="宋体" w:cs="宋体" w:eastAsia="宋体" w:hint="default"/>
          <w:b/>
          <w:bCs/>
          <w:sz w:val="21"/>
          <w:szCs w:val="21"/>
        </w:rPr>
        <w:t>单位：人民币（万元）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440" w:bottom="280" w:left="1560" w:right="1160"/>
          <w:cols w:num="2" w:equalWidth="0">
            <w:col w:w="2941" w:space="3089"/>
            <w:col w:w="3160"/>
          </w:cols>
        </w:sectPr>
      </w:pP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1920"/>
        <w:gridCol w:w="1971"/>
        <w:gridCol w:w="1820"/>
        <w:gridCol w:w="1272"/>
        <w:gridCol w:w="1925"/>
      </w:tblGrid>
      <w:tr>
        <w:trPr>
          <w:trHeight w:val="324" w:hRule="exact"/>
        </w:trPr>
        <w:tc>
          <w:tcPr>
            <w:tcW w:w="192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8"/>
              <w:ind w:right="197"/>
              <w:jc w:val="center"/>
              <w:rPr>
                <w:rFonts w:ascii="宋体" w:hAnsi="宋体" w:cs="宋体" w:eastAsia="宋体" w:hint="default"/>
                <w:sz w:val="21"/>
                <w:szCs w:val="21"/>
              </w:rPr>
            </w:pPr>
            <w:r>
              <w:rPr>
                <w:rFonts w:ascii="宋体" w:hAnsi="宋体" w:cs="宋体" w:eastAsia="宋体" w:hint="default"/>
                <w:b/>
                <w:bCs/>
                <w:spacing w:val="-5"/>
                <w:sz w:val="21"/>
                <w:szCs w:val="21"/>
              </w:rPr>
              <w:t>项目</w:t>
            </w:r>
            <w:r>
              <w:rPr>
                <w:rFonts w:ascii="宋体" w:hAnsi="宋体" w:cs="宋体" w:eastAsia="宋体" w:hint="default"/>
                <w:sz w:val="21"/>
                <w:szCs w:val="21"/>
              </w:rPr>
            </w:r>
          </w:p>
        </w:tc>
        <w:tc>
          <w:tcPr>
            <w:tcW w:w="197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468"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宋体" w:hAnsi="宋体" w:cs="宋体" w:eastAsia="宋体" w:hint="default"/>
                <w:b/>
                <w:bCs/>
                <w:spacing w:val="-4"/>
                <w:sz w:val="21"/>
                <w:szCs w:val="21"/>
              </w:rPr>
              <w:t>年度</w:t>
            </w:r>
            <w:r>
              <w:rPr>
                <w:rFonts w:ascii="宋体" w:hAnsi="宋体" w:cs="宋体" w:eastAsia="宋体" w:hint="default"/>
                <w:sz w:val="21"/>
                <w:szCs w:val="21"/>
              </w:rPr>
            </w:r>
          </w:p>
        </w:tc>
        <w:tc>
          <w:tcPr>
            <w:tcW w:w="18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left="393"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2010</w:t>
            </w:r>
            <w:r>
              <w:rPr>
                <w:rFonts w:ascii="宋体" w:hAnsi="宋体" w:cs="宋体" w:eastAsia="宋体" w:hint="default"/>
                <w:b/>
                <w:bCs/>
                <w:spacing w:val="-4"/>
                <w:sz w:val="21"/>
                <w:szCs w:val="21"/>
              </w:rPr>
              <w:t>年度</w:t>
            </w:r>
            <w:r>
              <w:rPr>
                <w:rFonts w:ascii="宋体" w:hAnsi="宋体" w:cs="宋体" w:eastAsia="宋体" w:hint="default"/>
                <w:sz w:val="21"/>
                <w:szCs w:val="21"/>
              </w:rPr>
            </w:r>
          </w:p>
        </w:tc>
        <w:tc>
          <w:tcPr>
            <w:tcW w:w="12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8"/>
              <w:ind w:right="305"/>
              <w:jc w:val="right"/>
              <w:rPr>
                <w:rFonts w:ascii="宋体" w:hAnsi="宋体" w:cs="宋体" w:eastAsia="宋体" w:hint="default"/>
                <w:sz w:val="21"/>
                <w:szCs w:val="21"/>
              </w:rPr>
            </w:pPr>
            <w:r>
              <w:rPr>
                <w:rFonts w:ascii="宋体" w:hAnsi="宋体" w:cs="宋体" w:eastAsia="宋体" w:hint="default"/>
                <w:b/>
                <w:bCs/>
                <w:spacing w:val="-4"/>
                <w:sz w:val="21"/>
                <w:szCs w:val="21"/>
              </w:rPr>
              <w:t>同比增减</w:t>
            </w:r>
            <w:r>
              <w:rPr>
                <w:rFonts w:ascii="宋体" w:hAnsi="宋体" w:cs="宋体" w:eastAsia="宋体" w:hint="default"/>
                <w:spacing w:val="-4"/>
                <w:sz w:val="21"/>
                <w:szCs w:val="21"/>
              </w:rPr>
            </w:r>
          </w:p>
        </w:tc>
        <w:tc>
          <w:tcPr>
            <w:tcW w:w="19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8"/>
              <w:ind w:left="446"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2009</w:t>
            </w:r>
            <w:r>
              <w:rPr>
                <w:rFonts w:ascii="宋体" w:hAnsi="宋体" w:cs="宋体" w:eastAsia="宋体" w:hint="default"/>
                <w:b/>
                <w:bCs/>
                <w:spacing w:val="-4"/>
                <w:sz w:val="21"/>
                <w:szCs w:val="21"/>
              </w:rPr>
              <w:t>年度</w:t>
            </w:r>
            <w:r>
              <w:rPr>
                <w:rFonts w:ascii="宋体" w:hAnsi="宋体" w:cs="宋体" w:eastAsia="宋体" w:hint="default"/>
                <w:sz w:val="21"/>
                <w:szCs w:val="21"/>
              </w:rPr>
            </w:r>
          </w:p>
        </w:tc>
      </w:tr>
      <w:tr>
        <w:trPr>
          <w:trHeight w:val="317"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194"/>
              <w:jc w:val="center"/>
              <w:rPr>
                <w:rFonts w:ascii="宋体" w:hAnsi="宋体" w:cs="宋体" w:eastAsia="宋体" w:hint="default"/>
                <w:sz w:val="21"/>
                <w:szCs w:val="21"/>
              </w:rPr>
            </w:pPr>
            <w:r>
              <w:rPr>
                <w:rFonts w:ascii="宋体" w:hAnsi="宋体" w:cs="宋体" w:eastAsia="宋体" w:hint="default"/>
                <w:sz w:val="21"/>
                <w:szCs w:val="21"/>
              </w:rPr>
              <w:t>研发费用</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0"/>
              <w:jc w:val="right"/>
              <w:rPr>
                <w:rFonts w:ascii="Times New Roman" w:hAnsi="Times New Roman" w:cs="Times New Roman" w:eastAsia="Times New Roman" w:hint="default"/>
                <w:sz w:val="21"/>
                <w:szCs w:val="21"/>
              </w:rPr>
            </w:pPr>
            <w:r>
              <w:rPr>
                <w:rFonts w:ascii="Times New Roman"/>
                <w:spacing w:val="-1"/>
                <w:sz w:val="21"/>
              </w:rPr>
              <w:t>5,741.04</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8"/>
              <w:jc w:val="right"/>
              <w:rPr>
                <w:rFonts w:ascii="Times New Roman" w:hAnsi="Times New Roman" w:cs="Times New Roman" w:eastAsia="Times New Roman" w:hint="default"/>
                <w:sz w:val="21"/>
                <w:szCs w:val="21"/>
              </w:rPr>
            </w:pPr>
            <w:r>
              <w:rPr>
                <w:rFonts w:ascii="Times New Roman"/>
                <w:spacing w:val="-1"/>
                <w:sz w:val="21"/>
              </w:rPr>
              <w:t>4,357.92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7"/>
              <w:jc w:val="right"/>
              <w:rPr>
                <w:rFonts w:ascii="Times New Roman" w:hAnsi="Times New Roman" w:cs="Times New Roman" w:eastAsia="Times New Roman" w:hint="default"/>
                <w:sz w:val="21"/>
                <w:szCs w:val="21"/>
              </w:rPr>
            </w:pPr>
            <w:r>
              <w:rPr>
                <w:rFonts w:ascii="Times New Roman"/>
                <w:sz w:val="21"/>
              </w:rPr>
              <w:t>31.74%</w:t>
            </w:r>
          </w:p>
        </w:tc>
        <w:tc>
          <w:tcPr>
            <w:tcW w:w="19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281"/>
              <w:jc w:val="right"/>
              <w:rPr>
                <w:rFonts w:ascii="Times New Roman" w:hAnsi="Times New Roman" w:cs="Times New Roman" w:eastAsia="Times New Roman" w:hint="default"/>
                <w:sz w:val="21"/>
                <w:szCs w:val="21"/>
              </w:rPr>
            </w:pPr>
            <w:r>
              <w:rPr>
                <w:rFonts w:ascii="Times New Roman"/>
                <w:spacing w:val="-1"/>
                <w:sz w:val="21"/>
              </w:rPr>
              <w:t>2,578.12</w:t>
            </w:r>
          </w:p>
        </w:tc>
      </w:tr>
      <w:tr>
        <w:trPr>
          <w:trHeight w:val="314" w:hRule="exact"/>
        </w:trPr>
        <w:tc>
          <w:tcPr>
            <w:tcW w:w="1920" w:type="dxa"/>
            <w:tcBorders>
              <w:top w:val="single" w:sz="6" w:space="0" w:color="000000"/>
              <w:left w:val="single" w:sz="12" w:space="0" w:color="000000"/>
              <w:bottom w:val="single" w:sz="6" w:space="0" w:color="000000"/>
              <w:right w:val="single" w:sz="6" w:space="0" w:color="000000"/>
            </w:tcBorders>
          </w:tcPr>
          <w:p>
            <w:pPr>
              <w:pStyle w:val="TableParagraph"/>
              <w:spacing w:line="270" w:lineRule="exact"/>
              <w:ind w:right="194"/>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0"/>
              <w:jc w:val="right"/>
              <w:rPr>
                <w:rFonts w:ascii="Times New Roman" w:hAnsi="Times New Roman" w:cs="Times New Roman" w:eastAsia="Times New Roman" w:hint="default"/>
                <w:sz w:val="21"/>
                <w:szCs w:val="21"/>
              </w:rPr>
            </w:pPr>
            <w:r>
              <w:rPr>
                <w:rFonts w:ascii="Times New Roman"/>
                <w:spacing w:val="-1"/>
                <w:sz w:val="21"/>
              </w:rPr>
              <w:t>29,310.93</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8"/>
              <w:jc w:val="right"/>
              <w:rPr>
                <w:rFonts w:ascii="Times New Roman" w:hAnsi="Times New Roman" w:cs="Times New Roman" w:eastAsia="Times New Roman" w:hint="default"/>
                <w:sz w:val="21"/>
                <w:szCs w:val="21"/>
              </w:rPr>
            </w:pPr>
            <w:r>
              <w:rPr>
                <w:rFonts w:ascii="Times New Roman"/>
                <w:spacing w:val="-1"/>
                <w:sz w:val="21"/>
              </w:rPr>
              <w:t>20,253.80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7"/>
              <w:jc w:val="right"/>
              <w:rPr>
                <w:rFonts w:ascii="Times New Roman" w:hAnsi="Times New Roman" w:cs="Times New Roman" w:eastAsia="Times New Roman" w:hint="default"/>
                <w:sz w:val="21"/>
                <w:szCs w:val="21"/>
              </w:rPr>
            </w:pPr>
            <w:r>
              <w:rPr>
                <w:rFonts w:ascii="Times New Roman"/>
                <w:sz w:val="21"/>
              </w:rPr>
              <w:t>44.72%</w:t>
            </w:r>
          </w:p>
        </w:tc>
        <w:tc>
          <w:tcPr>
            <w:tcW w:w="192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281"/>
              <w:jc w:val="right"/>
              <w:rPr>
                <w:rFonts w:ascii="Times New Roman" w:hAnsi="Times New Roman" w:cs="Times New Roman" w:eastAsia="Times New Roman" w:hint="default"/>
                <w:sz w:val="21"/>
                <w:szCs w:val="21"/>
              </w:rPr>
            </w:pPr>
            <w:r>
              <w:rPr>
                <w:rFonts w:ascii="Times New Roman"/>
                <w:spacing w:val="-1"/>
                <w:sz w:val="21"/>
              </w:rPr>
              <w:t>15,275.27</w:t>
            </w:r>
          </w:p>
        </w:tc>
      </w:tr>
      <w:tr>
        <w:trPr>
          <w:trHeight w:val="326" w:hRule="exact"/>
        </w:trPr>
        <w:tc>
          <w:tcPr>
            <w:tcW w:w="1920"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ind w:right="197"/>
              <w:jc w:val="center"/>
              <w:rPr>
                <w:rFonts w:ascii="宋体" w:hAnsi="宋体" w:cs="宋体" w:eastAsia="宋体" w:hint="default"/>
                <w:sz w:val="21"/>
                <w:szCs w:val="21"/>
              </w:rPr>
            </w:pPr>
            <w:r>
              <w:rPr>
                <w:rFonts w:ascii="宋体" w:hAnsi="宋体" w:cs="宋体" w:eastAsia="宋体" w:hint="default"/>
                <w:sz w:val="21"/>
                <w:szCs w:val="21"/>
              </w:rPr>
              <w:t>占营业收入比重</w:t>
            </w:r>
          </w:p>
        </w:tc>
        <w:tc>
          <w:tcPr>
            <w:tcW w:w="19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290"/>
              <w:jc w:val="right"/>
              <w:rPr>
                <w:rFonts w:ascii="Times New Roman" w:hAnsi="Times New Roman" w:cs="Times New Roman" w:eastAsia="Times New Roman" w:hint="default"/>
                <w:sz w:val="21"/>
                <w:szCs w:val="21"/>
              </w:rPr>
            </w:pPr>
            <w:r>
              <w:rPr>
                <w:rFonts w:ascii="Times New Roman"/>
                <w:sz w:val="21"/>
              </w:rPr>
              <w:t>19.59%</w:t>
            </w:r>
          </w:p>
        </w:tc>
        <w:tc>
          <w:tcPr>
            <w:tcW w:w="18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287"/>
              <w:jc w:val="right"/>
              <w:rPr>
                <w:rFonts w:ascii="Times New Roman" w:hAnsi="Times New Roman" w:cs="Times New Roman" w:eastAsia="Times New Roman" w:hint="default"/>
                <w:sz w:val="21"/>
                <w:szCs w:val="21"/>
              </w:rPr>
            </w:pPr>
            <w:r>
              <w:rPr>
                <w:rFonts w:ascii="Times New Roman"/>
                <w:sz w:val="21"/>
              </w:rPr>
              <w:t>21.52%</w:t>
            </w:r>
          </w:p>
        </w:tc>
        <w:tc>
          <w:tcPr>
            <w:tcW w:w="12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right="290"/>
              <w:jc w:val="right"/>
              <w:rPr>
                <w:rFonts w:ascii="Times New Roman" w:hAnsi="Times New Roman" w:cs="Times New Roman" w:eastAsia="Times New Roman" w:hint="default"/>
                <w:sz w:val="21"/>
                <w:szCs w:val="21"/>
              </w:rPr>
            </w:pPr>
            <w:r>
              <w:rPr>
                <w:rFonts w:ascii="Times New Roman"/>
                <w:spacing w:val="-1"/>
                <w:sz w:val="21"/>
              </w:rPr>
              <w:t>-1.93%</w:t>
            </w:r>
          </w:p>
        </w:tc>
        <w:tc>
          <w:tcPr>
            <w:tcW w:w="192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right="280"/>
              <w:jc w:val="right"/>
              <w:rPr>
                <w:rFonts w:ascii="Times New Roman" w:hAnsi="Times New Roman" w:cs="Times New Roman" w:eastAsia="Times New Roman" w:hint="default"/>
                <w:sz w:val="21"/>
                <w:szCs w:val="21"/>
              </w:rPr>
            </w:pPr>
            <w:r>
              <w:rPr>
                <w:rFonts w:ascii="Times New Roman"/>
                <w:sz w:val="21"/>
              </w:rPr>
              <w:t>16.88%</w:t>
            </w:r>
          </w:p>
        </w:tc>
      </w:tr>
    </w:tbl>
    <w:p>
      <w:pPr>
        <w:pStyle w:val="BodyText"/>
        <w:spacing w:line="357" w:lineRule="auto" w:before="39"/>
        <w:ind w:left="240" w:right="249" w:firstLine="479"/>
        <w:jc w:val="both"/>
      </w:pPr>
      <w:r>
        <w:rPr/>
        <w:t>多年来，公司一直注重研发经费的投入力度，以支持新产品、新技术的研发和</w:t>
      </w:r>
      <w:r>
        <w:rPr>
          <w:spacing w:val="2"/>
        </w:rPr>
        <w:t> </w:t>
      </w:r>
      <w:r>
        <w:rPr/>
        <w:t>创新。与去年同期比较，公司研发费用大幅增长，主要系公司为了巩固未来的增长</w:t>
      </w:r>
      <w:r>
        <w:rPr>
          <w:spacing w:val="-77"/>
        </w:rPr>
        <w:t> </w:t>
      </w:r>
      <w:r>
        <w:rPr>
          <w:spacing w:val="-77"/>
        </w:rPr>
      </w:r>
      <w:r>
        <w:rPr/>
        <w:t>基础，加大了研发投入。公司研发费用未做资本化处理，全部计入当期管理费。</w:t>
      </w:r>
    </w:p>
    <w:p>
      <w:pPr>
        <w:pStyle w:val="BodyText"/>
        <w:spacing w:line="338" w:lineRule="auto" w:before="36"/>
        <w:ind w:left="240" w:right="254" w:firstLine="479"/>
        <w:jc w:val="both"/>
      </w:pPr>
      <w:r>
        <w:rPr>
          <w:rFonts w:ascii="Times New Roman" w:hAnsi="Times New Roman" w:cs="Times New Roman" w:eastAsia="Times New Roman" w:hint="default"/>
        </w:rPr>
        <w:t>2011</w:t>
      </w:r>
      <w:r>
        <w:rPr/>
        <w:t>年，公司研发费用与同期相比增长</w:t>
      </w:r>
      <w:r>
        <w:rPr>
          <w:rFonts w:ascii="Times New Roman" w:hAnsi="Times New Roman" w:cs="Times New Roman" w:eastAsia="Times New Roman" w:hint="default"/>
        </w:rPr>
        <w:t>31.74%</w:t>
      </w:r>
      <w:r>
        <w:rPr/>
        <w:t>，主要原因在于</w:t>
      </w:r>
      <w:r>
        <w:rPr>
          <w:rFonts w:ascii="Times New Roman" w:hAnsi="Times New Roman" w:cs="Times New Roman" w:eastAsia="Times New Roman" w:hint="default"/>
        </w:rPr>
        <w:t>2011</w:t>
      </w:r>
      <w:r>
        <w:rPr/>
        <w:t>年研发人员 的增长以及薪酬的提升所致。</w:t>
      </w:r>
    </w:p>
    <w:p>
      <w:pPr>
        <w:pStyle w:val="BodyText"/>
        <w:spacing w:line="240" w:lineRule="auto" w:before="55"/>
        <w:ind w:left="720" w:right="121"/>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年度研发总结</w:t>
      </w:r>
    </w:p>
    <w:p>
      <w:pPr>
        <w:pStyle w:val="BodyText"/>
        <w:spacing w:line="338" w:lineRule="auto" w:before="135"/>
        <w:ind w:left="720" w:right="232"/>
        <w:jc w:val="left"/>
      </w:pPr>
      <w:r>
        <w:rPr>
          <w:rFonts w:ascii="Wingdings" w:hAnsi="Wingdings" w:cs="Wingdings" w:eastAsia="Wingdings" w:hint="default"/>
        </w:rPr>
        <w:t></w:t>
      </w:r>
      <w:r>
        <w:rPr>
          <w:rFonts w:ascii="Wingdings" w:hAnsi="Wingdings" w:cs="Wingdings" w:eastAsia="Wingdings" w:hint="default"/>
          <w:spacing w:val="-49"/>
        </w:rPr>
        <w:t></w:t>
      </w:r>
      <w:r>
        <w:rPr>
          <w:rFonts w:ascii="Times New Roman" w:hAnsi="Times New Roman" w:cs="Times New Roman" w:eastAsia="Times New Roman" w:hint="default"/>
          <w:spacing w:val="-49"/>
        </w:rPr>
      </w:r>
      <w:r>
        <w:rPr>
          <w:rFonts w:ascii="Times New Roman" w:hAnsi="Times New Roman" w:cs="Times New Roman" w:eastAsia="Times New Roman" w:hint="default"/>
        </w:rPr>
        <w:t>GIS</w:t>
      </w:r>
      <w:r>
        <w:rPr/>
        <w:t>基础平台软件研发 </w:t>
      </w:r>
      <w:r>
        <w:rPr>
          <w:rFonts w:ascii="Times New Roman" w:hAnsi="Times New Roman" w:cs="Times New Roman" w:eastAsia="Times New Roman" w:hint="default"/>
        </w:rPr>
        <w:t>GIS</w:t>
      </w:r>
      <w:r>
        <w:rPr/>
        <w:t>平台软件研发报告期内，公司</w:t>
      </w:r>
      <w:r>
        <w:rPr>
          <w:rFonts w:ascii="Times New Roman" w:hAnsi="Times New Roman" w:cs="Times New Roman" w:eastAsia="Times New Roman" w:hint="default"/>
        </w:rPr>
        <w:t>GIS</w:t>
      </w:r>
      <w:r>
        <w:rPr/>
        <w:t>平台软件在二三维一体化、电子海图、网</w:t>
      </w:r>
    </w:p>
    <w:p>
      <w:pPr>
        <w:pStyle w:val="BodyText"/>
        <w:spacing w:line="338" w:lineRule="auto" w:before="27"/>
        <w:ind w:left="240" w:right="245"/>
        <w:jc w:val="left"/>
      </w:pPr>
      <w:r>
        <w:rPr>
          <w:spacing w:val="-1"/>
        </w:rPr>
        <w:t>络数据引擎、真</w:t>
      </w:r>
      <w:r>
        <w:rPr>
          <w:rFonts w:ascii="Times New Roman" w:hAnsi="Times New Roman" w:cs="Times New Roman" w:eastAsia="Times New Roman" w:hint="default"/>
          <w:spacing w:val="-1"/>
        </w:rPr>
        <w:t>64</w:t>
      </w:r>
      <w:r>
        <w:rPr>
          <w:spacing w:val="-1"/>
        </w:rPr>
        <w:t>位服务器、</w:t>
      </w:r>
      <w:r>
        <w:rPr>
          <w:rFonts w:ascii="Times New Roman" w:hAnsi="Times New Roman" w:cs="Times New Roman" w:eastAsia="Times New Roman" w:hint="default"/>
          <w:spacing w:val="-1"/>
        </w:rPr>
        <w:t>HTML5</w:t>
      </w:r>
      <w:r>
        <w:rPr>
          <w:spacing w:val="-1"/>
        </w:rPr>
        <w:t>客户端等多项技术方面取得了突破性进展。相</w:t>
      </w:r>
      <w:r>
        <w:rPr>
          <w:spacing w:val="-114"/>
        </w:rPr>
        <w:t> </w:t>
      </w:r>
      <w:r>
        <w:rPr>
          <w:spacing w:val="-114"/>
        </w:rPr>
      </w:r>
      <w:r>
        <w:rPr/>
        <w:t>关技术已经发布并应用在广西数字柳州、资源三号卫星等众多项目中。</w:t>
      </w:r>
    </w:p>
    <w:p>
      <w:pPr>
        <w:spacing w:after="0" w:line="338" w:lineRule="auto"/>
        <w:jc w:val="left"/>
        <w:sectPr>
          <w:type w:val="continuous"/>
          <w:pgSz w:w="11910" w:h="16840"/>
          <w:pgMar w:top="440" w:bottom="280" w:left="1560" w:right="1160"/>
        </w:sectPr>
      </w:pPr>
    </w:p>
    <w:p>
      <w:pPr>
        <w:spacing w:line="240" w:lineRule="auto" w:before="6"/>
        <w:rPr>
          <w:rFonts w:ascii="宋体" w:hAnsi="宋体" w:cs="宋体" w:eastAsia="宋体" w:hint="default"/>
          <w:sz w:val="22"/>
          <w:szCs w:val="22"/>
        </w:rPr>
      </w:pPr>
    </w:p>
    <w:p>
      <w:pPr>
        <w:pStyle w:val="BodyText"/>
        <w:spacing w:line="338" w:lineRule="auto" w:before="26"/>
        <w:ind w:left="720" w:right="121"/>
        <w:jc w:val="left"/>
      </w:pPr>
      <w:r>
        <w:rPr>
          <w:rFonts w:ascii="Wingdings" w:hAnsi="Wingdings" w:cs="Wingdings" w:eastAsia="Wingdings" w:hint="default"/>
        </w:rPr>
        <w:t></w:t>
      </w:r>
      <w:r>
        <w:rPr>
          <w:rFonts w:ascii="Wingdings" w:hAnsi="Wingdings" w:cs="Wingdings" w:eastAsia="Wingdings" w:hint="default"/>
          <w:spacing w:val="-49"/>
        </w:rPr>
        <w:t></w:t>
      </w:r>
      <w:r>
        <w:rPr>
          <w:rFonts w:ascii="Times New Roman" w:hAnsi="Times New Roman" w:cs="Times New Roman" w:eastAsia="Times New Roman" w:hint="default"/>
          <w:spacing w:val="-49"/>
        </w:rPr>
      </w:r>
      <w:r>
        <w:rPr>
          <w:rFonts w:ascii="Times New Roman" w:hAnsi="Times New Roman" w:cs="Times New Roman" w:eastAsia="Times New Roman" w:hint="default"/>
        </w:rPr>
        <w:t>GIS</w:t>
      </w:r>
      <w:r>
        <w:rPr/>
        <w:t>应用平台软件研发 </w:t>
      </w:r>
      <w:r>
        <w:rPr>
          <w:spacing w:val="-6"/>
        </w:rPr>
        <w:t>报告期内，公司应用平台软件研发取得了一定成绩，公司在水利普查、统计</w:t>
      </w:r>
      <w:r>
        <w:rPr>
          <w:rFonts w:ascii="Times New Roman" w:hAnsi="Times New Roman" w:cs="Times New Roman" w:eastAsia="Times New Roman" w:hint="default"/>
          <w:spacing w:val="-6"/>
        </w:rPr>
        <w:t>GIS</w:t>
      </w:r>
      <w:r>
        <w:rPr>
          <w:spacing w:val="-6"/>
        </w:rPr>
        <w:t>、</w:t>
      </w:r>
    </w:p>
    <w:p>
      <w:pPr>
        <w:pStyle w:val="BodyText"/>
        <w:spacing w:line="348" w:lineRule="auto" w:before="27"/>
        <w:ind w:left="240" w:right="247"/>
        <w:jc w:val="both"/>
      </w:pPr>
      <w:r>
        <w:rPr>
          <w:spacing w:val="-3"/>
        </w:rPr>
        <w:t>土地资源管理、矿政管理、气象</w:t>
      </w:r>
      <w:r>
        <w:rPr>
          <w:rFonts w:ascii="Times New Roman" w:hAnsi="Times New Roman" w:cs="Times New Roman" w:eastAsia="Times New Roman" w:hint="default"/>
          <w:spacing w:val="-3"/>
        </w:rPr>
        <w:t>GIS</w:t>
      </w:r>
      <w:r>
        <w:rPr>
          <w:spacing w:val="-3"/>
        </w:rPr>
        <w:t>等行业基本完成了应用平台产品的研发，相关产</w:t>
      </w:r>
      <w:r>
        <w:rPr>
          <w:spacing w:val="-105"/>
        </w:rPr>
        <w:t> </w:t>
      </w:r>
      <w:r>
        <w:rPr>
          <w:spacing w:val="-105"/>
        </w:rPr>
      </w:r>
      <w:r>
        <w:rPr/>
        <w:t>品已成功布署到用户端，实现了原有部份项目从定制开发到许可安装的过程，加速</w:t>
      </w:r>
      <w:r>
        <w:rPr>
          <w:spacing w:val="-69"/>
        </w:rPr>
        <w:t> </w:t>
      </w:r>
      <w:r>
        <w:rPr>
          <w:spacing w:val="-69"/>
        </w:rPr>
      </w:r>
      <w:r>
        <w:rPr/>
        <w:t>了项目实施周期，提高了产品的附加值。</w:t>
      </w:r>
    </w:p>
    <w:p>
      <w:pPr>
        <w:pStyle w:val="BodyText"/>
        <w:spacing w:line="338" w:lineRule="auto" w:before="46"/>
        <w:ind w:left="720" w:right="121"/>
        <w:jc w:val="left"/>
      </w:pPr>
      <w:r>
        <w:rPr>
          <w:rFonts w:ascii="Wingdings" w:hAnsi="Wingdings" w:cs="Wingdings" w:eastAsia="Wingdings" w:hint="default"/>
        </w:rPr>
        <w:t></w:t>
      </w:r>
      <w:r>
        <w:rPr>
          <w:rFonts w:ascii="Wingdings" w:hAnsi="Wingdings" w:cs="Wingdings" w:eastAsia="Wingdings" w:hint="default"/>
          <w:spacing w:val="-48"/>
        </w:rPr>
        <w:t></w:t>
      </w:r>
      <w:r>
        <w:rPr>
          <w:rFonts w:ascii="Times New Roman" w:hAnsi="Times New Roman" w:cs="Times New Roman" w:eastAsia="Times New Roman" w:hint="default"/>
          <w:spacing w:val="-48"/>
        </w:rPr>
      </w:r>
      <w:r>
        <w:rPr/>
        <w:t>其他新技术研究 报告期内，公司设立了研究所，专门从事前沿性技术的研究和预研工作。研究</w:t>
      </w:r>
    </w:p>
    <w:p>
      <w:pPr>
        <w:pStyle w:val="BodyText"/>
        <w:spacing w:line="338" w:lineRule="auto" w:before="56"/>
        <w:ind w:left="240" w:right="253"/>
        <w:jc w:val="both"/>
      </w:pPr>
      <w:r>
        <w:rPr/>
        <w:t>所在报告期内重点围绕云</w:t>
      </w:r>
      <w:r>
        <w:rPr>
          <w:rFonts w:ascii="Times New Roman" w:hAnsi="Times New Roman" w:cs="Times New Roman" w:eastAsia="Times New Roman" w:hint="default"/>
        </w:rPr>
        <w:t>GIS</w:t>
      </w:r>
      <w:r>
        <w:rPr/>
        <w:t>及移动</w:t>
      </w:r>
      <w:r>
        <w:rPr>
          <w:rFonts w:ascii="Times New Roman" w:hAnsi="Times New Roman" w:cs="Times New Roman" w:eastAsia="Times New Roman" w:hint="default"/>
        </w:rPr>
        <w:t>GIS</w:t>
      </w:r>
      <w:r>
        <w:rPr/>
        <w:t>体系架构、关键技术及应用模式开展了相关 研究，并在高性能</w:t>
      </w:r>
      <w:r>
        <w:rPr>
          <w:rFonts w:ascii="Times New Roman" w:hAnsi="Times New Roman" w:cs="Times New Roman" w:eastAsia="Times New Roman" w:hint="default"/>
        </w:rPr>
        <w:t>GIS</w:t>
      </w:r>
      <w:r>
        <w:rPr/>
        <w:t>并行计算、高并发</w:t>
      </w:r>
      <w:r>
        <w:rPr>
          <w:rFonts w:ascii="Times New Roman" w:hAnsi="Times New Roman" w:cs="Times New Roman" w:eastAsia="Times New Roman" w:hint="default"/>
        </w:rPr>
        <w:t>GIS</w:t>
      </w:r>
      <w:r>
        <w:rPr/>
        <w:t>服务、自动化云</w:t>
      </w:r>
      <w:r>
        <w:rPr>
          <w:rFonts w:ascii="Times New Roman" w:hAnsi="Times New Roman" w:cs="Times New Roman" w:eastAsia="Times New Roman" w:hint="default"/>
        </w:rPr>
        <w:t>GIS</w:t>
      </w:r>
      <w:r>
        <w:rPr/>
        <w:t>工作流、移动实时</w:t>
      </w:r>
      <w:r>
        <w:rPr>
          <w:spacing w:val="-50"/>
        </w:rPr>
        <w:t> </w:t>
      </w:r>
      <w:r>
        <w:rPr>
          <w:spacing w:val="-50"/>
        </w:rPr>
      </w:r>
      <w:r>
        <w:rPr>
          <w:rFonts w:ascii="Times New Roman" w:hAnsi="Times New Roman" w:cs="Times New Roman" w:eastAsia="Times New Roman" w:hint="default"/>
        </w:rPr>
        <w:t>GIS</w:t>
      </w:r>
      <w:r>
        <w:rPr/>
        <w:t>等领域取得一些突破性进展。</w:t>
      </w:r>
    </w:p>
    <w:p>
      <w:pPr>
        <w:spacing w:line="240" w:lineRule="auto" w:before="6"/>
        <w:rPr>
          <w:rFonts w:ascii="宋体" w:hAnsi="宋体" w:cs="宋体" w:eastAsia="宋体" w:hint="default"/>
          <w:sz w:val="24"/>
          <w:szCs w:val="24"/>
        </w:rPr>
      </w:pPr>
    </w:p>
    <w:p>
      <w:pPr>
        <w:pStyle w:val="Heading5"/>
        <w:spacing w:line="240" w:lineRule="auto"/>
        <w:ind w:left="240" w:right="0"/>
        <w:jc w:val="both"/>
        <w:rPr>
          <w:b w:val="0"/>
          <w:bCs w:val="0"/>
        </w:rPr>
      </w:pPr>
      <w:r>
        <w:rPr/>
        <w:t>（</w:t>
      </w:r>
      <w:r>
        <w:rPr>
          <w:rFonts w:ascii="Times New Roman" w:hAnsi="Times New Roman" w:cs="Times New Roman" w:eastAsia="Times New Roman" w:hint="default"/>
        </w:rPr>
        <w:t>13</w:t>
      </w:r>
      <w:r>
        <w:rPr/>
        <w:t>）主要无形资产情况</w:t>
      </w:r>
      <w:r>
        <w:rPr>
          <w:b w:val="0"/>
          <w:bCs w:val="0"/>
        </w:rPr>
      </w:r>
    </w:p>
    <w:p>
      <w:pPr>
        <w:spacing w:line="240" w:lineRule="auto" w:before="3"/>
        <w:rPr>
          <w:rFonts w:ascii="宋体" w:hAnsi="宋体" w:cs="宋体" w:eastAsia="宋体" w:hint="default"/>
          <w:b/>
          <w:bCs/>
          <w:sz w:val="29"/>
          <w:szCs w:val="29"/>
        </w:rPr>
      </w:pPr>
    </w:p>
    <w:p>
      <w:pPr>
        <w:spacing w:before="0"/>
        <w:ind w:left="0" w:right="250" w:firstLine="0"/>
        <w:jc w:val="right"/>
        <w:rPr>
          <w:rFonts w:ascii="宋体" w:hAnsi="宋体" w:cs="宋体" w:eastAsia="宋体" w:hint="default"/>
          <w:sz w:val="21"/>
          <w:szCs w:val="21"/>
        </w:rPr>
      </w:pPr>
      <w:r>
        <w:rPr>
          <w:rFonts w:ascii="宋体" w:hAnsi="宋体" w:cs="宋体" w:eastAsia="宋体" w:hint="default"/>
          <w:b/>
          <w:bCs/>
          <w:spacing w:val="-1"/>
          <w:sz w:val="21"/>
          <w:szCs w:val="21"/>
        </w:rPr>
        <w:t>单位：人民币（万元）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211" w:type="dxa"/>
        <w:tblLayout w:type="fixed"/>
        <w:tblCellMar>
          <w:top w:w="0" w:type="dxa"/>
          <w:left w:w="0" w:type="dxa"/>
          <w:bottom w:w="0" w:type="dxa"/>
          <w:right w:w="0" w:type="dxa"/>
        </w:tblCellMar>
        <w:tblLook w:val="01E0"/>
      </w:tblPr>
      <w:tblGrid>
        <w:gridCol w:w="1608"/>
        <w:gridCol w:w="1563"/>
        <w:gridCol w:w="1481"/>
        <w:gridCol w:w="1294"/>
        <w:gridCol w:w="1484"/>
        <w:gridCol w:w="1291"/>
      </w:tblGrid>
      <w:tr>
        <w:trPr>
          <w:trHeight w:val="403" w:hRule="exact"/>
        </w:trPr>
        <w:tc>
          <w:tcPr>
            <w:tcW w:w="1608"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b/>
                <w:bCs/>
                <w:sz w:val="21"/>
                <w:szCs w:val="21"/>
              </w:rPr>
              <w:t>资产项目</w:t>
            </w:r>
            <w:r>
              <w:rPr>
                <w:rFonts w:ascii="宋体" w:hAnsi="宋体" w:cs="宋体" w:eastAsia="宋体" w:hint="default"/>
                <w:sz w:val="21"/>
                <w:szCs w:val="21"/>
              </w:rPr>
            </w:r>
          </w:p>
        </w:tc>
        <w:tc>
          <w:tcPr>
            <w:tcW w:w="304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653" w:right="0"/>
              <w:jc w:val="lef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7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59"/>
              <w:ind w:left="58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1291" w:type="dxa"/>
            <w:vMerge w:val="restart"/>
            <w:tcBorders>
              <w:top w:val="single" w:sz="12" w:space="0" w:color="000000"/>
              <w:left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494" w:right="350"/>
              <w:jc w:val="center"/>
              <w:rPr>
                <w:rFonts w:ascii="宋体" w:hAnsi="宋体" w:cs="宋体" w:eastAsia="宋体" w:hint="default"/>
                <w:sz w:val="21"/>
                <w:szCs w:val="21"/>
              </w:rPr>
            </w:pPr>
            <w:r>
              <w:rPr>
                <w:rFonts w:ascii="宋体" w:hAnsi="宋体" w:cs="宋体" w:eastAsia="宋体" w:hint="default"/>
                <w:b/>
                <w:bCs/>
                <w:sz w:val="21"/>
                <w:szCs w:val="21"/>
              </w:rPr>
              <w:t>变动</w:t>
            </w:r>
            <w:r>
              <w:rPr>
                <w:rFonts w:ascii="宋体" w:hAnsi="宋体" w:cs="宋体" w:eastAsia="宋体" w:hint="default"/>
                <w:b/>
                <w:bCs/>
                <w:w w:val="100"/>
                <w:sz w:val="21"/>
                <w:szCs w:val="21"/>
              </w:rPr>
              <w:t> </w:t>
            </w:r>
            <w:r>
              <w:rPr>
                <w:rFonts w:ascii="宋体" w:hAnsi="宋体" w:cs="宋体" w:eastAsia="宋体" w:hint="default"/>
                <w:b/>
                <w:bCs/>
                <w:sz w:val="21"/>
                <w:szCs w:val="21"/>
              </w:rPr>
              <w:t>幅度</w:t>
            </w:r>
            <w:r>
              <w:rPr>
                <w:rFonts w:ascii="宋体" w:hAnsi="宋体" w:cs="宋体" w:eastAsia="宋体" w:hint="default"/>
                <w:sz w:val="21"/>
                <w:szCs w:val="21"/>
              </w:rPr>
            </w:r>
          </w:p>
          <w:p>
            <w:pPr>
              <w:pStyle w:val="TableParagraph"/>
              <w:spacing w:line="271" w:lineRule="exact"/>
              <w:ind w:left="141"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sz w:val="21"/>
                <w:szCs w:val="21"/>
              </w:rPr>
            </w:r>
          </w:p>
        </w:tc>
      </w:tr>
      <w:tr>
        <w:trPr>
          <w:trHeight w:val="1090" w:hRule="exact"/>
        </w:trPr>
        <w:tc>
          <w:tcPr>
            <w:tcW w:w="1608" w:type="dxa"/>
            <w:vMerge/>
            <w:tcBorders>
              <w:left w:val="single" w:sz="12" w:space="0" w:color="000000"/>
              <w:bottom w:val="single" w:sz="6" w:space="0" w:color="000000"/>
              <w:right w:val="single" w:sz="6" w:space="0" w:color="000000"/>
            </w:tcBorders>
          </w:tcPr>
          <w:p>
            <w:pPr/>
          </w:p>
        </w:tc>
        <w:tc>
          <w:tcPr>
            <w:tcW w:w="1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8"/>
                <w:szCs w:val="2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73" w:lineRule="auto"/>
              <w:ind w:left="424" w:right="195" w:hanging="212"/>
              <w:jc w:val="left"/>
              <w:rPr>
                <w:rFonts w:ascii="宋体" w:hAnsi="宋体" w:cs="宋体" w:eastAsia="宋体" w:hint="default"/>
                <w:sz w:val="21"/>
                <w:szCs w:val="21"/>
              </w:rPr>
            </w:pPr>
            <w:r>
              <w:rPr>
                <w:rFonts w:ascii="宋体" w:hAnsi="宋体" w:cs="宋体" w:eastAsia="宋体" w:hint="default"/>
                <w:b/>
                <w:bCs/>
                <w:sz w:val="21"/>
                <w:szCs w:val="21"/>
              </w:rPr>
              <w:t>占本期总资</w:t>
            </w:r>
            <w:r>
              <w:rPr>
                <w:rFonts w:ascii="宋体" w:hAnsi="宋体" w:cs="宋体" w:eastAsia="宋体" w:hint="default"/>
                <w:b/>
                <w:bCs/>
                <w:w w:val="100"/>
                <w:sz w:val="21"/>
                <w:szCs w:val="21"/>
              </w:rPr>
              <w:t> </w:t>
            </w:r>
            <w:r>
              <w:rPr>
                <w:rFonts w:ascii="宋体" w:hAnsi="宋体" w:cs="宋体" w:eastAsia="宋体" w:hint="default"/>
                <w:b/>
                <w:bCs/>
                <w:sz w:val="21"/>
                <w:szCs w:val="21"/>
              </w:rPr>
              <w:t>产比重</w:t>
            </w:r>
            <w:r>
              <w:rPr>
                <w:rFonts w:ascii="宋体" w:hAnsi="宋体" w:cs="宋体" w:eastAsia="宋体" w:hint="default"/>
                <w:sz w:val="21"/>
                <w:szCs w:val="21"/>
              </w:rPr>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28"/>
                <w:szCs w:val="28"/>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73" w:lineRule="auto"/>
              <w:ind w:left="441" w:right="178" w:hanging="209"/>
              <w:jc w:val="left"/>
              <w:rPr>
                <w:rFonts w:ascii="宋体" w:hAnsi="宋体" w:cs="宋体" w:eastAsia="宋体" w:hint="default"/>
                <w:sz w:val="21"/>
                <w:szCs w:val="21"/>
              </w:rPr>
            </w:pPr>
            <w:r>
              <w:rPr>
                <w:rFonts w:ascii="宋体" w:hAnsi="宋体" w:cs="宋体" w:eastAsia="宋体" w:hint="default"/>
                <w:b/>
                <w:bCs/>
                <w:sz w:val="21"/>
                <w:szCs w:val="21"/>
              </w:rPr>
              <w:t>占本期总资</w:t>
            </w:r>
            <w:r>
              <w:rPr>
                <w:rFonts w:ascii="宋体" w:hAnsi="宋体" w:cs="宋体" w:eastAsia="宋体" w:hint="default"/>
                <w:b/>
                <w:bCs/>
                <w:w w:val="100"/>
                <w:sz w:val="21"/>
                <w:szCs w:val="21"/>
              </w:rPr>
              <w:t> </w:t>
            </w:r>
            <w:r>
              <w:rPr>
                <w:rFonts w:ascii="宋体" w:hAnsi="宋体" w:cs="宋体" w:eastAsia="宋体" w:hint="default"/>
                <w:b/>
                <w:bCs/>
                <w:sz w:val="21"/>
                <w:szCs w:val="21"/>
              </w:rPr>
              <w:t>产比重</w:t>
            </w:r>
            <w:r>
              <w:rPr>
                <w:rFonts w:ascii="宋体" w:hAnsi="宋体" w:cs="宋体" w:eastAsia="宋体" w:hint="default"/>
                <w:sz w:val="21"/>
                <w:szCs w:val="21"/>
              </w:rPr>
            </w:r>
          </w:p>
        </w:tc>
        <w:tc>
          <w:tcPr>
            <w:tcW w:w="1291" w:type="dxa"/>
            <w:vMerge/>
            <w:tcBorders>
              <w:left w:val="single" w:sz="6" w:space="0" w:color="000000"/>
              <w:bottom w:val="single" w:sz="6" w:space="0" w:color="000000"/>
              <w:right w:val="single" w:sz="12" w:space="0" w:color="000000"/>
            </w:tcBorders>
          </w:tcPr>
          <w:p>
            <w:pPr/>
          </w:p>
        </w:tc>
      </w:tr>
      <w:tr>
        <w:trPr>
          <w:trHeight w:val="490" w:hRule="exact"/>
        </w:trPr>
        <w:tc>
          <w:tcPr>
            <w:tcW w:w="16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2"/>
              <w:ind w:left="37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672" w:right="0"/>
              <w:jc w:val="left"/>
              <w:rPr>
                <w:rFonts w:ascii="Times New Roman" w:hAnsi="Times New Roman" w:cs="Times New Roman" w:eastAsia="Times New Roman" w:hint="default"/>
                <w:sz w:val="21"/>
                <w:szCs w:val="21"/>
              </w:rPr>
            </w:pPr>
            <w:r>
              <w:rPr>
                <w:rFonts w:ascii="Times New Roman"/>
                <w:sz w:val="21"/>
              </w:rPr>
              <w:t>2,139.34</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763" w:right="0"/>
              <w:jc w:val="left"/>
              <w:rPr>
                <w:rFonts w:ascii="Times New Roman" w:hAnsi="Times New Roman" w:cs="Times New Roman" w:eastAsia="Times New Roman" w:hint="default"/>
                <w:sz w:val="21"/>
                <w:szCs w:val="21"/>
              </w:rPr>
            </w:pPr>
            <w:r>
              <w:rPr>
                <w:rFonts w:ascii="Times New Roman"/>
                <w:sz w:val="21"/>
              </w:rPr>
              <w:t>2.95%</w:t>
            </w:r>
          </w:p>
        </w:tc>
        <w:tc>
          <w:tcPr>
            <w:tcW w:w="1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405" w:right="0"/>
              <w:jc w:val="left"/>
              <w:rPr>
                <w:rFonts w:ascii="Times New Roman" w:hAnsi="Times New Roman" w:cs="Times New Roman" w:eastAsia="Times New Roman" w:hint="default"/>
                <w:sz w:val="21"/>
                <w:szCs w:val="21"/>
              </w:rPr>
            </w:pPr>
            <w:r>
              <w:rPr>
                <w:rFonts w:ascii="Times New Roman"/>
                <w:sz w:val="21"/>
              </w:rPr>
              <w:t>2,051.85</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6"/>
              <w:ind w:left="763" w:right="0"/>
              <w:jc w:val="left"/>
              <w:rPr>
                <w:rFonts w:ascii="Times New Roman" w:hAnsi="Times New Roman" w:cs="Times New Roman" w:eastAsia="Times New Roman" w:hint="default"/>
                <w:sz w:val="21"/>
                <w:szCs w:val="21"/>
              </w:rPr>
            </w:pPr>
            <w:r>
              <w:rPr>
                <w:rFonts w:ascii="Times New Roman"/>
                <w:sz w:val="21"/>
              </w:rPr>
              <w:t>3.20%</w:t>
            </w:r>
          </w:p>
        </w:tc>
        <w:tc>
          <w:tcPr>
            <w:tcW w:w="12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6"/>
              <w:ind w:left="683" w:right="0"/>
              <w:jc w:val="left"/>
              <w:rPr>
                <w:rFonts w:ascii="Times New Roman" w:hAnsi="Times New Roman" w:cs="Times New Roman" w:eastAsia="Times New Roman" w:hint="default"/>
                <w:sz w:val="21"/>
                <w:szCs w:val="21"/>
              </w:rPr>
            </w:pPr>
            <w:r>
              <w:rPr>
                <w:rFonts w:ascii="Times New Roman"/>
                <w:sz w:val="21"/>
              </w:rPr>
              <w:t>4.26</w:t>
            </w:r>
          </w:p>
        </w:tc>
      </w:tr>
    </w:tbl>
    <w:p>
      <w:pPr>
        <w:pStyle w:val="BodyText"/>
        <w:spacing w:line="357" w:lineRule="auto" w:before="39"/>
        <w:ind w:left="240" w:right="249" w:firstLine="479"/>
        <w:jc w:val="both"/>
      </w:pPr>
      <w:r>
        <w:rPr/>
        <w:t>公司拥有的商标、著作权、非专利技术、域名均未作为无形资产入账。公司的 著作权、非专利技术均为公司或子公司自行开发，所有权均属于公司或子公司，报</w:t>
      </w:r>
      <w:r>
        <w:rPr>
          <w:spacing w:val="-73"/>
        </w:rPr>
        <w:t> </w:t>
      </w:r>
      <w:r>
        <w:rPr>
          <w:spacing w:val="-73"/>
        </w:rPr>
      </w:r>
      <w:r>
        <w:rPr/>
        <w:t>告期内公司没有和他人进行技术合作研发的情况。</w:t>
      </w:r>
    </w:p>
    <w:p>
      <w:pPr>
        <w:pStyle w:val="BodyText"/>
        <w:spacing w:line="348" w:lineRule="auto" w:before="36"/>
        <w:ind w:left="720" w:right="766"/>
        <w:jc w:val="left"/>
      </w:pPr>
      <w:r>
        <w:rPr/>
        <w:pict>
          <v:shape style="position:absolute;margin-left:83.903999pt;margin-top:70.085609pt;width:447.6pt;height:97.3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1"/>
                    <w:gridCol w:w="1985"/>
                    <w:gridCol w:w="850"/>
                    <w:gridCol w:w="852"/>
                    <w:gridCol w:w="1274"/>
                    <w:gridCol w:w="1277"/>
                    <w:gridCol w:w="718"/>
                  </w:tblGrid>
                  <w:tr>
                    <w:trPr>
                      <w:trHeight w:val="958" w:hRule="exact"/>
                    </w:trPr>
                    <w:tc>
                      <w:tcPr>
                        <w:tcW w:w="19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4"/>
                          <w:ind w:left="328" w:right="0"/>
                          <w:jc w:val="left"/>
                          <w:rPr>
                            <w:rFonts w:ascii="宋体" w:hAnsi="宋体" w:cs="宋体" w:eastAsia="宋体" w:hint="default"/>
                            <w:sz w:val="21"/>
                            <w:szCs w:val="21"/>
                          </w:rPr>
                        </w:pPr>
                        <w:r>
                          <w:rPr>
                            <w:rFonts w:ascii="宋体" w:hAnsi="宋体" w:cs="宋体" w:eastAsia="宋体" w:hint="default"/>
                            <w:b/>
                            <w:bCs/>
                            <w:sz w:val="21"/>
                            <w:szCs w:val="21"/>
                          </w:rPr>
                          <w:t>土地使用权人</w:t>
                        </w:r>
                        <w:r>
                          <w:rPr>
                            <w:rFonts w:ascii="宋体" w:hAnsi="宋体" w:cs="宋体" w:eastAsia="宋体" w:hint="default"/>
                            <w:sz w:val="21"/>
                            <w:szCs w:val="21"/>
                          </w:rPr>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247" w:right="0"/>
                          <w:jc w:val="left"/>
                          <w:rPr>
                            <w:rFonts w:ascii="宋体" w:hAnsi="宋体" w:cs="宋体" w:eastAsia="宋体" w:hint="default"/>
                            <w:sz w:val="21"/>
                            <w:szCs w:val="21"/>
                          </w:rPr>
                        </w:pPr>
                        <w:r>
                          <w:rPr>
                            <w:rFonts w:ascii="宋体" w:hAnsi="宋体" w:cs="宋体" w:eastAsia="宋体" w:hint="default"/>
                            <w:b/>
                            <w:bCs/>
                            <w:sz w:val="21"/>
                            <w:szCs w:val="21"/>
                          </w:rPr>
                          <w:t>土地使用证编号</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206"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206" w:right="0"/>
                          <w:jc w:val="left"/>
                          <w:rPr>
                            <w:rFonts w:ascii="宋体" w:hAnsi="宋体" w:cs="宋体" w:eastAsia="宋体" w:hint="default"/>
                            <w:sz w:val="21"/>
                            <w:szCs w:val="21"/>
                          </w:rPr>
                        </w:pPr>
                        <w:r>
                          <w:rPr>
                            <w:rFonts w:ascii="宋体" w:hAnsi="宋体" w:cs="宋体" w:eastAsia="宋体" w:hint="default"/>
                            <w:b/>
                            <w:bCs/>
                            <w:sz w:val="21"/>
                            <w:szCs w:val="21"/>
                          </w:rPr>
                          <w:t>用途</w:t>
                        </w:r>
                        <w:r>
                          <w:rPr>
                            <w:rFonts w:ascii="宋体" w:hAnsi="宋体" w:cs="宋体" w:eastAsia="宋体" w:hint="default"/>
                            <w:sz w:val="21"/>
                            <w:szCs w:val="21"/>
                          </w:rPr>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b/>
                            <w:bCs/>
                            <w:sz w:val="21"/>
                            <w:szCs w:val="21"/>
                          </w:rPr>
                          <w:t>使用面积</w:t>
                        </w:r>
                        <w:r>
                          <w:rPr>
                            <w:rFonts w:ascii="宋体" w:hAnsi="宋体" w:cs="宋体" w:eastAsia="宋体" w:hint="default"/>
                            <w:sz w:val="21"/>
                            <w:szCs w:val="21"/>
                          </w:rPr>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（平方米）</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408" w:lineRule="auto" w:before="64"/>
                          <w:ind w:left="315" w:right="101" w:hanging="212"/>
                          <w:jc w:val="left"/>
                          <w:rPr>
                            <w:rFonts w:ascii="宋体" w:hAnsi="宋体" w:cs="宋体" w:eastAsia="宋体" w:hint="default"/>
                            <w:sz w:val="21"/>
                            <w:szCs w:val="21"/>
                          </w:rPr>
                        </w:pPr>
                        <w:r>
                          <w:rPr>
                            <w:rFonts w:ascii="宋体" w:hAnsi="宋体" w:cs="宋体" w:eastAsia="宋体" w:hint="default"/>
                            <w:b/>
                            <w:bCs/>
                            <w:sz w:val="21"/>
                            <w:szCs w:val="21"/>
                          </w:rPr>
                          <w:t>使用期限终</w:t>
                        </w:r>
                        <w:r>
                          <w:rPr>
                            <w:rFonts w:ascii="宋体" w:hAnsi="宋体" w:cs="宋体" w:eastAsia="宋体" w:hint="default"/>
                            <w:b/>
                            <w:bCs/>
                            <w:w w:val="100"/>
                            <w:sz w:val="21"/>
                            <w:szCs w:val="21"/>
                          </w:rPr>
                          <w:t> </w:t>
                        </w:r>
                        <w:r>
                          <w:rPr>
                            <w:rFonts w:ascii="宋体" w:hAnsi="宋体" w:cs="宋体" w:eastAsia="宋体" w:hint="default"/>
                            <w:b/>
                            <w:bCs/>
                            <w:sz w:val="21"/>
                            <w:szCs w:val="21"/>
                          </w:rPr>
                          <w:t>止日期</w:t>
                        </w:r>
                        <w:r>
                          <w:rPr>
                            <w:rFonts w:ascii="宋体" w:hAnsi="宋体" w:cs="宋体" w:eastAsia="宋体" w:hint="default"/>
                            <w:sz w:val="21"/>
                            <w:szCs w:val="21"/>
                          </w:rPr>
                        </w:r>
                      </w:p>
                    </w:tc>
                    <w:tc>
                      <w:tcPr>
                        <w:tcW w:w="718" w:type="dxa"/>
                        <w:tcBorders>
                          <w:top w:val="single" w:sz="12" w:space="0" w:color="000000"/>
                          <w:left w:val="single" w:sz="6" w:space="0" w:color="000000"/>
                          <w:bottom w:val="single" w:sz="6" w:space="0" w:color="000000"/>
                          <w:right w:val="single" w:sz="12" w:space="0" w:color="000000"/>
                        </w:tcBorders>
                      </w:tcPr>
                      <w:p>
                        <w:pPr>
                          <w:pStyle w:val="TableParagraph"/>
                          <w:spacing w:line="408" w:lineRule="auto" w:before="64"/>
                          <w:ind w:left="139" w:right="132"/>
                          <w:jc w:val="left"/>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抵押</w:t>
                        </w:r>
                        <w:r>
                          <w:rPr>
                            <w:rFonts w:ascii="宋体" w:hAnsi="宋体" w:cs="宋体" w:eastAsia="宋体" w:hint="default"/>
                            <w:sz w:val="21"/>
                            <w:szCs w:val="21"/>
                          </w:rPr>
                        </w:r>
                      </w:p>
                    </w:tc>
                  </w:tr>
                  <w:tr>
                    <w:trPr>
                      <w:trHeight w:val="960" w:hRule="exact"/>
                    </w:trPr>
                    <w:tc>
                      <w:tcPr>
                        <w:tcW w:w="1951" w:type="dxa"/>
                        <w:tcBorders>
                          <w:top w:val="single" w:sz="6" w:space="0" w:color="000000"/>
                          <w:left w:val="single" w:sz="12" w:space="0" w:color="000000"/>
                          <w:bottom w:val="single" w:sz="12" w:space="0" w:color="000000"/>
                          <w:right w:val="single" w:sz="6" w:space="0" w:color="000000"/>
                        </w:tcBorders>
                      </w:tcPr>
                      <w:p>
                        <w:pPr>
                          <w:pStyle w:val="TableParagraph"/>
                          <w:spacing w:line="408" w:lineRule="auto" w:before="64"/>
                          <w:ind w:left="93" w:right="97"/>
                          <w:jc w:val="left"/>
                          <w:rPr>
                            <w:rFonts w:ascii="宋体" w:hAnsi="宋体" w:cs="宋体" w:eastAsia="宋体" w:hint="default"/>
                            <w:sz w:val="21"/>
                            <w:szCs w:val="21"/>
                          </w:rPr>
                        </w:pPr>
                        <w:r>
                          <w:rPr>
                            <w:rFonts w:ascii="宋体" w:hAnsi="宋体" w:cs="宋体" w:eastAsia="宋体" w:hint="default"/>
                            <w:spacing w:val="4"/>
                            <w:sz w:val="21"/>
                            <w:szCs w:val="21"/>
                          </w:rPr>
                          <w:t>北京超图软件股份</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有限公司</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00" w:right="-8"/>
                          <w:jc w:val="left"/>
                          <w:rPr>
                            <w:rFonts w:ascii="宋体" w:hAnsi="宋体" w:cs="宋体" w:eastAsia="宋体" w:hint="default"/>
                            <w:sz w:val="21"/>
                            <w:szCs w:val="21"/>
                          </w:rPr>
                        </w:pPr>
                        <w:r>
                          <w:rPr>
                            <w:rFonts w:ascii="宋体" w:hAnsi="宋体" w:cs="宋体" w:eastAsia="宋体" w:hint="default"/>
                            <w:spacing w:val="-3"/>
                            <w:sz w:val="21"/>
                            <w:szCs w:val="21"/>
                          </w:rPr>
                          <w:t>京海国用（</w:t>
                        </w:r>
                        <w:r>
                          <w:rPr>
                            <w:rFonts w:ascii="Times New Roman" w:hAnsi="Times New Roman" w:cs="Times New Roman" w:eastAsia="Times New Roman" w:hint="default"/>
                            <w:spacing w:val="-3"/>
                            <w:sz w:val="21"/>
                            <w:szCs w:val="21"/>
                          </w:rPr>
                          <w:t>2008</w:t>
                        </w:r>
                        <w:r>
                          <w:rPr>
                            <w:rFonts w:ascii="宋体" w:hAnsi="宋体" w:cs="宋体" w:eastAsia="宋体" w:hint="default"/>
                            <w:spacing w:val="-3"/>
                            <w:sz w:val="21"/>
                            <w:szCs w:val="21"/>
                          </w:rPr>
                          <w:t>转）</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4598</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出让</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综合</w:t>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1"/>
                          <w:ind w:left="100" w:right="0"/>
                          <w:jc w:val="left"/>
                          <w:rPr>
                            <w:rFonts w:ascii="Times New Roman" w:hAnsi="Times New Roman" w:cs="Times New Roman" w:eastAsia="Times New Roman" w:hint="default"/>
                            <w:sz w:val="21"/>
                            <w:szCs w:val="21"/>
                          </w:rPr>
                        </w:pPr>
                        <w:r>
                          <w:rPr>
                            <w:rFonts w:ascii="Times New Roman"/>
                            <w:sz w:val="21"/>
                          </w:rPr>
                          <w:t>270.8</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2052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p>
                      <w:p>
                        <w:pPr>
                          <w:pStyle w:val="TableParagraph"/>
                          <w:spacing w:line="240" w:lineRule="auto" w:before="17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c>
                      <w:tcPr>
                        <w:tcW w:w="7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p>
              </w:txbxContent>
            </v:textbox>
            <w10:wrap type="none"/>
          </v:shape>
        </w:pict>
      </w:r>
      <w:r>
        <w:rPr/>
        <w:t>报告期内的无形资产主要为公司控股子公司日本超图所拥有的无形资产。 </w:t>
      </w:r>
      <w:r>
        <w:rPr>
          <w:rFonts w:ascii="Times New Roman" w:hAnsi="Times New Roman" w:cs="Times New Roman" w:eastAsia="Times New Roman" w:hint="default"/>
          <w:b/>
          <w:bCs/>
        </w:rPr>
        <w:t>1</w:t>
      </w:r>
      <w:r>
        <w:rPr>
          <w:rFonts w:ascii="宋体" w:hAnsi="宋体" w:cs="宋体" w:eastAsia="宋体" w:hint="default"/>
          <w:b/>
          <w:bCs/>
        </w:rPr>
        <w:t>）土地使用权</w:t>
      </w:r>
      <w:r>
        <w:rPr>
          <w:rFonts w:ascii="宋体" w:hAnsi="宋体" w:cs="宋体" w:eastAsia="宋体" w:hint="default"/>
          <w:b/>
          <w:bCs/>
          <w:w w:val="99"/>
        </w:rPr>
        <w:t> </w:t>
      </w:r>
      <w:r>
        <w:rPr/>
        <w:t>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w:t>
      </w:r>
      <w:r>
        <w:rPr>
          <w:rFonts w:ascii="Times New Roman" w:hAnsi="Times New Roman" w:cs="Times New Roman" w:eastAsia="Times New Roman" w:hint="default"/>
        </w:rPr>
        <w:t>1</w:t>
      </w:r>
      <w:r>
        <w:rPr/>
        <w:t>项土地使用权，具体情况如下：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pStyle w:val="BodyText"/>
        <w:spacing w:line="338" w:lineRule="auto" w:before="26"/>
        <w:ind w:left="720" w:right="646" w:firstLine="2"/>
        <w:jc w:val="left"/>
      </w:pPr>
      <w:r>
        <w:rPr>
          <w:rFonts w:ascii="Times New Roman" w:hAnsi="Times New Roman" w:cs="Times New Roman" w:eastAsia="Times New Roman" w:hint="default"/>
          <w:b/>
          <w:bCs/>
        </w:rPr>
        <w:t>3</w:t>
      </w:r>
      <w:r>
        <w:rPr>
          <w:rFonts w:ascii="宋体" w:hAnsi="宋体" w:cs="宋体" w:eastAsia="宋体" w:hint="default"/>
          <w:b/>
          <w:bCs/>
        </w:rPr>
        <w:t>）商标</w:t>
      </w:r>
      <w:r>
        <w:rPr>
          <w:rFonts w:ascii="宋体" w:hAnsi="宋体" w:cs="宋体" w:eastAsia="宋体" w:hint="default"/>
          <w:b/>
          <w:bCs/>
          <w:w w:val="99"/>
        </w:rPr>
        <w:t> </w:t>
      </w:r>
      <w:r>
        <w:rPr/>
        <w:t>截止报告期期末，公司及全资子公司共持有</w:t>
      </w:r>
      <w:r>
        <w:rPr>
          <w:rFonts w:ascii="Times New Roman" w:hAnsi="Times New Roman" w:cs="Times New Roman" w:eastAsia="Times New Roman" w:hint="default"/>
        </w:rPr>
        <w:t>8</w:t>
      </w:r>
      <w:r>
        <w:rPr/>
        <w:t>项注册商标，具体情况如下：</w:t>
      </w:r>
    </w:p>
    <w:p>
      <w:pPr>
        <w:spacing w:after="0" w:line="338" w:lineRule="auto"/>
        <w:jc w:val="left"/>
        <w:sectPr>
          <w:footerReference w:type="default" r:id="rId15"/>
          <w:pgSz w:w="11910" w:h="16840"/>
          <w:pgMar w:footer="1007" w:header="884" w:top="1140" w:bottom="1200" w:left="1560" w:right="1160"/>
          <w:pgNumType w:start="21"/>
        </w:sectPr>
      </w:pPr>
    </w:p>
    <w:p>
      <w:pPr>
        <w:spacing w:line="240" w:lineRule="auto" w:before="6"/>
        <w:rPr>
          <w:rFonts w:ascii="宋体" w:hAnsi="宋体" w:cs="宋体" w:eastAsia="宋体" w:hint="default"/>
          <w:sz w:val="21"/>
          <w:szCs w:val="21"/>
        </w:rPr>
      </w:pPr>
    </w:p>
    <w:tbl>
      <w:tblPr>
        <w:tblW w:w="0" w:type="auto"/>
        <w:jc w:val="left"/>
        <w:tblInd w:w="351" w:type="dxa"/>
        <w:tblLayout w:type="fixed"/>
        <w:tblCellMar>
          <w:top w:w="0" w:type="dxa"/>
          <w:left w:w="0" w:type="dxa"/>
          <w:bottom w:w="0" w:type="dxa"/>
          <w:right w:w="0" w:type="dxa"/>
        </w:tblCellMar>
        <w:tblLook w:val="01E0"/>
      </w:tblPr>
      <w:tblGrid>
        <w:gridCol w:w="516"/>
        <w:gridCol w:w="2194"/>
        <w:gridCol w:w="1702"/>
        <w:gridCol w:w="1419"/>
        <w:gridCol w:w="850"/>
        <w:gridCol w:w="2041"/>
      </w:tblGrid>
      <w:tr>
        <w:trPr>
          <w:trHeight w:val="591" w:hRule="exact"/>
        </w:trPr>
        <w:tc>
          <w:tcPr>
            <w:tcW w:w="51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1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b/>
                <w:bCs/>
                <w:sz w:val="21"/>
                <w:szCs w:val="21"/>
              </w:rPr>
              <w:t>商标样式</w:t>
            </w:r>
            <w:r>
              <w:rPr>
                <w:rFonts w:ascii="宋体" w:hAnsi="宋体" w:cs="宋体" w:eastAsia="宋体" w:hint="default"/>
                <w:sz w:val="21"/>
                <w:szCs w:val="21"/>
              </w:rPr>
            </w:r>
          </w:p>
        </w:tc>
        <w:tc>
          <w:tcPr>
            <w:tcW w:w="170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b/>
                <w:bCs/>
                <w:sz w:val="21"/>
                <w:szCs w:val="21"/>
              </w:rPr>
              <w:t>注册号</w:t>
            </w:r>
            <w:r>
              <w:rPr>
                <w:rFonts w:ascii="宋体" w:hAnsi="宋体" w:cs="宋体" w:eastAsia="宋体" w:hint="default"/>
                <w:sz w:val="21"/>
                <w:szCs w:val="21"/>
              </w:rPr>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1"/>
                <w:szCs w:val="21"/>
              </w:rPr>
            </w:pPr>
            <w:r>
              <w:rPr>
                <w:rFonts w:ascii="宋体" w:hAnsi="宋体" w:cs="宋体" w:eastAsia="宋体" w:hint="default"/>
                <w:b/>
                <w:bCs/>
                <w:sz w:val="21"/>
                <w:szCs w:val="21"/>
              </w:rPr>
              <w:t>注册人</w:t>
            </w:r>
            <w:r>
              <w:rPr>
                <w:rFonts w:ascii="宋体" w:hAnsi="宋体" w:cs="宋体" w:eastAsia="宋体" w:hint="default"/>
                <w:sz w:val="21"/>
                <w:szCs w:val="21"/>
              </w:rPr>
            </w:r>
          </w:p>
        </w:tc>
        <w:tc>
          <w:tcPr>
            <w:tcW w:w="20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7"/>
              <w:ind w:left="7" w:right="0"/>
              <w:jc w:val="center"/>
              <w:rPr>
                <w:rFonts w:ascii="宋体" w:hAnsi="宋体" w:cs="宋体" w:eastAsia="宋体" w:hint="default"/>
                <w:sz w:val="21"/>
                <w:szCs w:val="21"/>
              </w:rPr>
            </w:pPr>
            <w:r>
              <w:rPr>
                <w:rFonts w:ascii="宋体" w:hAnsi="宋体" w:cs="宋体" w:eastAsia="宋体" w:hint="default"/>
                <w:b/>
                <w:bCs/>
                <w:sz w:val="21"/>
                <w:szCs w:val="21"/>
              </w:rPr>
              <w:t>截至日期</w:t>
            </w:r>
            <w:r>
              <w:rPr>
                <w:rFonts w:ascii="宋体" w:hAnsi="宋体" w:cs="宋体" w:eastAsia="宋体" w:hint="default"/>
                <w:sz w:val="21"/>
                <w:szCs w:val="21"/>
              </w:rPr>
            </w:r>
          </w:p>
        </w:tc>
      </w:tr>
      <w:tr>
        <w:trPr>
          <w:trHeight w:val="950"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１</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超图</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3131971</w:t>
            </w:r>
            <w:r>
              <w:rPr>
                <w:rFonts w:ascii="宋体" w:hAnsi="宋体" w:cs="宋体" w:eastAsia="宋体" w:hint="default"/>
                <w:sz w:val="21"/>
                <w:szCs w:val="21"/>
              </w:rPr>
              <w:t>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2003-07-14</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2013-07-13</w:t>
            </w:r>
          </w:p>
        </w:tc>
      </w:tr>
      <w:tr>
        <w:trPr>
          <w:trHeight w:val="950"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２</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color w:val="333333"/>
                <w:sz w:val="21"/>
              </w:rPr>
              <w:t>SuperMap</w:t>
            </w:r>
            <w:r>
              <w:rPr>
                <w:rFonts w:ascii="Times New Roman"/>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1485691</w:t>
            </w:r>
            <w:r>
              <w:rPr>
                <w:rFonts w:ascii="宋体" w:hAnsi="宋体" w:cs="宋体" w:eastAsia="宋体" w:hint="default"/>
                <w:sz w:val="21"/>
                <w:szCs w:val="21"/>
              </w:rPr>
              <w:t>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2000-12-07</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2010-12-06</w:t>
            </w:r>
          </w:p>
        </w:tc>
      </w:tr>
      <w:tr>
        <w:trPr>
          <w:trHeight w:val="951"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6"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9"/>
              <w:ind w:right="0"/>
              <w:jc w:val="left"/>
              <w:rPr>
                <w:rFonts w:ascii="宋体" w:hAnsi="宋体" w:cs="宋体" w:eastAsia="宋体" w:hint="default"/>
                <w:sz w:val="19"/>
                <w:szCs w:val="19"/>
              </w:rPr>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1695691</w:t>
            </w:r>
            <w:r>
              <w:rPr>
                <w:rFonts w:ascii="宋体" w:hAnsi="宋体" w:cs="宋体" w:eastAsia="宋体" w:hint="default"/>
                <w:sz w:val="21"/>
                <w:szCs w:val="21"/>
              </w:rPr>
              <w:t>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2002-01-07</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2012-01-06</w:t>
            </w:r>
          </w:p>
        </w:tc>
      </w:tr>
      <w:tr>
        <w:trPr>
          <w:trHeight w:val="953"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４</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color w:val="333333"/>
                <w:sz w:val="21"/>
              </w:rPr>
              <w:t>Super</w:t>
            </w:r>
            <w:r>
              <w:rPr>
                <w:rFonts w:ascii="Times New Roman"/>
                <w:color w:val="333333"/>
                <w:spacing w:val="4"/>
                <w:sz w:val="21"/>
              </w:rPr>
              <w:t> </w:t>
            </w:r>
            <w:r>
              <w:rPr>
                <w:rFonts w:ascii="Times New Roman"/>
                <w:color w:val="333333"/>
                <w:spacing w:val="-3"/>
                <w:sz w:val="21"/>
              </w:rPr>
              <w:t>Workflow</w:t>
            </w:r>
            <w:r>
              <w:rPr>
                <w:rFonts w:ascii="Times New Roman"/>
                <w:spacing w:val="-3"/>
                <w:sz w:val="21"/>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1662481</w:t>
            </w:r>
            <w:r>
              <w:rPr>
                <w:rFonts w:ascii="宋体" w:hAnsi="宋体" w:cs="宋体" w:eastAsia="宋体" w:hint="default"/>
                <w:sz w:val="21"/>
                <w:szCs w:val="21"/>
              </w:rPr>
              <w:t>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2001-11-07</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2011-11-06</w:t>
            </w:r>
          </w:p>
        </w:tc>
      </w:tr>
      <w:tr>
        <w:trPr>
          <w:trHeight w:val="950"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6"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9"/>
              <w:ind w:right="0"/>
              <w:jc w:val="left"/>
              <w:rPr>
                <w:rFonts w:ascii="宋体" w:hAnsi="宋体" w:cs="宋体" w:eastAsia="宋体" w:hint="default"/>
                <w:sz w:val="19"/>
                <w:szCs w:val="19"/>
              </w:rPr>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T0810121H</w:t>
            </w:r>
            <w:r>
              <w:rPr>
                <w:rFonts w:ascii="宋体" w:hAnsi="宋体" w:cs="宋体" w:eastAsia="宋体" w:hint="default"/>
                <w:sz w:val="21"/>
                <w:szCs w:val="21"/>
              </w:rPr>
              <w:t>（新加</w:t>
            </w:r>
          </w:p>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2008-07-31</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2018-07-31</w:t>
            </w:r>
          </w:p>
        </w:tc>
      </w:tr>
      <w:tr>
        <w:trPr>
          <w:trHeight w:val="950"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16"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0"/>
              <w:ind w:right="0"/>
              <w:jc w:val="left"/>
              <w:rPr>
                <w:rFonts w:ascii="宋体" w:hAnsi="宋体" w:cs="宋体" w:eastAsia="宋体" w:hint="default"/>
                <w:sz w:val="19"/>
                <w:szCs w:val="19"/>
              </w:rPr>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01"/>
              <w:jc w:val="center"/>
              <w:rPr>
                <w:rFonts w:ascii="宋体" w:hAnsi="宋体" w:cs="宋体" w:eastAsia="宋体" w:hint="default"/>
                <w:sz w:val="21"/>
                <w:szCs w:val="21"/>
              </w:rPr>
            </w:pPr>
            <w:r>
              <w:rPr>
                <w:rFonts w:ascii="Times New Roman" w:hAnsi="Times New Roman" w:cs="Times New Roman" w:eastAsia="Times New Roman" w:hint="default"/>
                <w:spacing w:val="-6"/>
                <w:sz w:val="21"/>
                <w:szCs w:val="21"/>
              </w:rPr>
              <w:t>2008/18797</w:t>
            </w:r>
            <w:r>
              <w:rPr>
                <w:rFonts w:ascii="宋体" w:hAnsi="宋体" w:cs="宋体" w:eastAsia="宋体" w:hint="default"/>
                <w:spacing w:val="-6"/>
                <w:sz w:val="21"/>
                <w:szCs w:val="21"/>
              </w:rPr>
              <w:t>（南非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2008-08-14</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2018-08-14</w:t>
            </w:r>
          </w:p>
        </w:tc>
      </w:tr>
      <w:tr>
        <w:trPr>
          <w:trHeight w:val="1419"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16"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left="21" w:right="0"/>
              <w:jc w:val="left"/>
              <w:rPr>
                <w:rFonts w:ascii="Times New Roman" w:hAnsi="Times New Roman" w:cs="Times New Roman" w:eastAsia="Times New Roman" w:hint="default"/>
                <w:sz w:val="21"/>
                <w:szCs w:val="21"/>
              </w:rPr>
            </w:pPr>
            <w:r>
              <w:rPr>
                <w:rFonts w:ascii="Times New Roman"/>
                <w:sz w:val="21"/>
              </w:rPr>
              <w:t>BW/M/2008/00499</w:t>
            </w:r>
          </w:p>
          <w:p>
            <w:pPr>
              <w:pStyle w:val="TableParagraph"/>
              <w:spacing w:line="240" w:lineRule="auto" w:before="10"/>
              <w:ind w:right="0"/>
              <w:jc w:val="left"/>
              <w:rPr>
                <w:rFonts w:ascii="宋体" w:hAnsi="宋体" w:cs="宋体" w:eastAsia="宋体" w:hint="default"/>
                <w:sz w:val="13"/>
                <w:szCs w:val="13"/>
              </w:rPr>
            </w:pPr>
          </w:p>
          <w:p>
            <w:pPr>
              <w:pStyle w:val="TableParagraph"/>
              <w:spacing w:line="408" w:lineRule="auto"/>
              <w:ind w:left="633" w:right="103" w:hanging="526"/>
              <w:jc w:val="left"/>
              <w:rPr>
                <w:rFonts w:ascii="宋体" w:hAnsi="宋体" w:cs="宋体" w:eastAsia="宋体" w:hint="default"/>
                <w:sz w:val="21"/>
                <w:szCs w:val="21"/>
              </w:rPr>
            </w:pPr>
            <w:r>
              <w:rPr>
                <w:rFonts w:ascii="宋体" w:hAnsi="宋体" w:cs="宋体" w:eastAsia="宋体" w:hint="default"/>
                <w:sz w:val="21"/>
                <w:szCs w:val="21"/>
              </w:rPr>
              <w:t>（博茨瓦纳共和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2009-12-01</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2019-12-01</w:t>
            </w:r>
          </w:p>
        </w:tc>
      </w:tr>
      <w:tr>
        <w:trPr>
          <w:trHeight w:val="953" w:hRule="exact"/>
        </w:trPr>
        <w:tc>
          <w:tcPr>
            <w:tcW w:w="5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16"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p>
            <w:pPr>
              <w:pStyle w:val="TableParagraph"/>
              <w:spacing w:line="240" w:lineRule="auto" w:before="10"/>
              <w:ind w:right="0"/>
              <w:jc w:val="left"/>
              <w:rPr>
                <w:rFonts w:ascii="宋体" w:hAnsi="宋体" w:cs="宋体" w:eastAsia="宋体" w:hint="default"/>
                <w:sz w:val="19"/>
                <w:szCs w:val="19"/>
              </w:rPr>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3667113</w:t>
            </w:r>
            <w:r>
              <w:rPr>
                <w:rFonts w:ascii="宋体" w:hAnsi="宋体" w:cs="宋体" w:eastAsia="宋体" w:hint="default"/>
                <w:sz w:val="21"/>
                <w:szCs w:val="21"/>
              </w:rPr>
              <w:t>（美国）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38</w:t>
            </w:r>
            <w:r>
              <w:rPr>
                <w:rFonts w:ascii="宋体" w:hAnsi="宋体" w:cs="宋体" w:eastAsia="宋体" w:hint="default"/>
                <w:sz w:val="21"/>
                <w:szCs w:val="21"/>
              </w:rPr>
              <w:t>、</w:t>
            </w:r>
            <w:r>
              <w:rPr>
                <w:rFonts w:ascii="Times New Roman" w:hAnsi="Times New Roman" w:cs="Times New Roman" w:eastAsia="Times New Roman" w:hint="default"/>
                <w:sz w:val="21"/>
                <w:szCs w:val="21"/>
              </w:rPr>
              <w:t>42</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2009-04-11</w:t>
            </w:r>
            <w:r>
              <w:rPr>
                <w:rFonts w:ascii="宋体" w:hAnsi="宋体" w:cs="宋体" w:eastAsia="宋体" w:hint="default"/>
                <w:sz w:val="21"/>
                <w:szCs w:val="21"/>
              </w:rPr>
              <w:t>至</w:t>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2019-04-11</w:t>
            </w:r>
          </w:p>
        </w:tc>
      </w:tr>
      <w:tr>
        <w:trPr>
          <w:trHeight w:val="643" w:hRule="exact"/>
        </w:trPr>
        <w:tc>
          <w:tcPr>
            <w:tcW w:w="5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9</w:t>
            </w:r>
          </w:p>
        </w:tc>
        <w:tc>
          <w:tcPr>
            <w:tcW w:w="21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left"/>
              <w:rPr>
                <w:rFonts w:ascii="宋体" w:hAnsi="宋体" w:cs="宋体" w:eastAsia="宋体" w:hint="default"/>
                <w:sz w:val="7"/>
                <w:szCs w:val="7"/>
              </w:rPr>
            </w:pPr>
          </w:p>
          <w:p>
            <w:pPr>
              <w:pStyle w:val="TableParagraph"/>
              <w:spacing w:line="422" w:lineRule="exact"/>
              <w:ind w:left="270" w:right="0"/>
              <w:jc w:val="left"/>
              <w:rPr>
                <w:rFonts w:ascii="宋体" w:hAnsi="宋体" w:cs="宋体" w:eastAsia="宋体" w:hint="default"/>
                <w:sz w:val="20"/>
                <w:szCs w:val="20"/>
              </w:rPr>
            </w:pPr>
            <w:r>
              <w:rPr>
                <w:rFonts w:ascii="宋体" w:hAnsi="宋体" w:cs="宋体" w:eastAsia="宋体" w:hint="default"/>
                <w:position w:val="-7"/>
                <w:sz w:val="20"/>
                <w:szCs w:val="20"/>
              </w:rPr>
              <w:drawing>
                <wp:inline distT="0" distB="0" distL="0" distR="0">
                  <wp:extent cx="1043519" cy="268224"/>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16" cstate="print"/>
                          <a:stretch>
                            <a:fillRect/>
                          </a:stretch>
                        </pic:blipFill>
                        <pic:spPr>
                          <a:xfrm>
                            <a:off x="0" y="0"/>
                            <a:ext cx="1043519" cy="268224"/>
                          </a:xfrm>
                          <a:prstGeom prst="rect">
                            <a:avLst/>
                          </a:prstGeom>
                        </pic:spPr>
                      </pic:pic>
                    </a:graphicData>
                  </a:graphic>
                </wp:inline>
              </w:drawing>
            </w:r>
            <w:r>
              <w:rPr>
                <w:rFonts w:ascii="宋体" w:hAnsi="宋体" w:cs="宋体" w:eastAsia="宋体" w:hint="default"/>
                <w:position w:val="-7"/>
                <w:sz w:val="20"/>
                <w:szCs w:val="20"/>
              </w:rPr>
            </w:r>
          </w:p>
        </w:tc>
        <w:tc>
          <w:tcPr>
            <w:tcW w:w="17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39883</w:t>
            </w:r>
            <w:r>
              <w:rPr>
                <w:rFonts w:ascii="宋体" w:hAnsi="宋体" w:cs="宋体" w:eastAsia="宋体" w:hint="default"/>
                <w:sz w:val="21"/>
                <w:szCs w:val="21"/>
              </w:rPr>
              <w:t>（文莱）</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第</w:t>
            </w:r>
            <w:r>
              <w:rPr>
                <w:rFonts w:ascii="Times New Roman" w:hAnsi="Times New Roman" w:cs="Times New Roman" w:eastAsia="Times New Roman" w:hint="default"/>
                <w:sz w:val="21"/>
                <w:szCs w:val="21"/>
              </w:rPr>
              <w:t>9</w:t>
            </w:r>
            <w:r>
              <w:rPr>
                <w:rFonts w:ascii="宋体" w:hAnsi="宋体" w:cs="宋体" w:eastAsia="宋体" w:hint="default"/>
                <w:sz w:val="21"/>
                <w:szCs w:val="21"/>
              </w:rPr>
              <w:t>类</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本公司</w:t>
            </w:r>
          </w:p>
        </w:tc>
        <w:tc>
          <w:tcPr>
            <w:tcW w:w="20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1"/>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w:t>
            </w:r>
          </w:p>
        </w:tc>
      </w:tr>
    </w:tbl>
    <w:p>
      <w:pPr>
        <w:spacing w:line="386" w:lineRule="auto" w:before="66"/>
        <w:ind w:left="380" w:right="389" w:firstLine="419"/>
        <w:jc w:val="both"/>
        <w:rPr>
          <w:rFonts w:ascii="宋体" w:hAnsi="宋体" w:cs="宋体" w:eastAsia="宋体" w:hint="default"/>
          <w:sz w:val="21"/>
          <w:szCs w:val="21"/>
        </w:rPr>
      </w:pPr>
      <w:r>
        <w:rPr>
          <w:rFonts w:ascii="宋体" w:hAnsi="宋体" w:cs="宋体" w:eastAsia="宋体" w:hint="default"/>
          <w:spacing w:val="-3"/>
          <w:sz w:val="21"/>
          <w:szCs w:val="21"/>
        </w:rPr>
        <w:t>注：第</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项为我公司在新加坡注册的商标；第</w:t>
      </w: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项为我公司在南非注册的商标；第</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项为我公</w:t>
      </w:r>
      <w:r>
        <w:rPr>
          <w:rFonts w:ascii="宋体" w:hAnsi="宋体" w:cs="宋体" w:eastAsia="宋体" w:hint="default"/>
          <w:w w:val="100"/>
          <w:sz w:val="21"/>
          <w:szCs w:val="21"/>
        </w:rPr>
        <w:t> </w:t>
      </w:r>
      <w:r>
        <w:rPr>
          <w:rFonts w:ascii="宋体" w:hAnsi="宋体" w:cs="宋体" w:eastAsia="宋体" w:hint="default"/>
          <w:sz w:val="21"/>
          <w:szCs w:val="21"/>
        </w:rPr>
        <w:t>司在南非博茨瓦纳共和国注册的商标；第</w:t>
      </w:r>
      <w:r>
        <w:rPr>
          <w:rFonts w:ascii="Times New Roman" w:hAnsi="Times New Roman" w:cs="Times New Roman" w:eastAsia="Times New Roman" w:hint="default"/>
          <w:sz w:val="21"/>
          <w:szCs w:val="21"/>
        </w:rPr>
        <w:t>8</w:t>
      </w:r>
      <w:r>
        <w:rPr>
          <w:rFonts w:ascii="宋体" w:hAnsi="宋体" w:cs="宋体" w:eastAsia="宋体" w:hint="default"/>
          <w:sz w:val="21"/>
          <w:szCs w:val="21"/>
        </w:rPr>
        <w:t>项为我公司在美国注册的商标；第</w:t>
      </w:r>
      <w:r>
        <w:rPr>
          <w:rFonts w:ascii="Times New Roman" w:hAnsi="Times New Roman" w:cs="Times New Roman" w:eastAsia="Times New Roman" w:hint="default"/>
          <w:sz w:val="21"/>
          <w:szCs w:val="21"/>
        </w:rPr>
        <w:t>9</w:t>
      </w:r>
      <w:r>
        <w:rPr>
          <w:rFonts w:ascii="宋体" w:hAnsi="宋体" w:cs="宋体" w:eastAsia="宋体" w:hint="default"/>
          <w:sz w:val="21"/>
          <w:szCs w:val="21"/>
        </w:rPr>
        <w:t>项为我公司在文</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莱注册的商标。</w:t>
      </w:r>
    </w:p>
    <w:p>
      <w:pPr>
        <w:pStyle w:val="BodyText"/>
        <w:spacing w:line="338" w:lineRule="auto" w:before="39"/>
        <w:ind w:left="860" w:right="386" w:firstLine="2"/>
        <w:jc w:val="left"/>
      </w:pPr>
      <w:r>
        <w:rPr>
          <w:rFonts w:ascii="Times New Roman" w:hAnsi="Times New Roman" w:cs="Times New Roman" w:eastAsia="Times New Roman" w:hint="default"/>
          <w:b/>
          <w:bCs/>
        </w:rPr>
        <w:t>4</w:t>
      </w:r>
      <w:r>
        <w:rPr>
          <w:rFonts w:ascii="宋体" w:hAnsi="宋体" w:cs="宋体" w:eastAsia="宋体" w:hint="default"/>
          <w:b/>
          <w:bCs/>
        </w:rPr>
        <w:t>）著作权</w:t>
      </w:r>
      <w:r>
        <w:rPr>
          <w:rFonts w:ascii="宋体" w:hAnsi="宋体" w:cs="宋体" w:eastAsia="宋体" w:hint="default"/>
          <w:b/>
          <w:bCs/>
          <w:w w:val="99"/>
        </w:rPr>
        <w:t> </w:t>
      </w:r>
      <w:r>
        <w:rPr>
          <w:spacing w:val="-2"/>
        </w:rPr>
        <w:t>截至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日，公司及下属全资子公司共拥有</w:t>
      </w:r>
      <w:r>
        <w:rPr>
          <w:rFonts w:ascii="Times New Roman" w:hAnsi="Times New Roman" w:cs="Times New Roman" w:eastAsia="Times New Roman" w:hint="default"/>
          <w:spacing w:val="-2"/>
        </w:rPr>
        <w:t>158</w:t>
      </w:r>
      <w:r>
        <w:rPr>
          <w:spacing w:val="-2"/>
        </w:rPr>
        <w:t>项著作权。其中报告期</w:t>
      </w:r>
    </w:p>
    <w:p>
      <w:pPr>
        <w:pStyle w:val="BodyText"/>
        <w:spacing w:line="240" w:lineRule="auto" w:before="27"/>
        <w:ind w:left="380" w:right="386"/>
        <w:jc w:val="left"/>
      </w:pPr>
      <w:r>
        <w:rPr/>
        <w:t>内新增</w:t>
      </w:r>
      <w:r>
        <w:rPr>
          <w:rFonts w:ascii="Times New Roman" w:hAnsi="Times New Roman" w:cs="Times New Roman" w:eastAsia="Times New Roman" w:hint="default"/>
        </w:rPr>
        <w:t>27</w:t>
      </w:r>
      <w:r>
        <w:rPr/>
        <w:t>项软件著作权，具体情况如下：</w:t>
      </w:r>
    </w:p>
    <w:p>
      <w:pPr>
        <w:spacing w:before="161"/>
        <w:ind w:left="3388" w:right="2980"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宋体" w:hAnsi="宋体" w:cs="宋体" w:eastAsia="宋体" w:hint="default"/>
          <w:b/>
          <w:bCs/>
          <w:sz w:val="21"/>
          <w:szCs w:val="21"/>
        </w:rPr>
        <w:t>年新增软件著作权</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tbl>
      <w:tblPr>
        <w:tblW w:w="0" w:type="auto"/>
        <w:jc w:val="left"/>
        <w:tblInd w:w="106" w:type="dxa"/>
        <w:tblLayout w:type="fixed"/>
        <w:tblCellMar>
          <w:top w:w="0" w:type="dxa"/>
          <w:left w:w="0" w:type="dxa"/>
          <w:bottom w:w="0" w:type="dxa"/>
          <w:right w:w="0" w:type="dxa"/>
        </w:tblCellMar>
        <w:tblLook w:val="01E0"/>
      </w:tblPr>
      <w:tblGrid>
        <w:gridCol w:w="610"/>
        <w:gridCol w:w="3063"/>
        <w:gridCol w:w="1484"/>
        <w:gridCol w:w="1927"/>
        <w:gridCol w:w="889"/>
        <w:gridCol w:w="1236"/>
      </w:tblGrid>
      <w:tr>
        <w:trPr>
          <w:trHeight w:val="336" w:hRule="exact"/>
        </w:trPr>
        <w:tc>
          <w:tcPr>
            <w:tcW w:w="610"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063"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484"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417" w:right="0"/>
              <w:jc w:val="left"/>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192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著作权人</w:t>
            </w:r>
            <w:r>
              <w:rPr>
                <w:rFonts w:ascii="宋体" w:hAnsi="宋体" w:cs="宋体" w:eastAsia="宋体" w:hint="default"/>
                <w:sz w:val="21"/>
                <w:szCs w:val="21"/>
              </w:rPr>
            </w:r>
          </w:p>
        </w:tc>
        <w:tc>
          <w:tcPr>
            <w:tcW w:w="889"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他项权利</w:t>
            </w:r>
            <w:r>
              <w:rPr>
                <w:rFonts w:ascii="宋体" w:hAnsi="宋体" w:cs="宋体" w:eastAsia="宋体" w:hint="default"/>
                <w:sz w:val="21"/>
                <w:szCs w:val="21"/>
              </w:rPr>
            </w:r>
          </w:p>
        </w:tc>
        <w:tc>
          <w:tcPr>
            <w:tcW w:w="1236"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left="189" w:right="0"/>
              <w:jc w:val="left"/>
              <w:rPr>
                <w:rFonts w:ascii="宋体" w:hAnsi="宋体" w:cs="宋体" w:eastAsia="宋体" w:hint="default"/>
                <w:sz w:val="21"/>
                <w:szCs w:val="21"/>
              </w:rPr>
            </w:pPr>
            <w:r>
              <w:rPr>
                <w:rFonts w:ascii="宋体" w:hAnsi="宋体" w:cs="宋体" w:eastAsia="宋体" w:hint="default"/>
                <w:b/>
                <w:bCs/>
                <w:sz w:val="21"/>
                <w:szCs w:val="21"/>
              </w:rPr>
              <w:t>登记日期</w:t>
            </w:r>
            <w:r>
              <w:rPr>
                <w:rFonts w:ascii="宋体" w:hAnsi="宋体" w:cs="宋体" w:eastAsia="宋体" w:hint="default"/>
                <w:sz w:val="21"/>
                <w:szCs w:val="21"/>
              </w:rPr>
            </w:r>
          </w:p>
        </w:tc>
      </w:tr>
      <w:tr>
        <w:trPr>
          <w:trHeight w:val="639"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超图图形符号制作软件（简称：</w:t>
            </w:r>
          </w:p>
          <w:p>
            <w:pPr>
              <w:pStyle w:val="TableParagraph"/>
              <w:tabs>
                <w:tab w:pos="1089" w:val="left" w:leader="none"/>
              </w:tabs>
              <w:spacing w:line="240" w:lineRule="auto" w:before="37"/>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1"/>
                <w:sz w:val="21"/>
                <w:szCs w:val="21"/>
              </w:rPr>
              <w:t>SuperMap</w:t>
              <w:tab/>
              <w:t>EGD</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V1.0</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75"/>
              <w:jc w:val="right"/>
              <w:rPr>
                <w:rFonts w:ascii="Times New Roman" w:hAnsi="Times New Roman" w:cs="Times New Roman" w:eastAsia="Times New Roman" w:hint="default"/>
                <w:sz w:val="21"/>
                <w:szCs w:val="21"/>
              </w:rPr>
            </w:pPr>
            <w:r>
              <w:rPr>
                <w:rFonts w:ascii="Times New Roman"/>
                <w:spacing w:val="-2"/>
                <w:sz w:val="21"/>
              </w:rPr>
              <w:t>2011SRBJ0835</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北京超图信息技术有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2011-03-28</w:t>
            </w:r>
          </w:p>
        </w:tc>
      </w:tr>
      <w:tr>
        <w:trPr>
          <w:trHeight w:val="334" w:hRule="exact"/>
        </w:trPr>
        <w:tc>
          <w:tcPr>
            <w:tcW w:w="6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2</w:t>
            </w:r>
          </w:p>
        </w:tc>
        <w:tc>
          <w:tcPr>
            <w:tcW w:w="3063"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pacing w:val="-4"/>
                <w:sz w:val="21"/>
                <w:szCs w:val="21"/>
              </w:rPr>
              <w:t>超图图形开发平台软件（Ｃ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版</w:t>
            </w:r>
            <w:r>
              <w:rPr>
                <w:rFonts w:ascii="宋体" w:hAnsi="宋体" w:cs="宋体" w:eastAsia="宋体" w:hint="default"/>
                <w:sz w:val="21"/>
                <w:szCs w:val="21"/>
              </w:rPr>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120" w:right="75"/>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2011SRBJ0836</w:t>
            </w:r>
          </w:p>
        </w:tc>
        <w:tc>
          <w:tcPr>
            <w:tcW w:w="192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4" w:right="-1"/>
              <w:jc w:val="center"/>
              <w:rPr>
                <w:rFonts w:ascii="宋体" w:hAnsi="宋体" w:cs="宋体" w:eastAsia="宋体" w:hint="default"/>
                <w:sz w:val="21"/>
                <w:szCs w:val="21"/>
              </w:rPr>
            </w:pPr>
            <w:r>
              <w:rPr>
                <w:rFonts w:ascii="宋体" w:hAnsi="宋体" w:cs="宋体" w:eastAsia="宋体" w:hint="default"/>
                <w:sz w:val="21"/>
                <w:szCs w:val="21"/>
              </w:rPr>
              <w:t>北京超图信息技术有</w:t>
            </w:r>
          </w:p>
        </w:tc>
        <w:tc>
          <w:tcPr>
            <w:tcW w:w="889"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left="124" w:right="0"/>
              <w:jc w:val="left"/>
              <w:rPr>
                <w:rFonts w:ascii="Times New Roman" w:hAnsi="Times New Roman" w:cs="Times New Roman" w:eastAsia="Times New Roman" w:hint="default"/>
                <w:sz w:val="21"/>
                <w:szCs w:val="21"/>
              </w:rPr>
            </w:pPr>
            <w:r>
              <w:rPr>
                <w:rFonts w:ascii="Times New Roman"/>
                <w:sz w:val="21"/>
              </w:rPr>
              <w:t>2011-03-28</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1007" w:top="1140" w:bottom="1200" w:left="1420" w:right="1020"/>
        </w:sectPr>
      </w:pPr>
    </w:p>
    <w:p>
      <w:pPr>
        <w:spacing w:line="240" w:lineRule="auto" w:before="5"/>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610"/>
        <w:gridCol w:w="3063"/>
        <w:gridCol w:w="110"/>
        <w:gridCol w:w="1373"/>
        <w:gridCol w:w="1927"/>
        <w:gridCol w:w="889"/>
        <w:gridCol w:w="1236"/>
      </w:tblGrid>
      <w:tr>
        <w:trPr>
          <w:trHeight w:val="334" w:hRule="exact"/>
        </w:trPr>
        <w:tc>
          <w:tcPr>
            <w:tcW w:w="610" w:type="dxa"/>
            <w:tcBorders>
              <w:top w:val="single" w:sz="12" w:space="0" w:color="000000"/>
              <w:left w:val="single" w:sz="12" w:space="0" w:color="000000"/>
              <w:bottom w:val="single" w:sz="6" w:space="0" w:color="000000"/>
              <w:right w:val="single" w:sz="6" w:space="0" w:color="000000"/>
            </w:tcBorders>
          </w:tcPr>
          <w:p>
            <w:pPr/>
          </w:p>
        </w:tc>
        <w:tc>
          <w:tcPr>
            <w:tcW w:w="3063"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EGO</w:t>
            </w:r>
            <w:r>
              <w:rPr>
                <w:rFonts w:ascii="宋体" w:hAnsi="宋体" w:cs="宋体" w:eastAsia="宋体" w:hint="default"/>
                <w:sz w:val="21"/>
                <w:szCs w:val="21"/>
              </w:rPr>
              <w:t>Ｃ</w:t>
            </w:r>
            <w:r>
              <w:rPr>
                <w:rFonts w:ascii="Times New Roman" w:hAnsi="Times New Roman" w:cs="Times New Roman" w:eastAsia="Times New Roman" w:hint="default"/>
                <w:sz w:val="21"/>
                <w:szCs w:val="21"/>
              </w:rPr>
              <w:t>++]V1.0</w:t>
            </w:r>
          </w:p>
        </w:tc>
        <w:tc>
          <w:tcPr>
            <w:tcW w:w="1484" w:type="dxa"/>
            <w:gridSpan w:val="2"/>
            <w:tcBorders>
              <w:top w:val="single" w:sz="12" w:space="0" w:color="000000"/>
              <w:left w:val="single" w:sz="6" w:space="0" w:color="000000"/>
              <w:bottom w:val="single" w:sz="6" w:space="0" w:color="000000"/>
              <w:right w:val="single" w:sz="6" w:space="0" w:color="000000"/>
            </w:tcBorders>
          </w:tcPr>
          <w:p>
            <w:pPr/>
          </w:p>
        </w:tc>
        <w:tc>
          <w:tcPr>
            <w:tcW w:w="192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89" w:type="dxa"/>
            <w:tcBorders>
              <w:top w:val="single" w:sz="12" w:space="0" w:color="000000"/>
              <w:left w:val="single" w:sz="6" w:space="0" w:color="000000"/>
              <w:bottom w:val="single" w:sz="6" w:space="0" w:color="000000"/>
              <w:right w:val="single" w:sz="6" w:space="0" w:color="000000"/>
            </w:tcBorders>
          </w:tcPr>
          <w:p>
            <w:pPr/>
          </w:p>
        </w:tc>
        <w:tc>
          <w:tcPr>
            <w:tcW w:w="1236" w:type="dxa"/>
            <w:tcBorders>
              <w:top w:val="single" w:sz="12" w:space="0" w:color="000000"/>
              <w:left w:val="single" w:sz="6" w:space="0" w:color="000000"/>
              <w:bottom w:val="single" w:sz="6" w:space="0" w:color="000000"/>
              <w:right w:val="single" w:sz="12" w:space="0" w:color="000000"/>
            </w:tcBorders>
          </w:tcPr>
          <w:p>
            <w:pPr/>
          </w:p>
        </w:tc>
      </w:tr>
      <w:tr>
        <w:trPr>
          <w:trHeight w:val="641"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超图图形开发平台软件（</w:t>
            </w:r>
            <w:r>
              <w:rPr>
                <w:rFonts w:ascii="Times New Roman" w:hAnsi="Times New Roman" w:cs="Times New Roman" w:eastAsia="Times New Roman" w:hint="default"/>
                <w:spacing w:val="-5"/>
                <w:sz w:val="21"/>
                <w:szCs w:val="21"/>
              </w:rPr>
              <w:t>.NET</w:t>
            </w:r>
            <w:r>
              <w:rPr>
                <w:rFonts w:ascii="宋体" w:hAnsi="宋体" w:cs="宋体" w:eastAsia="宋体" w:hint="default"/>
                <w:spacing w:val="-5"/>
                <w:sz w:val="21"/>
                <w:szCs w:val="21"/>
              </w:rPr>
              <w:t>版</w:t>
            </w:r>
            <w:r>
              <w:rPr>
                <w:rFonts w:ascii="宋体" w:hAnsi="宋体" w:cs="宋体" w:eastAsia="宋体" w:hint="default"/>
                <w:sz w:val="21"/>
                <w:szCs w:val="21"/>
              </w:rPr>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EGO.NET]V1.0</w:t>
            </w:r>
          </w:p>
        </w:tc>
        <w:tc>
          <w:tcPr>
            <w:tcW w:w="110" w:type="dxa"/>
            <w:tcBorders>
              <w:top w:val="single" w:sz="6" w:space="0" w:color="000000"/>
              <w:left w:val="single" w:sz="6" w:space="0" w:color="000000"/>
              <w:bottom w:val="single" w:sz="6" w:space="0" w:color="000000"/>
              <w:right w:val="nil" w:sz="6" w:space="0" w:color="auto"/>
            </w:tcBorders>
          </w:tcPr>
          <w:p>
            <w:pPr>
              <w:pStyle w:val="TableParagraph"/>
              <w:spacing w:line="265" w:lineRule="exact"/>
              <w:ind w:left="-120" w:right="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tc>
        <w:tc>
          <w:tcPr>
            <w:tcW w:w="137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2011SRB0837</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北京超图信息技术有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2"/>
                <w:sz w:val="21"/>
              </w:rPr>
              <w:t>2011-03-28</w:t>
            </w:r>
          </w:p>
        </w:tc>
      </w:tr>
      <w:tr>
        <w:trPr>
          <w:trHeight w:val="638"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4</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超图图形开发平台软件（</w:t>
            </w:r>
            <w:r>
              <w:rPr>
                <w:rFonts w:ascii="Times New Roman" w:hAnsi="Times New Roman" w:cs="Times New Roman" w:eastAsia="Times New Roman" w:hint="default"/>
                <w:sz w:val="21"/>
                <w:szCs w:val="21"/>
              </w:rPr>
              <w:t>Java</w:t>
            </w:r>
            <w:r>
              <w:rPr>
                <w:rFonts w:ascii="宋体" w:hAnsi="宋体" w:cs="宋体" w:eastAsia="宋体" w:hint="default"/>
                <w:sz w:val="21"/>
                <w:szCs w:val="21"/>
              </w:rPr>
              <w:t>版</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 EGO</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Java]V1.0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26" w:lineRule="exact"/>
              <w:ind w:left="-166"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05" w:lineRule="exact"/>
              <w:ind w:left="79" w:right="0"/>
              <w:jc w:val="left"/>
              <w:rPr>
                <w:rFonts w:ascii="Times New Roman" w:hAnsi="Times New Roman" w:cs="Times New Roman" w:eastAsia="Times New Roman" w:hint="default"/>
                <w:sz w:val="21"/>
                <w:szCs w:val="21"/>
              </w:rPr>
            </w:pPr>
            <w:r>
              <w:rPr>
                <w:rFonts w:ascii="Times New Roman"/>
                <w:sz w:val="21"/>
              </w:rPr>
              <w:t>2011SRBJ0838</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北京超图信息技术有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2"/>
                <w:sz w:val="21"/>
              </w:rPr>
              <w:t>2011-03-28</w:t>
            </w:r>
          </w:p>
        </w:tc>
      </w:tr>
      <w:tr>
        <w:trPr>
          <w:trHeight w:val="638"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超图图形标注软件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 EGP]</w:t>
            </w:r>
            <w:r>
              <w:rPr>
                <w:rFonts w:ascii="Times New Roman"/>
                <w:spacing w:val="-5"/>
                <w:sz w:val="21"/>
              </w:rPr>
              <w:t> </w:t>
            </w:r>
            <w:r>
              <w:rPr>
                <w:rFonts w:ascii="Times New Roman"/>
                <w:sz w:val="21"/>
              </w:rPr>
              <w:t>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2011SRBJ0839</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北京超图信息技术有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2"/>
                <w:sz w:val="21"/>
              </w:rPr>
              <w:t>2011-03-28</w:t>
            </w:r>
          </w:p>
        </w:tc>
      </w:tr>
      <w:tr>
        <w:trPr>
          <w:trHeight w:val="638"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24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超图在线运营服务平台软件</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简</w:t>
            </w:r>
            <w:r>
              <w:rPr>
                <w:rFonts w:ascii="宋体" w:hAnsi="宋体" w:cs="宋体" w:eastAsia="宋体" w:hint="default"/>
                <w:spacing w:val="-77"/>
                <w:sz w:val="21"/>
                <w:szCs w:val="21"/>
              </w:rPr>
              <w:t> </w:t>
            </w:r>
            <w:r>
              <w:rPr>
                <w:rFonts w:ascii="宋体" w:hAnsi="宋体" w:cs="宋体" w:eastAsia="宋体" w:hint="default"/>
                <w:sz w:val="21"/>
                <w:szCs w:val="21"/>
              </w:rPr>
              <w:t>称：</w:t>
            </w:r>
            <w:r>
              <w:rPr>
                <w:rFonts w:ascii="Times New Roman" w:hAnsi="Times New Roman" w:cs="Times New Roman" w:eastAsia="Times New Roman" w:hint="default"/>
                <w:sz w:val="21"/>
                <w:szCs w:val="21"/>
              </w:rPr>
              <w:t>SuperMap OSP]</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2011SRBJ0843</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2"/>
                <w:sz w:val="21"/>
              </w:rPr>
              <w:t>2011-03-28</w:t>
            </w:r>
          </w:p>
        </w:tc>
      </w:tr>
      <w:tr>
        <w:trPr>
          <w:trHeight w:val="641"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ind w:left="2" w:right="194"/>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超图导航引擎系统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简称：</w:t>
            </w:r>
            <w:r>
              <w:rPr>
                <w:rFonts w:ascii="Times New Roman" w:hAnsi="Times New Roman" w:cs="Times New Roman" w:eastAsia="Times New Roman" w:hint="default"/>
                <w:spacing w:val="-2"/>
                <w:sz w:val="21"/>
                <w:szCs w:val="21"/>
              </w:rPr>
              <w:t>SNE]</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spacing w:val="-23"/>
                <w:sz w:val="21"/>
                <w:szCs w:val="21"/>
              </w:rPr>
            </w:r>
            <w:r>
              <w:rPr>
                <w:rFonts w:ascii="Times New Roman" w:hAnsi="Times New Roman" w:cs="Times New Roman" w:eastAsia="Times New Roman" w:hint="default"/>
                <w:sz w:val="21"/>
                <w:szCs w:val="21"/>
              </w:rPr>
              <w:t>V1.2</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2011SRBJ0494</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2"/>
                <w:sz w:val="21"/>
              </w:rPr>
              <w:t>2011-02-23</w:t>
            </w:r>
          </w:p>
        </w:tc>
      </w:tr>
      <w:tr>
        <w:trPr>
          <w:trHeight w:val="950"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w w:val="100"/>
                <w:sz w:val="21"/>
              </w:rPr>
              <w:t>8</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2" w:right="9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超图水利空间数据管理与发布平</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台系统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WDMR]V1.0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83" w:right="0"/>
              <w:jc w:val="left"/>
              <w:rPr>
                <w:rFonts w:ascii="Times New Roman" w:hAnsi="Times New Roman" w:cs="Times New Roman" w:eastAsia="Times New Roman" w:hint="default"/>
                <w:sz w:val="21"/>
                <w:szCs w:val="21"/>
              </w:rPr>
            </w:pPr>
            <w:r>
              <w:rPr>
                <w:rFonts w:ascii="Times New Roman"/>
                <w:sz w:val="21"/>
              </w:rPr>
              <w:t>2011SR062871</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15"/>
              <w:jc w:val="right"/>
              <w:rPr>
                <w:rFonts w:ascii="Times New Roman" w:hAnsi="Times New Roman" w:cs="Times New Roman" w:eastAsia="Times New Roman" w:hint="default"/>
                <w:sz w:val="21"/>
                <w:szCs w:val="21"/>
              </w:rPr>
            </w:pPr>
            <w:r>
              <w:rPr>
                <w:rFonts w:ascii="Times New Roman"/>
                <w:spacing w:val="-2"/>
                <w:sz w:val="21"/>
              </w:rPr>
              <w:t>2011-09-02</w:t>
            </w:r>
          </w:p>
        </w:tc>
      </w:tr>
      <w:tr>
        <w:trPr>
          <w:trHeight w:val="638"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9</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超图图形标绘服务软件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 EGS</w:t>
            </w:r>
            <w:r>
              <w:rPr>
                <w:rFonts w:ascii="Times New Roman"/>
                <w:spacing w:val="-4"/>
                <w:sz w:val="21"/>
              </w:rPr>
              <w:t> </w:t>
            </w:r>
            <w:r>
              <w:rPr>
                <w:rFonts w:ascii="Times New Roman"/>
                <w:sz w:val="21"/>
              </w:rPr>
              <w:t>Java]V1.0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pacing w:val="-3"/>
                <w:sz w:val="21"/>
              </w:rPr>
              <w:t>2011SRBJ3117</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
              <w:jc w:val="left"/>
              <w:rPr>
                <w:rFonts w:ascii="宋体" w:hAnsi="宋体" w:cs="宋体" w:eastAsia="宋体" w:hint="default"/>
                <w:sz w:val="21"/>
                <w:szCs w:val="21"/>
              </w:rPr>
            </w:pPr>
            <w:r>
              <w:rPr>
                <w:rFonts w:ascii="宋体" w:hAnsi="宋体" w:cs="宋体" w:eastAsia="宋体" w:hint="default"/>
                <w:sz w:val="21"/>
                <w:szCs w:val="21"/>
              </w:rPr>
              <w:t>北京超图信息技术有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spacing w:val="-4"/>
                <w:sz w:val="21"/>
              </w:rPr>
              <w:t>2011-08-11</w:t>
            </w:r>
            <w:r>
              <w:rPr>
                <w:rFonts w:ascii="Times New Roman"/>
                <w:sz w:val="21"/>
              </w:rPr>
            </w:r>
          </w:p>
        </w:tc>
      </w:tr>
      <w:tr>
        <w:trPr>
          <w:trHeight w:val="638"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86"/>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超图水利专业野外调查系统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w:t>
            </w:r>
            <w:r>
              <w:rPr>
                <w:rFonts w:ascii="宋体" w:hAnsi="宋体" w:cs="宋体" w:eastAsia="宋体" w:hint="default"/>
                <w:w w:val="100"/>
                <w:sz w:val="21"/>
                <w:szCs w:val="21"/>
              </w:rPr>
              <w:t> </w:t>
            </w:r>
            <w:r>
              <w:rPr>
                <w:rFonts w:ascii="宋体" w:hAnsi="宋体" w:cs="宋体" w:eastAsia="宋体" w:hint="default"/>
                <w:spacing w:val="-1"/>
                <w:sz w:val="21"/>
                <w:szCs w:val="21"/>
              </w:rPr>
              <w:t>称：</w:t>
            </w:r>
            <w:r>
              <w:rPr>
                <w:rFonts w:ascii="Times New Roman" w:hAnsi="Times New Roman" w:cs="Times New Roman" w:eastAsia="Times New Roman" w:hint="default"/>
                <w:spacing w:val="-1"/>
                <w:sz w:val="21"/>
                <w:szCs w:val="21"/>
              </w:rPr>
              <w:t>SuperMap</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pacing w:val="-2"/>
                <w:sz w:val="21"/>
                <w:szCs w:val="21"/>
              </w:rPr>
              <w:t>Watermapper]V1.0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2011SRBJ3233</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25"/>
              <w:jc w:val="right"/>
              <w:rPr>
                <w:rFonts w:ascii="Times New Roman" w:hAnsi="Times New Roman" w:cs="Times New Roman" w:eastAsia="Times New Roman" w:hint="default"/>
                <w:sz w:val="21"/>
                <w:szCs w:val="21"/>
              </w:rPr>
            </w:pPr>
            <w:r>
              <w:rPr>
                <w:rFonts w:ascii="Times New Roman"/>
                <w:spacing w:val="-4"/>
                <w:sz w:val="21"/>
              </w:rPr>
              <w:t>2011-08-11</w:t>
            </w:r>
            <w:r>
              <w:rPr>
                <w:rFonts w:ascii="Times New Roman"/>
                <w:sz w:val="21"/>
              </w:rPr>
            </w:r>
          </w:p>
        </w:tc>
      </w:tr>
      <w:tr>
        <w:trPr>
          <w:trHeight w:val="953"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2" w:right="9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超图农村集体土地确权登记发证</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RCLRIMS]V1.0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81" w:right="0"/>
              <w:jc w:val="left"/>
              <w:rPr>
                <w:rFonts w:ascii="Times New Roman" w:hAnsi="Times New Roman" w:cs="Times New Roman" w:eastAsia="Times New Roman" w:hint="default"/>
                <w:sz w:val="21"/>
                <w:szCs w:val="21"/>
              </w:rPr>
            </w:pPr>
            <w:r>
              <w:rPr>
                <w:rFonts w:ascii="Times New Roman"/>
                <w:spacing w:val="-3"/>
                <w:sz w:val="21"/>
              </w:rPr>
              <w:t>2011SRBJ4118</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15"/>
              <w:jc w:val="right"/>
              <w:rPr>
                <w:rFonts w:ascii="Times New Roman" w:hAnsi="Times New Roman" w:cs="Times New Roman" w:eastAsia="Times New Roman" w:hint="default"/>
                <w:sz w:val="21"/>
                <w:szCs w:val="21"/>
              </w:rPr>
            </w:pPr>
            <w:r>
              <w:rPr>
                <w:rFonts w:ascii="Times New Roman"/>
                <w:spacing w:val="-2"/>
                <w:sz w:val="21"/>
              </w:rPr>
              <w:t>2011-09-27</w:t>
            </w:r>
          </w:p>
        </w:tc>
      </w:tr>
      <w:tr>
        <w:trPr>
          <w:trHeight w:val="639"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超图家村地籍管理系统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
                <w:sz w:val="21"/>
              </w:rPr>
              <w:t> </w:t>
            </w:r>
            <w:r>
              <w:rPr>
                <w:rFonts w:ascii="Times New Roman"/>
                <w:sz w:val="21"/>
              </w:rPr>
              <w:t>RCIMS]V1.0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81" w:right="0"/>
              <w:jc w:val="left"/>
              <w:rPr>
                <w:rFonts w:ascii="Times New Roman" w:hAnsi="Times New Roman" w:cs="Times New Roman" w:eastAsia="Times New Roman" w:hint="default"/>
                <w:sz w:val="21"/>
                <w:szCs w:val="21"/>
              </w:rPr>
            </w:pPr>
            <w:r>
              <w:rPr>
                <w:rFonts w:ascii="Times New Roman"/>
                <w:spacing w:val="-3"/>
                <w:sz w:val="21"/>
              </w:rPr>
              <w:t>2011SRBJ4117</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2"/>
                <w:sz w:val="21"/>
              </w:rPr>
              <w:t>2011-09-27</w:t>
            </w:r>
          </w:p>
        </w:tc>
      </w:tr>
      <w:tr>
        <w:trPr>
          <w:trHeight w:val="638"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超图山洪灾害预警系统简称：</w:t>
            </w:r>
          </w:p>
          <w:p>
            <w:pPr>
              <w:pStyle w:val="TableParagraph"/>
              <w:spacing w:line="240" w:lineRule="auto" w:before="84"/>
              <w:ind w:left="2" w:right="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7"/>
                <w:sz w:val="21"/>
              </w:rPr>
              <w:t> </w:t>
            </w:r>
            <w:r>
              <w:rPr>
                <w:rFonts w:ascii="Times New Roman"/>
                <w:sz w:val="21"/>
              </w:rPr>
              <w:t>TDWS]V1.0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Times New Roman"/>
                <w:sz w:val="21"/>
              </w:rPr>
              <w:t>2011SRBJ4350</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2"/>
                <w:sz w:val="21"/>
              </w:rPr>
              <w:t>2011-09-28</w:t>
            </w:r>
          </w:p>
        </w:tc>
      </w:tr>
      <w:tr>
        <w:trPr>
          <w:trHeight w:val="950"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14</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2" w:right="9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超图大型全组件式地理信息开发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平台系统（</w:t>
            </w:r>
            <w:r>
              <w:rPr>
                <w:rFonts w:ascii="Times New Roman" w:hAnsi="Times New Roman" w:cs="Times New Roman" w:eastAsia="Times New Roman" w:hint="default"/>
                <w:sz w:val="21"/>
                <w:szCs w:val="21"/>
              </w:rPr>
              <w:t>.Java</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宋体" w:hAnsi="宋体" w:cs="宋体" w:eastAsia="宋体" w:hint="default"/>
                <w:spacing w:val="-3"/>
                <w:w w:val="100"/>
                <w:sz w:val="21"/>
                <w:szCs w:val="21"/>
              </w:rPr>
              <w:t> </w:t>
            </w:r>
            <w:r>
              <w:rPr>
                <w:rFonts w:ascii="Times New Roman" w:hAnsi="Times New Roman" w:cs="Times New Roman" w:eastAsia="Times New Roman" w:hint="default"/>
                <w:sz w:val="21"/>
                <w:szCs w:val="21"/>
              </w:rPr>
              <w:t>SuperMap Objects</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.Java]V6.1</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83" w:right="0"/>
              <w:jc w:val="left"/>
              <w:rPr>
                <w:rFonts w:ascii="Times New Roman" w:hAnsi="Times New Roman" w:cs="Times New Roman" w:eastAsia="Times New Roman" w:hint="default"/>
                <w:sz w:val="21"/>
                <w:szCs w:val="21"/>
              </w:rPr>
            </w:pPr>
            <w:r>
              <w:rPr>
                <w:rFonts w:ascii="Times New Roman"/>
                <w:sz w:val="21"/>
              </w:rPr>
              <w:t>2011SR070687</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15"/>
              <w:jc w:val="right"/>
              <w:rPr>
                <w:rFonts w:ascii="Times New Roman" w:hAnsi="Times New Roman" w:cs="Times New Roman" w:eastAsia="Times New Roman" w:hint="default"/>
                <w:sz w:val="21"/>
                <w:szCs w:val="21"/>
              </w:rPr>
            </w:pPr>
            <w:r>
              <w:rPr>
                <w:rFonts w:ascii="Times New Roman"/>
                <w:spacing w:val="-2"/>
                <w:sz w:val="21"/>
              </w:rPr>
              <w:t>2011-09-28</w:t>
            </w:r>
          </w:p>
        </w:tc>
      </w:tr>
      <w:tr>
        <w:trPr>
          <w:trHeight w:val="953"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15</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2" w:right="9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超图大型全组件式地理信息开发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平台系统（</w:t>
            </w:r>
            <w:r>
              <w:rPr>
                <w:rFonts w:ascii="Times New Roman" w:hAnsi="Times New Roman" w:cs="Times New Roman" w:eastAsia="Times New Roman" w:hint="default"/>
                <w:sz w:val="21"/>
                <w:szCs w:val="21"/>
              </w:rPr>
              <w:t>.NET</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SuperMap Objects</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z w:val="21"/>
                <w:szCs w:val="21"/>
              </w:rPr>
              <w:t>.NET]V6.1</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91" w:right="0"/>
              <w:jc w:val="left"/>
              <w:rPr>
                <w:rFonts w:ascii="Times New Roman" w:hAnsi="Times New Roman" w:cs="Times New Roman" w:eastAsia="Times New Roman" w:hint="default"/>
                <w:sz w:val="21"/>
                <w:szCs w:val="21"/>
              </w:rPr>
            </w:pPr>
            <w:r>
              <w:rPr>
                <w:rFonts w:ascii="Times New Roman"/>
                <w:spacing w:val="-3"/>
                <w:sz w:val="21"/>
              </w:rPr>
              <w:t>2011SR071116</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115"/>
              <w:jc w:val="right"/>
              <w:rPr>
                <w:rFonts w:ascii="Times New Roman" w:hAnsi="Times New Roman" w:cs="Times New Roman" w:eastAsia="Times New Roman" w:hint="default"/>
                <w:sz w:val="21"/>
                <w:szCs w:val="21"/>
              </w:rPr>
            </w:pPr>
            <w:r>
              <w:rPr>
                <w:rFonts w:ascii="Times New Roman"/>
                <w:spacing w:val="-2"/>
                <w:sz w:val="21"/>
              </w:rPr>
              <w:t>2011-09-28</w:t>
            </w:r>
          </w:p>
        </w:tc>
      </w:tr>
      <w:tr>
        <w:trPr>
          <w:trHeight w:val="951"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0"/>
              <w:jc w:val="center"/>
              <w:rPr>
                <w:rFonts w:ascii="Times New Roman" w:hAnsi="Times New Roman" w:cs="Times New Roman" w:eastAsia="Times New Roman" w:hint="default"/>
                <w:sz w:val="21"/>
                <w:szCs w:val="21"/>
              </w:rPr>
            </w:pPr>
            <w:r>
              <w:rPr>
                <w:rFonts w:ascii="Times New Roman"/>
                <w:sz w:val="21"/>
              </w:rPr>
              <w:t>16</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2" w:right="-1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超图二三维一体化桌面地理信息</w:t>
            </w:r>
            <w:r>
              <w:rPr>
                <w:rFonts w:ascii="宋体" w:hAnsi="宋体" w:cs="宋体" w:eastAsia="宋体" w:hint="default"/>
                <w:w w:val="100"/>
                <w:sz w:val="21"/>
                <w:szCs w:val="21"/>
              </w:rPr>
              <w:t> </w:t>
            </w:r>
            <w:r>
              <w:rPr>
                <w:rFonts w:ascii="宋体" w:hAnsi="宋体" w:cs="宋体" w:eastAsia="宋体" w:hint="default"/>
                <w:spacing w:val="-1"/>
                <w:sz w:val="21"/>
                <w:szCs w:val="21"/>
              </w:rPr>
              <w:t>开发平台系统（</w:t>
            </w:r>
            <w:r>
              <w:rPr>
                <w:rFonts w:ascii="Times New Roman" w:hAnsi="Times New Roman" w:cs="Times New Roman" w:eastAsia="Times New Roman" w:hint="default"/>
                <w:spacing w:val="-1"/>
                <w:sz w:val="21"/>
                <w:szCs w:val="21"/>
              </w:rPr>
              <w:t>.NET</w:t>
            </w:r>
            <w:r>
              <w:rPr>
                <w:rFonts w:ascii="宋体" w:hAnsi="宋体" w:cs="宋体" w:eastAsia="宋体" w:hint="default"/>
                <w:spacing w:val="-1"/>
                <w:sz w:val="21"/>
                <w:szCs w:val="21"/>
              </w:rPr>
              <w:t>版）</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简称：</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SuperMapDeskpro</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.NET]V6.1</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83" w:right="0"/>
              <w:jc w:val="left"/>
              <w:rPr>
                <w:rFonts w:ascii="Times New Roman" w:hAnsi="Times New Roman" w:cs="Times New Roman" w:eastAsia="Times New Roman" w:hint="default"/>
                <w:sz w:val="21"/>
                <w:szCs w:val="21"/>
              </w:rPr>
            </w:pPr>
            <w:r>
              <w:rPr>
                <w:rFonts w:ascii="Times New Roman"/>
                <w:sz w:val="21"/>
              </w:rPr>
              <w:t>2011SR070905</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right="115"/>
              <w:jc w:val="right"/>
              <w:rPr>
                <w:rFonts w:ascii="Times New Roman" w:hAnsi="Times New Roman" w:cs="Times New Roman" w:eastAsia="Times New Roman" w:hint="default"/>
                <w:sz w:val="21"/>
                <w:szCs w:val="21"/>
              </w:rPr>
            </w:pPr>
            <w:r>
              <w:rPr>
                <w:rFonts w:ascii="Times New Roman"/>
                <w:spacing w:val="-2"/>
                <w:sz w:val="21"/>
              </w:rPr>
              <w:t>2011-09-28</w:t>
            </w:r>
          </w:p>
        </w:tc>
      </w:tr>
      <w:tr>
        <w:trPr>
          <w:trHeight w:val="950"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17</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2" w:right="-1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超图二三维一体化桌面地理信息</w:t>
            </w:r>
            <w:r>
              <w:rPr>
                <w:rFonts w:ascii="宋体" w:hAnsi="宋体" w:cs="宋体" w:eastAsia="宋体" w:hint="default"/>
                <w:w w:val="100"/>
                <w:sz w:val="21"/>
                <w:szCs w:val="21"/>
              </w:rPr>
              <w:t> </w:t>
            </w:r>
            <w:r>
              <w:rPr>
                <w:rFonts w:ascii="宋体" w:hAnsi="宋体" w:cs="宋体" w:eastAsia="宋体" w:hint="default"/>
                <w:spacing w:val="-1"/>
                <w:sz w:val="21"/>
                <w:szCs w:val="21"/>
              </w:rPr>
              <w:t>开发平台系统（</w:t>
            </w:r>
            <w:r>
              <w:rPr>
                <w:rFonts w:ascii="Times New Roman" w:hAnsi="Times New Roman" w:cs="Times New Roman" w:eastAsia="Times New Roman" w:hint="default"/>
                <w:spacing w:val="-1"/>
                <w:sz w:val="21"/>
                <w:szCs w:val="21"/>
              </w:rPr>
              <w:t>.NET</w:t>
            </w:r>
            <w:r>
              <w:rPr>
                <w:rFonts w:ascii="宋体" w:hAnsi="宋体" w:cs="宋体" w:eastAsia="宋体" w:hint="default"/>
                <w:spacing w:val="-1"/>
                <w:sz w:val="21"/>
                <w:szCs w:val="21"/>
              </w:rPr>
              <w:t>版）</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简称：</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SuperMap Express</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.NET]V6.1</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83" w:right="0"/>
              <w:jc w:val="left"/>
              <w:rPr>
                <w:rFonts w:ascii="Times New Roman" w:hAnsi="Times New Roman" w:cs="Times New Roman" w:eastAsia="Times New Roman" w:hint="default"/>
                <w:sz w:val="21"/>
                <w:szCs w:val="21"/>
              </w:rPr>
            </w:pPr>
            <w:r>
              <w:rPr>
                <w:rFonts w:ascii="Times New Roman"/>
                <w:sz w:val="21"/>
              </w:rPr>
              <w:t>2011SR070776</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15"/>
              <w:jc w:val="right"/>
              <w:rPr>
                <w:rFonts w:ascii="Times New Roman" w:hAnsi="Times New Roman" w:cs="Times New Roman" w:eastAsia="Times New Roman" w:hint="default"/>
                <w:sz w:val="21"/>
                <w:szCs w:val="21"/>
              </w:rPr>
            </w:pPr>
            <w:r>
              <w:rPr>
                <w:rFonts w:ascii="Times New Roman"/>
                <w:spacing w:val="-2"/>
                <w:sz w:val="21"/>
              </w:rPr>
              <w:t>2011-09-28</w:t>
            </w:r>
          </w:p>
        </w:tc>
      </w:tr>
      <w:tr>
        <w:trPr>
          <w:trHeight w:val="950"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18</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2" w:right="9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超图二三维一体化地理信息数据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浏览软件（</w:t>
            </w:r>
            <w:r>
              <w:rPr>
                <w:rFonts w:ascii="Times New Roman" w:hAnsi="Times New Roman" w:cs="Times New Roman" w:eastAsia="Times New Roman" w:hint="default"/>
                <w:sz w:val="21"/>
                <w:szCs w:val="21"/>
              </w:rPr>
              <w:t>.NET</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SuperMap </w:t>
            </w:r>
            <w:r>
              <w:rPr>
                <w:rFonts w:ascii="Times New Roman" w:hAnsi="Times New Roman" w:cs="Times New Roman" w:eastAsia="Times New Roman" w:hint="default"/>
                <w:spacing w:val="-3"/>
                <w:sz w:val="21"/>
                <w:szCs w:val="21"/>
              </w:rPr>
              <w:t>Viewer</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.NET]V6.1</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83" w:right="0"/>
              <w:jc w:val="left"/>
              <w:rPr>
                <w:rFonts w:ascii="Times New Roman" w:hAnsi="Times New Roman" w:cs="Times New Roman" w:eastAsia="Times New Roman" w:hint="default"/>
                <w:sz w:val="21"/>
                <w:szCs w:val="21"/>
              </w:rPr>
            </w:pPr>
            <w:r>
              <w:rPr>
                <w:rFonts w:ascii="Times New Roman"/>
                <w:sz w:val="21"/>
              </w:rPr>
              <w:t>2011SR070778</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15"/>
              <w:jc w:val="right"/>
              <w:rPr>
                <w:rFonts w:ascii="Times New Roman" w:hAnsi="Times New Roman" w:cs="Times New Roman" w:eastAsia="Times New Roman" w:hint="default"/>
                <w:sz w:val="21"/>
                <w:szCs w:val="21"/>
              </w:rPr>
            </w:pPr>
            <w:r>
              <w:rPr>
                <w:rFonts w:ascii="Times New Roman"/>
                <w:spacing w:val="-2"/>
                <w:sz w:val="21"/>
              </w:rPr>
              <w:t>2011-09-28</w:t>
            </w:r>
          </w:p>
        </w:tc>
      </w:tr>
      <w:tr>
        <w:trPr>
          <w:trHeight w:val="641"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超图基本农田管理系统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2"/>
                <w:sz w:val="21"/>
              </w:rPr>
              <w:t> </w:t>
            </w:r>
            <w:r>
              <w:rPr>
                <w:rFonts w:ascii="Times New Roman"/>
                <w:sz w:val="21"/>
              </w:rPr>
              <w:t>PFMIS]V1.0</w:t>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3" w:right="0"/>
              <w:jc w:val="left"/>
              <w:rPr>
                <w:rFonts w:ascii="Times New Roman" w:hAnsi="Times New Roman" w:cs="Times New Roman" w:eastAsia="Times New Roman" w:hint="default"/>
                <w:sz w:val="21"/>
                <w:szCs w:val="21"/>
              </w:rPr>
            </w:pPr>
            <w:r>
              <w:rPr>
                <w:rFonts w:ascii="Times New Roman"/>
                <w:sz w:val="21"/>
              </w:rPr>
              <w:t>2011SR074812</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Times New Roman" w:hAnsi="Times New Roman" w:cs="Times New Roman" w:eastAsia="Times New Roman" w:hint="default"/>
                <w:sz w:val="21"/>
                <w:szCs w:val="21"/>
              </w:rPr>
            </w:pPr>
            <w:r>
              <w:rPr>
                <w:rFonts w:ascii="Times New Roman"/>
                <w:spacing w:val="-2"/>
                <w:sz w:val="21"/>
              </w:rPr>
              <w:t>2011-10-19</w:t>
            </w:r>
          </w:p>
        </w:tc>
      </w:tr>
      <w:tr>
        <w:trPr>
          <w:trHeight w:val="331" w:hRule="exact"/>
        </w:trPr>
        <w:tc>
          <w:tcPr>
            <w:tcW w:w="6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w:t>
            </w:r>
          </w:p>
        </w:tc>
        <w:tc>
          <w:tcPr>
            <w:tcW w:w="3063"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超图企业级服务式地理信息开发</w:t>
            </w:r>
          </w:p>
        </w:tc>
        <w:tc>
          <w:tcPr>
            <w:tcW w:w="148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left="83" w:right="0"/>
              <w:jc w:val="left"/>
              <w:rPr>
                <w:rFonts w:ascii="Times New Roman" w:hAnsi="Times New Roman" w:cs="Times New Roman" w:eastAsia="Times New Roman" w:hint="default"/>
                <w:sz w:val="21"/>
                <w:szCs w:val="21"/>
              </w:rPr>
            </w:pPr>
            <w:r>
              <w:rPr>
                <w:rFonts w:ascii="Times New Roman"/>
                <w:sz w:val="21"/>
              </w:rPr>
              <w:t>2011SR078496</w:t>
            </w:r>
          </w:p>
        </w:tc>
        <w:tc>
          <w:tcPr>
            <w:tcW w:w="1927"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p>
        </w:tc>
        <w:tc>
          <w:tcPr>
            <w:tcW w:w="889"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right="115"/>
              <w:jc w:val="right"/>
              <w:rPr>
                <w:rFonts w:ascii="Times New Roman" w:hAnsi="Times New Roman" w:cs="Times New Roman" w:eastAsia="Times New Roman" w:hint="default"/>
                <w:sz w:val="21"/>
                <w:szCs w:val="21"/>
              </w:rPr>
            </w:pPr>
            <w:r>
              <w:rPr>
                <w:rFonts w:ascii="Times New Roman"/>
                <w:spacing w:val="-2"/>
                <w:sz w:val="21"/>
              </w:rPr>
              <w:t>2011-10-31</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007" w:top="1140" w:bottom="1200" w:left="1420" w:right="1020"/>
        </w:sectPr>
      </w:pPr>
    </w:p>
    <w:p>
      <w:pPr>
        <w:spacing w:line="240" w:lineRule="auto" w:before="5"/>
        <w:rPr>
          <w:rFonts w:ascii="Times New Roman" w:hAnsi="Times New Roman" w:cs="Times New Roman" w:eastAsia="Times New Roman" w:hint="default"/>
          <w:sz w:val="24"/>
          <w:szCs w:val="24"/>
        </w:rPr>
      </w:pPr>
    </w:p>
    <w:tbl>
      <w:tblPr>
        <w:tblW w:w="0" w:type="auto"/>
        <w:jc w:val="left"/>
        <w:tblInd w:w="106" w:type="dxa"/>
        <w:tblLayout w:type="fixed"/>
        <w:tblCellMar>
          <w:top w:w="0" w:type="dxa"/>
          <w:left w:w="0" w:type="dxa"/>
          <w:bottom w:w="0" w:type="dxa"/>
          <w:right w:w="0" w:type="dxa"/>
        </w:tblCellMar>
        <w:tblLook w:val="01E0"/>
      </w:tblPr>
      <w:tblGrid>
        <w:gridCol w:w="610"/>
        <w:gridCol w:w="3063"/>
        <w:gridCol w:w="1484"/>
        <w:gridCol w:w="1927"/>
        <w:gridCol w:w="889"/>
        <w:gridCol w:w="1236"/>
      </w:tblGrid>
      <w:tr>
        <w:trPr>
          <w:trHeight w:val="646" w:hRule="exact"/>
        </w:trPr>
        <w:tc>
          <w:tcPr>
            <w:tcW w:w="610" w:type="dxa"/>
            <w:tcBorders>
              <w:top w:val="single" w:sz="12" w:space="0" w:color="000000"/>
              <w:left w:val="single" w:sz="12" w:space="0" w:color="000000"/>
              <w:bottom w:val="single" w:sz="6" w:space="0" w:color="000000"/>
              <w:right w:val="single" w:sz="6" w:space="0" w:color="000000"/>
            </w:tcBorders>
          </w:tcPr>
          <w:p>
            <w:pPr/>
          </w:p>
        </w:tc>
        <w:tc>
          <w:tcPr>
            <w:tcW w:w="3063" w:type="dxa"/>
            <w:tcBorders>
              <w:top w:val="single" w:sz="12" w:space="0" w:color="000000"/>
              <w:left w:val="single" w:sz="6" w:space="0" w:color="000000"/>
              <w:bottom w:val="single" w:sz="6" w:space="0" w:color="000000"/>
              <w:right w:val="single" w:sz="6" w:space="0" w:color="000000"/>
            </w:tcBorders>
          </w:tcPr>
          <w:p>
            <w:pPr>
              <w:pStyle w:val="TableParagraph"/>
              <w:spacing w:line="295" w:lineRule="auto"/>
              <w:ind w:left="2" w:right="2"/>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平台系统</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简称：</w:t>
            </w:r>
            <w:r>
              <w:rPr>
                <w:rFonts w:ascii="Times New Roman" w:hAnsi="Times New Roman" w:cs="Times New Roman" w:eastAsia="Times New Roman" w:hint="default"/>
                <w:spacing w:val="-3"/>
                <w:sz w:val="21"/>
                <w:szCs w:val="21"/>
              </w:rPr>
              <w:t>SuperMap </w:t>
            </w:r>
            <w:r>
              <w:rPr>
                <w:rFonts w:ascii="Times New Roman" w:hAnsi="Times New Roman" w:cs="Times New Roman" w:eastAsia="Times New Roman" w:hint="default"/>
                <w:sz w:val="21"/>
                <w:szCs w:val="21"/>
              </w:rPr>
              <w:t>iServer</w:t>
            </w:r>
            <w:r>
              <w:rPr>
                <w:rFonts w:ascii="Times New Roman" w:hAnsi="Times New Roman" w:cs="Times New Roman" w:eastAsia="Times New Roman" w:hint="default"/>
                <w:spacing w:val="-42"/>
                <w:sz w:val="21"/>
                <w:szCs w:val="21"/>
              </w:rPr>
              <w:t> </w:t>
            </w:r>
            <w:r>
              <w:rPr>
                <w:rFonts w:ascii="Times New Roman" w:hAnsi="Times New Roman" w:cs="Times New Roman" w:eastAsia="Times New Roman" w:hint="default"/>
                <w:spacing w:val="-42"/>
                <w:sz w:val="21"/>
                <w:szCs w:val="21"/>
              </w:rPr>
            </w:r>
            <w:r>
              <w:rPr>
                <w:rFonts w:ascii="Times New Roman" w:hAnsi="Times New Roman" w:cs="Times New Roman" w:eastAsia="Times New Roman" w:hint="default"/>
                <w:sz w:val="21"/>
                <w:szCs w:val="21"/>
              </w:rPr>
              <w:t>Java]V6.1</w:t>
            </w:r>
          </w:p>
        </w:tc>
        <w:tc>
          <w:tcPr>
            <w:tcW w:w="1484" w:type="dxa"/>
            <w:tcBorders>
              <w:top w:val="single" w:sz="12" w:space="0" w:color="000000"/>
              <w:left w:val="single" w:sz="6" w:space="0" w:color="000000"/>
              <w:bottom w:val="single" w:sz="6" w:space="0" w:color="000000"/>
              <w:right w:val="single" w:sz="6" w:space="0" w:color="000000"/>
            </w:tcBorders>
          </w:tcPr>
          <w:p>
            <w:pPr/>
          </w:p>
        </w:tc>
        <w:tc>
          <w:tcPr>
            <w:tcW w:w="1927"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889" w:type="dxa"/>
            <w:tcBorders>
              <w:top w:val="single" w:sz="12" w:space="0" w:color="000000"/>
              <w:left w:val="single" w:sz="6" w:space="0" w:color="000000"/>
              <w:bottom w:val="single" w:sz="6" w:space="0" w:color="000000"/>
              <w:right w:val="single" w:sz="6" w:space="0" w:color="000000"/>
            </w:tcBorders>
          </w:tcPr>
          <w:p>
            <w:pPr/>
          </w:p>
        </w:tc>
        <w:tc>
          <w:tcPr>
            <w:tcW w:w="1236" w:type="dxa"/>
            <w:tcBorders>
              <w:top w:val="single" w:sz="12" w:space="0" w:color="000000"/>
              <w:left w:val="single" w:sz="6" w:space="0" w:color="000000"/>
              <w:bottom w:val="single" w:sz="6" w:space="0" w:color="000000"/>
              <w:right w:val="single" w:sz="12" w:space="0" w:color="000000"/>
            </w:tcBorders>
          </w:tcPr>
          <w:p>
            <w:pPr/>
          </w:p>
        </w:tc>
      </w:tr>
      <w:tr>
        <w:trPr>
          <w:trHeight w:val="953"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21</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ind w:left="2" w:right="99"/>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超图国土资源“一张图”综合监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管信息系统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LROGSIS]V1.0</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2011SR087706</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9" w:right="0"/>
              <w:jc w:val="center"/>
              <w:rPr>
                <w:rFonts w:ascii="Times New Roman" w:hAnsi="Times New Roman" w:cs="Times New Roman" w:eastAsia="Times New Roman" w:hint="default"/>
                <w:sz w:val="21"/>
                <w:szCs w:val="21"/>
              </w:rPr>
            </w:pPr>
            <w:r>
              <w:rPr>
                <w:rFonts w:ascii="Times New Roman"/>
                <w:spacing w:val="-3"/>
                <w:sz w:val="21"/>
              </w:rPr>
              <w:t>2011-11-28</w:t>
            </w:r>
          </w:p>
        </w:tc>
      </w:tr>
      <w:tr>
        <w:trPr>
          <w:trHeight w:val="638"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超图农村宅基地管理系统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5"/>
                <w:sz w:val="21"/>
              </w:rPr>
              <w:t> </w:t>
            </w:r>
            <w:r>
              <w:rPr>
                <w:rFonts w:ascii="Times New Roman"/>
                <w:sz w:val="21"/>
              </w:rPr>
              <w:t>RHIMS]V1.0</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2011SR092245</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2011-12-8</w:t>
            </w:r>
          </w:p>
        </w:tc>
      </w:tr>
      <w:tr>
        <w:trPr>
          <w:trHeight w:val="638"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超图矿政管理信息系统</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1"/>
                <w:sz w:val="21"/>
              </w:rPr>
              <w:t> </w:t>
            </w:r>
            <w:r>
              <w:rPr>
                <w:rFonts w:ascii="Times New Roman"/>
                <w:sz w:val="21"/>
              </w:rPr>
              <w:t>MMIS]V1.0</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2011SR092685</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2011-12-09</w:t>
            </w:r>
          </w:p>
        </w:tc>
      </w:tr>
      <w:tr>
        <w:trPr>
          <w:trHeight w:val="1263"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left="2" w:right="18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超图开放式</w:t>
            </w:r>
            <w:r>
              <w:rPr>
                <w:rFonts w:ascii="Times New Roman" w:hAnsi="Times New Roman" w:cs="Times New Roman" w:eastAsia="Times New Roman" w:hint="default"/>
                <w:spacing w:val="-2"/>
                <w:sz w:val="21"/>
                <w:szCs w:val="21"/>
              </w:rPr>
              <w:t>GIS</w:t>
            </w:r>
            <w:r>
              <w:rPr>
                <w:rFonts w:ascii="宋体" w:hAnsi="宋体" w:cs="宋体" w:eastAsia="宋体" w:hint="default"/>
                <w:spacing w:val="-2"/>
                <w:sz w:val="21"/>
                <w:szCs w:val="21"/>
              </w:rPr>
              <w:t>网络客户端开发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软件（</w:t>
            </w:r>
            <w:r>
              <w:rPr>
                <w:rFonts w:ascii="Times New Roman" w:hAnsi="Times New Roman" w:cs="Times New Roman" w:eastAsia="Times New Roman" w:hint="default"/>
                <w:sz w:val="21"/>
                <w:szCs w:val="21"/>
              </w:rPr>
              <w:t>Silveright</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SuperMap iClient</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for</w:t>
            </w:r>
          </w:p>
          <w:p>
            <w:pPr>
              <w:pStyle w:val="TableParagraph"/>
              <w:spacing w:line="240" w:lineRule="auto" w:before="35"/>
              <w:ind w:left="2" w:right="0"/>
              <w:jc w:val="left"/>
              <w:rPr>
                <w:rFonts w:ascii="Times New Roman" w:hAnsi="Times New Roman" w:cs="Times New Roman" w:eastAsia="Times New Roman" w:hint="default"/>
                <w:sz w:val="21"/>
                <w:szCs w:val="21"/>
              </w:rPr>
            </w:pPr>
            <w:r>
              <w:rPr>
                <w:rFonts w:ascii="Times New Roman"/>
                <w:sz w:val="21"/>
              </w:rPr>
              <w:t>silverlight]V6.1</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2011SR091840</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2011-12-08</w:t>
            </w:r>
          </w:p>
        </w:tc>
      </w:tr>
      <w:tr>
        <w:trPr>
          <w:trHeight w:val="953"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25</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left="2" w:right="43"/>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w:t>
            </w:r>
            <w:r>
              <w:rPr>
                <w:rFonts w:ascii="宋体" w:hAnsi="宋体" w:cs="宋体" w:eastAsia="宋体" w:hint="default"/>
                <w:w w:val="100"/>
                <w:sz w:val="21"/>
                <w:szCs w:val="21"/>
              </w:rPr>
              <w:t> </w:t>
            </w:r>
            <w:r>
              <w:rPr>
                <w:rFonts w:ascii="宋体" w:hAnsi="宋体" w:cs="宋体" w:eastAsia="宋体" w:hint="default"/>
                <w:spacing w:val="-1"/>
                <w:sz w:val="21"/>
                <w:szCs w:val="21"/>
              </w:rPr>
              <w:t>软件（</w:t>
            </w:r>
            <w:r>
              <w:rPr>
                <w:rFonts w:ascii="Times New Roman" w:hAnsi="Times New Roman" w:cs="Times New Roman" w:eastAsia="Times New Roman" w:hint="default"/>
                <w:spacing w:val="-1"/>
                <w:sz w:val="21"/>
                <w:szCs w:val="21"/>
              </w:rPr>
              <w:t>Fext</w:t>
            </w:r>
            <w:r>
              <w:rPr>
                <w:rFonts w:ascii="宋体" w:hAnsi="宋体" w:cs="宋体" w:eastAsia="宋体" w:hint="default"/>
                <w:spacing w:val="-1"/>
                <w:sz w:val="21"/>
                <w:szCs w:val="21"/>
              </w:rPr>
              <w:t>版）</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简称：</w:t>
            </w:r>
            <w:r>
              <w:rPr>
                <w:rFonts w:ascii="Times New Roman" w:hAnsi="Times New Roman" w:cs="Times New Roman" w:eastAsia="Times New Roman" w:hint="default"/>
                <w:spacing w:val="-1"/>
                <w:sz w:val="21"/>
                <w:szCs w:val="21"/>
              </w:rPr>
              <w:t>SuperMap</w:t>
            </w:r>
            <w:r>
              <w:rPr>
                <w:rFonts w:ascii="Times New Roman" w:hAnsi="Times New Roman" w:cs="Times New Roman" w:eastAsia="Times New Roman" w:hint="default"/>
                <w:spacing w:val="-33"/>
                <w:sz w:val="21"/>
                <w:szCs w:val="21"/>
              </w:rPr>
              <w:t> </w:t>
            </w:r>
            <w:r>
              <w:rPr>
                <w:rFonts w:ascii="Times New Roman" w:hAnsi="Times New Roman" w:cs="Times New Roman" w:eastAsia="Times New Roman" w:hint="default"/>
                <w:spacing w:val="-33"/>
                <w:sz w:val="21"/>
                <w:szCs w:val="21"/>
              </w:rPr>
            </w:r>
            <w:r>
              <w:rPr>
                <w:rFonts w:ascii="Times New Roman" w:hAnsi="Times New Roman" w:cs="Times New Roman" w:eastAsia="Times New Roman" w:hint="default"/>
                <w:sz w:val="21"/>
                <w:szCs w:val="21"/>
              </w:rPr>
              <w:t>iClient for</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Flex]V6.1</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right="0"/>
              <w:jc w:val="center"/>
              <w:rPr>
                <w:rFonts w:ascii="Times New Roman" w:hAnsi="Times New Roman" w:cs="Times New Roman" w:eastAsia="Times New Roman" w:hint="default"/>
                <w:sz w:val="21"/>
                <w:szCs w:val="21"/>
              </w:rPr>
            </w:pPr>
            <w:r>
              <w:rPr>
                <w:rFonts w:ascii="Times New Roman"/>
                <w:sz w:val="21"/>
              </w:rPr>
              <w:t>2011SR091901</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8"/>
              <w:ind w:left="7" w:right="0"/>
              <w:jc w:val="center"/>
              <w:rPr>
                <w:rFonts w:ascii="Times New Roman" w:hAnsi="Times New Roman" w:cs="Times New Roman" w:eastAsia="Times New Roman" w:hint="default"/>
                <w:sz w:val="21"/>
                <w:szCs w:val="21"/>
              </w:rPr>
            </w:pPr>
            <w:r>
              <w:rPr>
                <w:rFonts w:ascii="Times New Roman"/>
                <w:sz w:val="21"/>
              </w:rPr>
              <w:t>2011-12-08</w:t>
            </w:r>
          </w:p>
        </w:tc>
      </w:tr>
      <w:tr>
        <w:trPr>
          <w:trHeight w:val="1262" w:hRule="exact"/>
        </w:trPr>
        <w:tc>
          <w:tcPr>
            <w:tcW w:w="61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w:t>
            </w:r>
          </w:p>
        </w:tc>
        <w:tc>
          <w:tcPr>
            <w:tcW w:w="306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83"/>
              <w:jc w:val="left"/>
              <w:rPr>
                <w:rFonts w:ascii="宋体" w:hAnsi="宋体" w:cs="宋体" w:eastAsia="宋体" w:hint="default"/>
                <w:sz w:val="21"/>
                <w:szCs w:val="21"/>
              </w:rPr>
            </w:pPr>
            <w:r>
              <w:rPr>
                <w:rFonts w:ascii="宋体" w:hAnsi="宋体" w:cs="宋体" w:eastAsia="宋体" w:hint="default"/>
                <w:spacing w:val="-2"/>
                <w:sz w:val="21"/>
                <w:szCs w:val="21"/>
              </w:rPr>
              <w:t>超图开放式</w:t>
            </w:r>
            <w:r>
              <w:rPr>
                <w:rFonts w:ascii="Times New Roman" w:hAnsi="Times New Roman" w:cs="Times New Roman" w:eastAsia="Times New Roman" w:hint="default"/>
                <w:spacing w:val="-2"/>
                <w:sz w:val="21"/>
                <w:szCs w:val="21"/>
              </w:rPr>
              <w:t>GIS</w:t>
            </w:r>
            <w:r>
              <w:rPr>
                <w:rFonts w:ascii="宋体" w:hAnsi="宋体" w:cs="宋体" w:eastAsia="宋体" w:hint="default"/>
                <w:spacing w:val="-2"/>
                <w:sz w:val="21"/>
                <w:szCs w:val="21"/>
              </w:rPr>
              <w:t>网络客户端开发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软件（</w:t>
            </w:r>
            <w:r>
              <w:rPr>
                <w:rFonts w:ascii="Times New Roman" w:hAnsi="Times New Roman" w:cs="Times New Roman" w:eastAsia="Times New Roman" w:hint="default"/>
                <w:sz w:val="21"/>
                <w:szCs w:val="21"/>
              </w:rPr>
              <w:t>Realspace</w:t>
            </w:r>
            <w:r>
              <w:rPr>
                <w:rFonts w:ascii="宋体" w:hAnsi="宋体" w:cs="宋体" w:eastAsia="宋体" w:hint="default"/>
                <w:sz w:val="21"/>
                <w:szCs w:val="21"/>
              </w:rPr>
              <w:t>版）</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309" w:lineRule="auto" w:before="52"/>
              <w:ind w:left="2" w:right="1245"/>
              <w:jc w:val="left"/>
              <w:rPr>
                <w:rFonts w:ascii="Times New Roman" w:hAnsi="Times New Roman" w:cs="Times New Roman" w:eastAsia="Times New Roman" w:hint="default"/>
                <w:sz w:val="21"/>
                <w:szCs w:val="21"/>
              </w:rPr>
            </w:pPr>
            <w:r>
              <w:rPr>
                <w:rFonts w:ascii="Times New Roman"/>
                <w:sz w:val="21"/>
              </w:rPr>
              <w:t>SuperMap iClient</w:t>
            </w:r>
            <w:r>
              <w:rPr>
                <w:rFonts w:ascii="Times New Roman"/>
                <w:spacing w:val="-4"/>
                <w:sz w:val="21"/>
              </w:rPr>
              <w:t> </w:t>
            </w:r>
            <w:r>
              <w:rPr>
                <w:rFonts w:ascii="Times New Roman"/>
                <w:sz w:val="21"/>
              </w:rPr>
              <w:t>for</w:t>
            </w:r>
            <w:r>
              <w:rPr>
                <w:rFonts w:ascii="Times New Roman"/>
                <w:w w:val="100"/>
                <w:sz w:val="21"/>
              </w:rPr>
              <w:t> </w:t>
            </w:r>
            <w:r>
              <w:rPr>
                <w:rFonts w:ascii="Times New Roman"/>
                <w:sz w:val="21"/>
              </w:rPr>
              <w:t>Realspace]V6.1</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2011SR084420</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pacing w:val="-3"/>
                <w:sz w:val="21"/>
              </w:rPr>
              <w:t>2011-11-18</w:t>
            </w:r>
          </w:p>
        </w:tc>
      </w:tr>
      <w:tr>
        <w:trPr>
          <w:trHeight w:val="958" w:hRule="exact"/>
        </w:trPr>
        <w:tc>
          <w:tcPr>
            <w:tcW w:w="61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27</w:t>
            </w:r>
          </w:p>
        </w:tc>
        <w:tc>
          <w:tcPr>
            <w:tcW w:w="3063" w:type="dxa"/>
            <w:tcBorders>
              <w:top w:val="single" w:sz="6" w:space="0" w:color="000000"/>
              <w:left w:val="single" w:sz="6" w:space="0" w:color="000000"/>
              <w:bottom w:val="single" w:sz="12" w:space="0" w:color="000000"/>
              <w:right w:val="single" w:sz="6" w:space="0" w:color="000000"/>
            </w:tcBorders>
          </w:tcPr>
          <w:p>
            <w:pPr>
              <w:pStyle w:val="TableParagraph"/>
              <w:spacing w:line="276" w:lineRule="auto"/>
              <w:ind w:left="2" w:right="7"/>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w:t>
            </w:r>
            <w:r>
              <w:rPr>
                <w:rFonts w:ascii="宋体" w:hAnsi="宋体" w:cs="宋体" w:eastAsia="宋体" w:hint="default"/>
                <w:w w:val="100"/>
                <w:sz w:val="21"/>
                <w:szCs w:val="21"/>
              </w:rPr>
              <w:t> </w:t>
            </w:r>
            <w:r>
              <w:rPr>
                <w:rFonts w:ascii="宋体" w:hAnsi="宋体" w:cs="宋体" w:eastAsia="宋体" w:hint="default"/>
                <w:spacing w:val="-1"/>
                <w:sz w:val="21"/>
                <w:szCs w:val="21"/>
              </w:rPr>
              <w:t>软件（</w:t>
            </w:r>
            <w:r>
              <w:rPr>
                <w:rFonts w:ascii="Times New Roman" w:hAnsi="Times New Roman" w:cs="Times New Roman" w:eastAsia="Times New Roman" w:hint="default"/>
                <w:spacing w:val="-1"/>
                <w:sz w:val="21"/>
                <w:szCs w:val="21"/>
              </w:rPr>
              <w:t>Ajax</w:t>
            </w:r>
            <w:r>
              <w:rPr>
                <w:rFonts w:ascii="宋体" w:hAnsi="宋体" w:cs="宋体" w:eastAsia="宋体" w:hint="default"/>
                <w:spacing w:val="-1"/>
                <w:sz w:val="21"/>
                <w:szCs w:val="21"/>
              </w:rPr>
              <w:t>版）</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简称：</w:t>
            </w:r>
            <w:r>
              <w:rPr>
                <w:rFonts w:ascii="Times New Roman" w:hAnsi="Times New Roman" w:cs="Times New Roman" w:eastAsia="Times New Roman" w:hint="default"/>
                <w:spacing w:val="-1"/>
                <w:sz w:val="21"/>
                <w:szCs w:val="21"/>
              </w:rPr>
              <w:t>SuperMap</w:t>
            </w:r>
            <w:r>
              <w:rPr>
                <w:rFonts w:ascii="Times New Roman" w:hAnsi="Times New Roman" w:cs="Times New Roman" w:eastAsia="Times New Roman" w:hint="default"/>
                <w:spacing w:val="-35"/>
                <w:sz w:val="21"/>
                <w:szCs w:val="21"/>
              </w:rPr>
              <w:t> </w:t>
            </w:r>
            <w:r>
              <w:rPr>
                <w:rFonts w:ascii="Times New Roman" w:hAnsi="Times New Roman" w:cs="Times New Roman" w:eastAsia="Times New Roman" w:hint="default"/>
                <w:spacing w:val="-35"/>
                <w:sz w:val="21"/>
                <w:szCs w:val="21"/>
              </w:rPr>
            </w:r>
            <w:r>
              <w:rPr>
                <w:rFonts w:ascii="Times New Roman" w:hAnsi="Times New Roman" w:cs="Times New Roman" w:eastAsia="Times New Roman" w:hint="default"/>
                <w:sz w:val="21"/>
                <w:szCs w:val="21"/>
              </w:rPr>
              <w:t>iClient for</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Ajax]V6.1</w:t>
            </w:r>
          </w:p>
        </w:tc>
        <w:tc>
          <w:tcPr>
            <w:tcW w:w="14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0"/>
              <w:jc w:val="center"/>
              <w:rPr>
                <w:rFonts w:ascii="Times New Roman" w:hAnsi="Times New Roman" w:cs="Times New Roman" w:eastAsia="Times New Roman" w:hint="default"/>
                <w:sz w:val="21"/>
                <w:szCs w:val="21"/>
              </w:rPr>
            </w:pPr>
            <w:r>
              <w:rPr>
                <w:rFonts w:ascii="Times New Roman"/>
                <w:sz w:val="21"/>
              </w:rPr>
              <w:t>2011SR084465</w:t>
            </w:r>
          </w:p>
        </w:tc>
        <w:tc>
          <w:tcPr>
            <w:tcW w:w="1927"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z w:val="21"/>
                <w:szCs w:val="21"/>
              </w:rPr>
              <w:t>北京超图软件股份有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8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12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9" w:right="0"/>
              <w:jc w:val="center"/>
              <w:rPr>
                <w:rFonts w:ascii="Times New Roman" w:hAnsi="Times New Roman" w:cs="Times New Roman" w:eastAsia="Times New Roman" w:hint="default"/>
                <w:sz w:val="21"/>
                <w:szCs w:val="21"/>
              </w:rPr>
            </w:pPr>
            <w:r>
              <w:rPr>
                <w:rFonts w:ascii="Times New Roman"/>
                <w:spacing w:val="-3"/>
                <w:sz w:val="21"/>
              </w:rPr>
              <w:t>2011-11-18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2"/>
          <w:szCs w:val="22"/>
        </w:rPr>
      </w:pPr>
    </w:p>
    <w:p>
      <w:pPr>
        <w:pStyle w:val="BodyText"/>
        <w:spacing w:line="338" w:lineRule="auto" w:before="26"/>
        <w:ind w:left="860" w:right="386" w:firstLine="2"/>
        <w:jc w:val="left"/>
      </w:pPr>
      <w:r>
        <w:rPr>
          <w:rFonts w:ascii="Times New Roman" w:hAnsi="Times New Roman" w:cs="Times New Roman" w:eastAsia="Times New Roman" w:hint="default"/>
          <w:b/>
          <w:bCs/>
        </w:rPr>
        <w:t>5</w:t>
      </w:r>
      <w:r>
        <w:rPr>
          <w:rFonts w:ascii="宋体" w:hAnsi="宋体" w:cs="宋体" w:eastAsia="宋体" w:hint="default"/>
          <w:b/>
          <w:bCs/>
        </w:rPr>
        <w:t>）专利技术</w:t>
      </w:r>
      <w:r>
        <w:rPr>
          <w:rFonts w:ascii="宋体" w:hAnsi="宋体" w:cs="宋体" w:eastAsia="宋体" w:hint="default"/>
          <w:b/>
          <w:bCs/>
          <w:w w:val="99"/>
        </w:rPr>
        <w:t> </w:t>
      </w:r>
      <w:r>
        <w:rPr/>
        <w:t>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日，公司申报了如下专利技术，并已获得国家知识产权局受</w:t>
      </w:r>
    </w:p>
    <w:p>
      <w:pPr>
        <w:pStyle w:val="BodyText"/>
        <w:spacing w:line="240" w:lineRule="auto" w:before="27"/>
        <w:ind w:left="380" w:right="386"/>
        <w:jc w:val="left"/>
      </w:pPr>
      <w:r>
        <w:rPr/>
        <w:t>理。鉴于专利技术的认定需要</w:t>
      </w:r>
      <w:r>
        <w:rPr>
          <w:rFonts w:ascii="Times New Roman" w:hAnsi="Times New Roman" w:cs="Times New Roman" w:eastAsia="Times New Roman" w:hint="default"/>
        </w:rPr>
        <w:t>18</w:t>
      </w:r>
      <w:r>
        <w:rPr/>
        <w:t>个月到</w:t>
      </w:r>
      <w:r>
        <w:rPr>
          <w:rFonts w:ascii="Times New Roman" w:hAnsi="Times New Roman" w:cs="Times New Roman" w:eastAsia="Times New Roman" w:hint="default"/>
        </w:rPr>
        <w:t>24</w:t>
      </w:r>
      <w:r>
        <w:rPr/>
        <w:t>个月，下述专利技术暂未获得专利证书。</w:t>
      </w:r>
    </w:p>
    <w:p>
      <w:pPr>
        <w:spacing w:line="240" w:lineRule="auto" w:before="5"/>
        <w:rPr>
          <w:rFonts w:ascii="宋体" w:hAnsi="宋体" w:cs="宋体" w:eastAsia="宋体" w:hint="default"/>
          <w:sz w:val="7"/>
          <w:szCs w:val="7"/>
        </w:rPr>
      </w:pPr>
    </w:p>
    <w:tbl>
      <w:tblPr>
        <w:tblW w:w="0" w:type="auto"/>
        <w:jc w:val="left"/>
        <w:tblInd w:w="361" w:type="dxa"/>
        <w:tblLayout w:type="fixed"/>
        <w:tblCellMar>
          <w:top w:w="0" w:type="dxa"/>
          <w:left w:w="0" w:type="dxa"/>
          <w:bottom w:w="0" w:type="dxa"/>
          <w:right w:w="0" w:type="dxa"/>
        </w:tblCellMar>
        <w:tblLook w:val="01E0"/>
      </w:tblPr>
      <w:tblGrid>
        <w:gridCol w:w="494"/>
        <w:gridCol w:w="4033"/>
        <w:gridCol w:w="2144"/>
        <w:gridCol w:w="2031"/>
      </w:tblGrid>
      <w:tr>
        <w:trPr>
          <w:trHeight w:val="334" w:hRule="exact"/>
        </w:trPr>
        <w:tc>
          <w:tcPr>
            <w:tcW w:w="494" w:type="dxa"/>
            <w:tcBorders>
              <w:top w:val="single" w:sz="12" w:space="0" w:color="000000"/>
              <w:left w:val="single" w:sz="12"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4033"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2144" w:type="dxa"/>
            <w:tcBorders>
              <w:top w:val="single" w:sz="12"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所有权归属</w:t>
            </w:r>
            <w:r>
              <w:rPr>
                <w:rFonts w:ascii="宋体" w:hAnsi="宋体" w:cs="宋体" w:eastAsia="宋体" w:hint="default"/>
                <w:sz w:val="21"/>
                <w:szCs w:val="21"/>
              </w:rPr>
            </w:r>
          </w:p>
        </w:tc>
        <w:tc>
          <w:tcPr>
            <w:tcW w:w="2031" w:type="dxa"/>
            <w:tcBorders>
              <w:top w:val="single" w:sz="12" w:space="0" w:color="000000"/>
              <w:left w:val="single" w:sz="6" w:space="0" w:color="000000"/>
              <w:bottom w:val="single" w:sz="6" w:space="0" w:color="000000"/>
              <w:right w:val="single" w:sz="12"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授权号</w:t>
            </w:r>
            <w:r>
              <w:rPr>
                <w:rFonts w:ascii="宋体" w:hAnsi="宋体" w:cs="宋体" w:eastAsia="宋体" w:hint="default"/>
                <w:sz w:val="21"/>
                <w:szCs w:val="21"/>
              </w:rPr>
            </w:r>
          </w:p>
        </w:tc>
      </w:tr>
      <w:tr>
        <w:trPr>
          <w:trHeight w:val="951" w:hRule="exact"/>
        </w:trPr>
        <w:tc>
          <w:tcPr>
            <w:tcW w:w="4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服务聚合方法、装置及系统</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3"/>
              <w:ind w:left="2" w:right="2"/>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w:t>
            </w:r>
          </w:p>
        </w:tc>
        <w:tc>
          <w:tcPr>
            <w:tcW w:w="2031" w:type="dxa"/>
            <w:tcBorders>
              <w:top w:val="single" w:sz="6" w:space="0" w:color="000000"/>
              <w:left w:val="single" w:sz="6" w:space="0" w:color="000000"/>
              <w:bottom w:val="single" w:sz="6" w:space="0" w:color="000000"/>
              <w:right w:val="single" w:sz="12" w:space="0" w:color="000000"/>
            </w:tcBorders>
          </w:tcPr>
          <w:p>
            <w:pPr>
              <w:pStyle w:val="TableParagraph"/>
              <w:spacing w:line="259" w:lineRule="auto"/>
              <w:ind w:left="2" w:right="-5"/>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pacing w:val="43"/>
                <w:w w:val="100"/>
                <w:sz w:val="21"/>
                <w:szCs w:val="21"/>
              </w:rPr>
              <w:t>授权</w:t>
            </w:r>
            <w:r>
              <w:rPr>
                <w:rFonts w:ascii="宋体" w:hAnsi="宋体" w:cs="宋体" w:eastAsia="宋体" w:hint="default"/>
                <w:w w:val="100"/>
                <w:sz w:val="21"/>
                <w:szCs w:val="21"/>
              </w:rPr>
              <w:t> </w:t>
            </w:r>
            <w:r>
              <w:rPr>
                <w:rFonts w:ascii="宋体" w:hAnsi="宋体" w:cs="宋体" w:eastAsia="宋体" w:hint="default"/>
                <w:spacing w:val="65"/>
                <w:w w:val="100"/>
                <w:sz w:val="21"/>
                <w:szCs w:val="21"/>
              </w:rPr>
              <w:t>；专利号</w:t>
            </w:r>
            <w:r>
              <w:rPr>
                <w:rFonts w:ascii="宋体" w:hAnsi="宋体" w:cs="宋体" w:eastAsia="宋体" w:hint="default"/>
                <w:spacing w:val="-29"/>
                <w:w w:val="100"/>
                <w:sz w:val="21"/>
                <w:szCs w:val="21"/>
              </w:rPr>
              <w:t> </w:t>
            </w:r>
            <w:r>
              <w:rPr>
                <w:rFonts w:ascii="宋体" w:hAnsi="宋体" w:cs="宋体" w:eastAsia="宋体" w:hint="default"/>
                <w:w w:val="100"/>
                <w:sz w:val="21"/>
                <w:szCs w:val="21"/>
              </w:rPr>
              <w:t>：</w:t>
            </w:r>
          </w:p>
          <w:p>
            <w:pPr>
              <w:pStyle w:val="TableParagraph"/>
              <w:spacing w:line="240" w:lineRule="auto" w:before="67"/>
              <w:ind w:left="2" w:right="0"/>
              <w:jc w:val="left"/>
              <w:rPr>
                <w:rFonts w:ascii="Times New Roman" w:hAnsi="Times New Roman" w:cs="Times New Roman" w:eastAsia="Times New Roman" w:hint="default"/>
                <w:sz w:val="21"/>
                <w:szCs w:val="21"/>
              </w:rPr>
            </w:pPr>
            <w:r>
              <w:rPr>
                <w:rFonts w:ascii="Times New Roman"/>
                <w:sz w:val="21"/>
              </w:rPr>
              <w:t>Zl200810117332.2</w:t>
            </w:r>
          </w:p>
        </w:tc>
      </w:tr>
      <w:tr>
        <w:trPr>
          <w:trHeight w:val="953" w:hRule="exact"/>
        </w:trPr>
        <w:tc>
          <w:tcPr>
            <w:tcW w:w="4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一种线段求交方法及装置</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6"/>
              <w:ind w:left="2" w:right="2"/>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w:t>
            </w:r>
          </w:p>
        </w:tc>
        <w:tc>
          <w:tcPr>
            <w:tcW w:w="2031"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2" w:right="-5"/>
              <w:jc w:val="left"/>
              <w:rPr>
                <w:rFonts w:ascii="Times New Roman" w:hAnsi="Times New Roman" w:cs="Times New Roman" w:eastAsia="Times New Roman" w:hint="default"/>
                <w:sz w:val="21"/>
                <w:szCs w:val="21"/>
              </w:rPr>
            </w:pPr>
            <w:r>
              <w:rPr>
                <w:rFonts w:ascii="宋体" w:hAnsi="宋体" w:cs="宋体" w:eastAsia="宋体" w:hint="default"/>
                <w:sz w:val="21"/>
                <w:szCs w:val="21"/>
              </w:rPr>
              <w:t>已于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14</w:t>
            </w:r>
          </w:p>
          <w:p>
            <w:pPr>
              <w:pStyle w:val="TableParagraph"/>
              <w:spacing w:line="240" w:lineRule="auto" w:before="21"/>
              <w:ind w:left="2" w:right="-4"/>
              <w:jc w:val="left"/>
              <w:rPr>
                <w:rFonts w:ascii="宋体" w:hAnsi="宋体" w:cs="宋体" w:eastAsia="宋体" w:hint="default"/>
                <w:sz w:val="21"/>
                <w:szCs w:val="21"/>
              </w:rPr>
            </w:pPr>
            <w:r>
              <w:rPr>
                <w:rFonts w:ascii="宋体" w:hAnsi="宋体" w:cs="宋体" w:eastAsia="宋体" w:hint="default"/>
                <w:spacing w:val="29"/>
                <w:sz w:val="21"/>
                <w:szCs w:val="21"/>
              </w:rPr>
              <w:t>日授权</w:t>
            </w:r>
            <w:r>
              <w:rPr>
                <w:rFonts w:ascii="宋体" w:hAnsi="宋体" w:cs="宋体" w:eastAsia="宋体" w:hint="default"/>
                <w:spacing w:val="-57"/>
                <w:sz w:val="21"/>
                <w:szCs w:val="21"/>
              </w:rPr>
              <w:t> </w:t>
            </w: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专</w:t>
            </w:r>
            <w:r>
              <w:rPr>
                <w:rFonts w:ascii="宋体" w:hAnsi="宋体" w:cs="宋体" w:eastAsia="宋体" w:hint="default"/>
                <w:spacing w:val="-58"/>
                <w:sz w:val="21"/>
                <w:szCs w:val="21"/>
              </w:rPr>
              <w:t> </w:t>
            </w:r>
            <w:r>
              <w:rPr>
                <w:rFonts w:ascii="宋体" w:hAnsi="宋体" w:cs="宋体" w:eastAsia="宋体" w:hint="default"/>
                <w:sz w:val="21"/>
                <w:szCs w:val="21"/>
              </w:rPr>
              <w:t>利</w:t>
            </w:r>
            <w:r>
              <w:rPr>
                <w:rFonts w:ascii="宋体" w:hAnsi="宋体" w:cs="宋体" w:eastAsia="宋体" w:hint="default"/>
                <w:spacing w:val="-58"/>
                <w:sz w:val="21"/>
                <w:szCs w:val="21"/>
              </w:rPr>
              <w:t>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宋体" w:hAnsi="宋体" w:cs="宋体" w:eastAsia="宋体" w:hint="default"/>
                <w:sz w:val="21"/>
                <w:szCs w:val="21"/>
              </w:rPr>
              <w:t>：</w:t>
            </w:r>
          </w:p>
          <w:p>
            <w:pPr>
              <w:pStyle w:val="TableParagraph"/>
              <w:spacing w:line="240" w:lineRule="auto" w:before="84"/>
              <w:ind w:left="2" w:right="0"/>
              <w:jc w:val="left"/>
              <w:rPr>
                <w:rFonts w:ascii="Times New Roman" w:hAnsi="Times New Roman" w:cs="Times New Roman" w:eastAsia="Times New Roman" w:hint="default"/>
                <w:sz w:val="21"/>
                <w:szCs w:val="21"/>
              </w:rPr>
            </w:pPr>
            <w:r>
              <w:rPr>
                <w:rFonts w:ascii="Times New Roman"/>
                <w:sz w:val="21"/>
              </w:rPr>
              <w:t>ZL200810116456.9</w:t>
            </w:r>
          </w:p>
        </w:tc>
      </w:tr>
      <w:tr>
        <w:trPr>
          <w:trHeight w:val="638" w:hRule="exact"/>
        </w:trPr>
        <w:tc>
          <w:tcPr>
            <w:tcW w:w="4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地理信息应用分析模型的动态图形方法和装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置</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w:t>
            </w:r>
          </w:p>
        </w:tc>
        <w:tc>
          <w:tcPr>
            <w:tcW w:w="20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2" w:right="0"/>
              <w:jc w:val="left"/>
              <w:rPr>
                <w:rFonts w:ascii="宋体" w:hAnsi="宋体" w:cs="宋体" w:eastAsia="宋体" w:hint="default"/>
                <w:sz w:val="21"/>
                <w:szCs w:val="21"/>
              </w:rPr>
            </w:pPr>
            <w:r>
              <w:rPr>
                <w:rFonts w:ascii="宋体" w:hAnsi="宋体" w:cs="宋体" w:eastAsia="宋体" w:hint="default"/>
                <w:sz w:val="21"/>
                <w:szCs w:val="21"/>
              </w:rPr>
              <w:t>初审合格，未授权</w:t>
            </w:r>
          </w:p>
        </w:tc>
      </w:tr>
      <w:tr>
        <w:trPr>
          <w:trHeight w:val="638" w:hRule="exact"/>
        </w:trPr>
        <w:tc>
          <w:tcPr>
            <w:tcW w:w="4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4</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宋体" w:hAnsi="宋体" w:cs="宋体" w:eastAsia="宋体" w:hint="default"/>
                <w:sz w:val="21"/>
                <w:szCs w:val="21"/>
              </w:rPr>
            </w:pPr>
            <w:r>
              <w:rPr>
                <w:rFonts w:ascii="宋体" w:hAnsi="宋体" w:cs="宋体" w:eastAsia="宋体" w:hint="default"/>
                <w:sz w:val="21"/>
                <w:szCs w:val="21"/>
              </w:rPr>
              <w:t>理信信息服务的分布式层次集群方法和系统</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w:t>
            </w:r>
          </w:p>
        </w:tc>
        <w:tc>
          <w:tcPr>
            <w:tcW w:w="20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2" w:right="0"/>
              <w:jc w:val="left"/>
              <w:rPr>
                <w:rFonts w:ascii="宋体" w:hAnsi="宋体" w:cs="宋体" w:eastAsia="宋体" w:hint="default"/>
                <w:sz w:val="21"/>
                <w:szCs w:val="21"/>
              </w:rPr>
            </w:pPr>
            <w:r>
              <w:rPr>
                <w:rFonts w:ascii="宋体" w:hAnsi="宋体" w:cs="宋体" w:eastAsia="宋体" w:hint="default"/>
                <w:sz w:val="21"/>
                <w:szCs w:val="21"/>
              </w:rPr>
              <w:t>已受理，未授权</w:t>
            </w:r>
          </w:p>
        </w:tc>
      </w:tr>
      <w:tr>
        <w:trPr>
          <w:trHeight w:val="639" w:hRule="exact"/>
        </w:trPr>
        <w:tc>
          <w:tcPr>
            <w:tcW w:w="4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宋体" w:hAnsi="宋体" w:cs="宋体" w:eastAsia="宋体" w:hint="default"/>
                <w:sz w:val="21"/>
                <w:szCs w:val="21"/>
              </w:rPr>
            </w:pPr>
            <w:r>
              <w:rPr>
                <w:rFonts w:ascii="宋体" w:hAnsi="宋体" w:cs="宋体" w:eastAsia="宋体" w:hint="default"/>
                <w:sz w:val="21"/>
                <w:szCs w:val="21"/>
              </w:rPr>
              <w:t>导航定位纠偏方法和装置，定位导航系统</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w:t>
            </w:r>
          </w:p>
        </w:tc>
        <w:tc>
          <w:tcPr>
            <w:tcW w:w="20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2" w:right="0"/>
              <w:jc w:val="left"/>
              <w:rPr>
                <w:rFonts w:ascii="宋体" w:hAnsi="宋体" w:cs="宋体" w:eastAsia="宋体" w:hint="default"/>
                <w:sz w:val="21"/>
                <w:szCs w:val="21"/>
              </w:rPr>
            </w:pPr>
            <w:r>
              <w:rPr>
                <w:rFonts w:ascii="宋体" w:hAnsi="宋体" w:cs="宋体" w:eastAsia="宋体" w:hint="default"/>
                <w:sz w:val="21"/>
                <w:szCs w:val="21"/>
              </w:rPr>
              <w:t>已受理，未授权</w:t>
            </w:r>
          </w:p>
        </w:tc>
      </w:tr>
      <w:tr>
        <w:trPr>
          <w:trHeight w:val="329" w:hRule="exact"/>
        </w:trPr>
        <w:tc>
          <w:tcPr>
            <w:tcW w:w="4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6</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基于分层路网的路径搜索方法和装置</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北京超图软件股份有限</w:t>
            </w:r>
          </w:p>
        </w:tc>
        <w:tc>
          <w:tcPr>
            <w:tcW w:w="2031"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已受理，未授权</w:t>
            </w:r>
          </w:p>
        </w:tc>
      </w:tr>
    </w:tbl>
    <w:p>
      <w:pPr>
        <w:spacing w:after="0" w:line="265" w:lineRule="exact"/>
        <w:jc w:val="left"/>
        <w:rPr>
          <w:rFonts w:ascii="宋体" w:hAnsi="宋体" w:cs="宋体" w:eastAsia="宋体" w:hint="default"/>
          <w:sz w:val="21"/>
          <w:szCs w:val="21"/>
        </w:rPr>
        <w:sectPr>
          <w:pgSz w:w="11910" w:h="16840"/>
          <w:pgMar w:header="884" w:footer="1007" w:top="1140" w:bottom="1200" w:left="1420" w:right="1020"/>
        </w:sectPr>
      </w:pPr>
    </w:p>
    <w:p>
      <w:pPr>
        <w:spacing w:line="240" w:lineRule="auto" w:before="6"/>
        <w:rPr>
          <w:rFonts w:ascii="宋体" w:hAnsi="宋体" w:cs="宋体" w:eastAsia="宋体" w:hint="default"/>
          <w:sz w:val="21"/>
          <w:szCs w:val="21"/>
        </w:rPr>
      </w:pPr>
    </w:p>
    <w:tbl>
      <w:tblPr>
        <w:tblW w:w="0" w:type="auto"/>
        <w:jc w:val="left"/>
        <w:tblInd w:w="121" w:type="dxa"/>
        <w:tblLayout w:type="fixed"/>
        <w:tblCellMar>
          <w:top w:w="0" w:type="dxa"/>
          <w:left w:w="0" w:type="dxa"/>
          <w:bottom w:w="0" w:type="dxa"/>
          <w:right w:w="0" w:type="dxa"/>
        </w:tblCellMar>
        <w:tblLook w:val="01E0"/>
      </w:tblPr>
      <w:tblGrid>
        <w:gridCol w:w="494"/>
        <w:gridCol w:w="4033"/>
        <w:gridCol w:w="2144"/>
        <w:gridCol w:w="2031"/>
      </w:tblGrid>
      <w:tr>
        <w:trPr>
          <w:trHeight w:val="327" w:hRule="exact"/>
        </w:trPr>
        <w:tc>
          <w:tcPr>
            <w:tcW w:w="494" w:type="dxa"/>
            <w:tcBorders>
              <w:top w:val="single" w:sz="6" w:space="0" w:color="000000"/>
              <w:left w:val="single" w:sz="12" w:space="0" w:color="000000"/>
              <w:bottom w:val="single" w:sz="6" w:space="0" w:color="000000"/>
              <w:right w:val="single" w:sz="6" w:space="0" w:color="000000"/>
            </w:tcBorders>
          </w:tcPr>
          <w:p>
            <w:pPr/>
          </w:p>
        </w:tc>
        <w:tc>
          <w:tcPr>
            <w:tcW w:w="4033" w:type="dxa"/>
            <w:tcBorders>
              <w:top w:val="single" w:sz="6" w:space="0" w:color="000000"/>
              <w:left w:val="single" w:sz="6" w:space="0" w:color="000000"/>
              <w:bottom w:val="single" w:sz="6" w:space="0" w:color="000000"/>
              <w:right w:val="single" w:sz="6" w:space="0" w:color="000000"/>
            </w:tcBorders>
          </w:tcPr>
          <w:p>
            <w:pP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31" w:type="dxa"/>
            <w:tcBorders>
              <w:top w:val="single" w:sz="6" w:space="0" w:color="000000"/>
              <w:left w:val="single" w:sz="6" w:space="0" w:color="000000"/>
              <w:bottom w:val="single" w:sz="6" w:space="0" w:color="000000"/>
              <w:right w:val="single" w:sz="12" w:space="0" w:color="000000"/>
            </w:tcBorders>
          </w:tcPr>
          <w:p>
            <w:pPr/>
          </w:p>
        </w:tc>
      </w:tr>
      <w:tr>
        <w:trPr>
          <w:trHeight w:val="638" w:hRule="exact"/>
        </w:trPr>
        <w:tc>
          <w:tcPr>
            <w:tcW w:w="4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アナログ電波通信を利用したデジタル地図</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配信システム</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20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3"/>
              <w:ind w:left="2" w:right="0"/>
              <w:jc w:val="left"/>
              <w:rPr>
                <w:rFonts w:ascii="宋体" w:hAnsi="宋体" w:cs="宋体" w:eastAsia="宋体" w:hint="default"/>
                <w:sz w:val="21"/>
                <w:szCs w:val="21"/>
              </w:rPr>
            </w:pPr>
            <w:r>
              <w:rPr>
                <w:rFonts w:ascii="宋体" w:hAnsi="宋体" w:cs="宋体" w:eastAsia="宋体" w:hint="default"/>
                <w:sz w:val="21"/>
                <w:szCs w:val="21"/>
              </w:rPr>
              <w:t>特許第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4280611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641" w:hRule="exact"/>
        </w:trPr>
        <w:tc>
          <w:tcPr>
            <w:tcW w:w="49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8</w:t>
            </w:r>
          </w:p>
        </w:tc>
        <w:tc>
          <w:tcPr>
            <w:tcW w:w="403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
              <w:jc w:val="left"/>
              <w:rPr>
                <w:rFonts w:ascii="宋体" w:hAnsi="宋体" w:cs="宋体" w:eastAsia="宋体" w:hint="default"/>
                <w:sz w:val="21"/>
                <w:szCs w:val="21"/>
              </w:rPr>
            </w:pPr>
            <w:r>
              <w:rPr>
                <w:rFonts w:ascii="Times New Roman" w:hAnsi="Times New Roman" w:cs="Times New Roman" w:eastAsia="Times New Roman" w:hint="default"/>
                <w:sz w:val="21"/>
                <w:szCs w:val="21"/>
              </w:rPr>
              <w:t>IC</w:t>
            </w:r>
            <w:r>
              <w:rPr>
                <w:rFonts w:ascii="Times New Roman" w:hAnsi="Times New Roman" w:cs="Times New Roman" w:eastAsia="Times New Roman" w:hint="default"/>
                <w:spacing w:val="35"/>
                <w:sz w:val="21"/>
                <w:szCs w:val="21"/>
              </w:rPr>
              <w:t> </w:t>
            </w:r>
            <w:r>
              <w:rPr>
                <w:rFonts w:ascii="宋体" w:hAnsi="宋体" w:cs="宋体" w:eastAsia="宋体" w:hint="default"/>
                <w:spacing w:val="4"/>
                <w:sz w:val="21"/>
                <w:szCs w:val="21"/>
              </w:rPr>
              <w:t>タグを用いた走行支援システムおよび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車載装置</w:t>
            </w:r>
          </w:p>
        </w:tc>
        <w:tc>
          <w:tcPr>
            <w:tcW w:w="2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203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6"/>
              <w:ind w:left="2" w:right="0"/>
              <w:jc w:val="left"/>
              <w:rPr>
                <w:rFonts w:ascii="宋体" w:hAnsi="宋体" w:cs="宋体" w:eastAsia="宋体" w:hint="default"/>
                <w:sz w:val="21"/>
                <w:szCs w:val="21"/>
              </w:rPr>
            </w:pPr>
            <w:r>
              <w:rPr>
                <w:rFonts w:ascii="宋体" w:hAnsi="宋体" w:cs="宋体" w:eastAsia="宋体" w:hint="default"/>
                <w:sz w:val="21"/>
                <w:szCs w:val="21"/>
              </w:rPr>
              <w:t>特許第</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4384533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bl>
    <w:p>
      <w:pPr>
        <w:spacing w:line="338" w:lineRule="auto" w:before="39"/>
        <w:ind w:left="620" w:right="4026"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）域名</w:t>
      </w:r>
      <w:r>
        <w:rPr>
          <w:rFonts w:ascii="宋体" w:hAnsi="宋体" w:cs="宋体" w:eastAsia="宋体" w:hint="default"/>
          <w:b/>
          <w:bCs/>
          <w:w w:val="99"/>
          <w:sz w:val="24"/>
          <w:szCs w:val="24"/>
        </w:rPr>
        <w:t> </w:t>
      </w:r>
      <w:r>
        <w:rPr>
          <w:rFonts w:ascii="宋体" w:hAnsi="宋体" w:cs="宋体" w:eastAsia="宋体" w:hint="default"/>
          <w:sz w:val="24"/>
          <w:szCs w:val="24"/>
        </w:rPr>
        <w:t>截至报告期末，公司拥有的主要域名为：</w:t>
      </w:r>
    </w:p>
    <w:tbl>
      <w:tblPr>
        <w:tblW w:w="0" w:type="auto"/>
        <w:jc w:val="left"/>
        <w:tblInd w:w="111" w:type="dxa"/>
        <w:tblLayout w:type="fixed"/>
        <w:tblCellMar>
          <w:top w:w="0" w:type="dxa"/>
          <w:left w:w="0" w:type="dxa"/>
          <w:bottom w:w="0" w:type="dxa"/>
          <w:right w:w="0" w:type="dxa"/>
        </w:tblCellMar>
        <w:tblLook w:val="01E0"/>
      </w:tblPr>
      <w:tblGrid>
        <w:gridCol w:w="677"/>
        <w:gridCol w:w="2355"/>
        <w:gridCol w:w="2964"/>
        <w:gridCol w:w="1364"/>
        <w:gridCol w:w="1361"/>
      </w:tblGrid>
      <w:tr>
        <w:trPr>
          <w:trHeight w:val="389" w:hRule="exact"/>
        </w:trPr>
        <w:tc>
          <w:tcPr>
            <w:tcW w:w="67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6"/>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35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b/>
                <w:bCs/>
                <w:sz w:val="21"/>
                <w:szCs w:val="21"/>
              </w:rPr>
              <w:t>域名</w:t>
            </w:r>
            <w:r>
              <w:rPr>
                <w:rFonts w:ascii="宋体" w:hAnsi="宋体" w:cs="宋体" w:eastAsia="宋体" w:hint="default"/>
                <w:sz w:val="21"/>
                <w:szCs w:val="21"/>
              </w:rPr>
            </w:r>
          </w:p>
        </w:tc>
        <w:tc>
          <w:tcPr>
            <w:tcW w:w="29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1"/>
              <w:ind w:left="947" w:right="0"/>
              <w:jc w:val="left"/>
              <w:rPr>
                <w:rFonts w:ascii="宋体" w:hAnsi="宋体" w:cs="宋体" w:eastAsia="宋体" w:hint="default"/>
                <w:sz w:val="21"/>
                <w:szCs w:val="21"/>
              </w:rPr>
            </w:pPr>
            <w:r>
              <w:rPr>
                <w:rFonts w:ascii="宋体" w:hAnsi="宋体" w:cs="宋体" w:eastAsia="宋体" w:hint="default"/>
                <w:b/>
                <w:bCs/>
                <w:sz w:val="21"/>
                <w:szCs w:val="21"/>
              </w:rPr>
              <w:t>注册所有人</w:t>
            </w:r>
            <w:r>
              <w:rPr>
                <w:rFonts w:ascii="宋体" w:hAnsi="宋体" w:cs="宋体" w:eastAsia="宋体" w:hint="default"/>
                <w:sz w:val="21"/>
                <w:szCs w:val="21"/>
              </w:rPr>
            </w:r>
          </w:p>
        </w:tc>
        <w:tc>
          <w:tcPr>
            <w:tcW w:w="13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1"/>
              <w:ind w:left="251" w:right="0"/>
              <w:jc w:val="left"/>
              <w:rPr>
                <w:rFonts w:ascii="宋体" w:hAnsi="宋体" w:cs="宋体" w:eastAsia="宋体" w:hint="default"/>
                <w:sz w:val="21"/>
                <w:szCs w:val="21"/>
              </w:rPr>
            </w:pPr>
            <w:r>
              <w:rPr>
                <w:rFonts w:ascii="宋体" w:hAnsi="宋体" w:cs="宋体" w:eastAsia="宋体" w:hint="default"/>
                <w:b/>
                <w:bCs/>
                <w:sz w:val="21"/>
                <w:szCs w:val="21"/>
              </w:rPr>
              <w:t>注册时间</w:t>
            </w:r>
            <w:r>
              <w:rPr>
                <w:rFonts w:ascii="宋体" w:hAnsi="宋体" w:cs="宋体" w:eastAsia="宋体" w:hint="default"/>
                <w:sz w:val="21"/>
                <w:szCs w:val="21"/>
              </w:rPr>
            </w:r>
          </w:p>
        </w:tc>
        <w:tc>
          <w:tcPr>
            <w:tcW w:w="136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1"/>
              <w:ind w:left="249" w:right="0"/>
              <w:jc w:val="left"/>
              <w:rPr>
                <w:rFonts w:ascii="宋体" w:hAnsi="宋体" w:cs="宋体" w:eastAsia="宋体" w:hint="default"/>
                <w:sz w:val="21"/>
                <w:szCs w:val="21"/>
              </w:rPr>
            </w:pPr>
            <w:r>
              <w:rPr>
                <w:rFonts w:ascii="宋体" w:hAnsi="宋体" w:cs="宋体" w:eastAsia="宋体" w:hint="default"/>
                <w:b/>
                <w:bCs/>
                <w:sz w:val="21"/>
                <w:szCs w:val="21"/>
              </w:rPr>
              <w:t>到期时间</w:t>
            </w:r>
            <w:r>
              <w:rPr>
                <w:rFonts w:ascii="宋体" w:hAnsi="宋体" w:cs="宋体" w:eastAsia="宋体" w:hint="default"/>
                <w:sz w:val="21"/>
                <w:szCs w:val="21"/>
              </w:rPr>
            </w:r>
          </w:p>
        </w:tc>
      </w:tr>
      <w:tr>
        <w:trPr>
          <w:trHeight w:val="451"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w w:val="100"/>
                <w:sz w:val="21"/>
              </w:rPr>
              <w:t>1</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left"/>
              <w:rPr>
                <w:rFonts w:ascii="Times New Roman" w:hAnsi="Times New Roman" w:cs="Times New Roman" w:eastAsia="Times New Roman" w:hint="default"/>
                <w:sz w:val="21"/>
                <w:szCs w:val="21"/>
              </w:rPr>
            </w:pPr>
            <w:r>
              <w:rPr>
                <w:rFonts w:ascii="Times New Roman"/>
                <w:sz w:val="21"/>
              </w:rPr>
              <w:t>supermap.cn</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2" w:right="0"/>
              <w:jc w:val="left"/>
              <w:rPr>
                <w:rFonts w:ascii="Times New Roman" w:hAnsi="Times New Roman" w:cs="Times New Roman" w:eastAsia="Times New Roman" w:hint="default"/>
                <w:sz w:val="21"/>
                <w:szCs w:val="21"/>
              </w:rPr>
            </w:pPr>
            <w:r>
              <w:rPr>
                <w:rFonts w:ascii="Times New Roman"/>
                <w:sz w:val="21"/>
              </w:rPr>
              <w:t>2008-10-28</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2"/>
              <w:ind w:left="2" w:right="0"/>
              <w:jc w:val="left"/>
              <w:rPr>
                <w:rFonts w:ascii="Times New Roman" w:hAnsi="Times New Roman" w:cs="Times New Roman" w:eastAsia="Times New Roman" w:hint="default"/>
                <w:sz w:val="21"/>
                <w:szCs w:val="21"/>
              </w:rPr>
            </w:pPr>
            <w:r>
              <w:rPr>
                <w:rFonts w:ascii="Times New Roman"/>
                <w:sz w:val="21"/>
              </w:rPr>
              <w:t>2015-03-17</w:t>
            </w:r>
          </w:p>
        </w:tc>
      </w:tr>
      <w:tr>
        <w:trPr>
          <w:trHeight w:val="399"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w w:val="100"/>
                <w:sz w:val="21"/>
              </w:rPr>
              <w:t>2</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Supermap.com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2015-02-20</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3</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Supermap.com.cn</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2007-7-18</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2012-12-18</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4</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Supermap.net</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2002-08-7</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2012-09-29</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w w:val="100"/>
                <w:sz w:val="21"/>
              </w:rPr>
              <w:t>5</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gischina.org</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2016-11-09</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6</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gischina.net</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2016-11-09</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7</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gisforum.net</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2016-11-09</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8</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gischina.com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2008-09-24</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2015-02-20</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w w:val="100"/>
                <w:sz w:val="21"/>
              </w:rPr>
              <w:t>9</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supermap-japan.com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2000-06-15</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0"/>
              <w:ind w:left="2" w:right="0"/>
              <w:jc w:val="left"/>
              <w:rPr>
                <w:rFonts w:ascii="Times New Roman" w:hAnsi="Times New Roman" w:cs="Times New Roman" w:eastAsia="Times New Roman" w:hint="default"/>
                <w:sz w:val="21"/>
                <w:szCs w:val="21"/>
              </w:rPr>
            </w:pPr>
            <w:r>
              <w:rPr>
                <w:rFonts w:ascii="Times New Roman"/>
                <w:sz w:val="21"/>
              </w:rPr>
              <w:t>2012-06-15</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supermapcloud.com.cn</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2" w:right="0"/>
              <w:jc w:val="left"/>
              <w:rPr>
                <w:rFonts w:ascii="Times New Roman" w:hAnsi="Times New Roman" w:cs="Times New Roman" w:eastAsia="Times New Roman" w:hint="default"/>
                <w:sz w:val="21"/>
                <w:szCs w:val="21"/>
              </w:rPr>
            </w:pPr>
            <w:r>
              <w:rPr>
                <w:rFonts w:ascii="Times New Roman"/>
                <w:sz w:val="21"/>
              </w:rPr>
              <w:t>2011-01-06</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2" w:right="0"/>
              <w:jc w:val="left"/>
              <w:rPr>
                <w:rFonts w:ascii="Times New Roman" w:hAnsi="Times New Roman" w:cs="Times New Roman" w:eastAsia="Times New Roman" w:hint="default"/>
                <w:sz w:val="21"/>
                <w:szCs w:val="21"/>
              </w:rPr>
            </w:pPr>
            <w:r>
              <w:rPr>
                <w:rFonts w:ascii="Times New Roman"/>
                <w:sz w:val="21"/>
              </w:rPr>
              <w:t>2015-01-06</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11</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supermapcloud.cn</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2011-01-06</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2015-01-06</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12</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supermapcloud.net</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2011-01-06</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2015-01-06</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13</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supermapcloud.com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2011-01-06</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2015-01-06</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14</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supermap.hk</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2011-03-10</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2014-03-10</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15</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supermap.com.hk</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2011-03-16</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2014-03-16</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16</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supermap.com.tw</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2011-03-11</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2013-03-11</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1"/>
                <w:szCs w:val="21"/>
              </w:rPr>
            </w:pPr>
            <w:r>
              <w:rPr>
                <w:rFonts w:ascii="Times New Roman"/>
                <w:sz w:val="21"/>
              </w:rPr>
              <w:t>17</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supermap.tw</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21"/>
                <w:szCs w:val="21"/>
              </w:rPr>
            </w:pPr>
            <w:r>
              <w:rPr>
                <w:rFonts w:ascii="Times New Roman"/>
                <w:sz w:val="21"/>
              </w:rPr>
              <w:t>2011-03-11</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5"/>
              <w:ind w:left="2" w:right="0"/>
              <w:jc w:val="left"/>
              <w:rPr>
                <w:rFonts w:ascii="Times New Roman" w:hAnsi="Times New Roman" w:cs="Times New Roman" w:eastAsia="Times New Roman" w:hint="default"/>
                <w:sz w:val="21"/>
                <w:szCs w:val="21"/>
              </w:rPr>
            </w:pPr>
            <w:r>
              <w:rPr>
                <w:rFonts w:ascii="Times New Roman"/>
                <w:sz w:val="21"/>
              </w:rPr>
              <w:t>2013-03-11</w:t>
            </w:r>
          </w:p>
        </w:tc>
      </w:tr>
      <w:tr>
        <w:trPr>
          <w:trHeight w:val="397"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18</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Times New Roman" w:hAnsi="Times New Roman" w:cs="Times New Roman" w:eastAsia="Times New Roman" w:hint="default"/>
                <w:sz w:val="21"/>
                <w:szCs w:val="21"/>
              </w:rPr>
            </w:pPr>
            <w:r>
              <w:rPr>
                <w:rFonts w:ascii="Times New Roman"/>
                <w:sz w:val="21"/>
              </w:rPr>
              <w:t>dituyun.com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3"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left"/>
              <w:rPr>
                <w:rFonts w:ascii="Times New Roman" w:hAnsi="Times New Roman" w:cs="Times New Roman" w:eastAsia="Times New Roman" w:hint="default"/>
                <w:sz w:val="21"/>
                <w:szCs w:val="21"/>
              </w:rPr>
            </w:pPr>
            <w:r>
              <w:rPr>
                <w:rFonts w:ascii="Times New Roman"/>
                <w:sz w:val="21"/>
              </w:rPr>
              <w:t>2011-4-11</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left="2" w:right="0"/>
              <w:jc w:val="left"/>
              <w:rPr>
                <w:rFonts w:ascii="Times New Roman" w:hAnsi="Times New Roman" w:cs="Times New Roman" w:eastAsia="Times New Roman" w:hint="default"/>
                <w:sz w:val="21"/>
                <w:szCs w:val="21"/>
              </w:rPr>
            </w:pPr>
            <w:r>
              <w:rPr>
                <w:rFonts w:ascii="Times New Roman"/>
                <w:sz w:val="21"/>
              </w:rPr>
              <w:t>2014-4-11</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19</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24"/>
                <w:szCs w:val="24"/>
              </w:rPr>
            </w:pPr>
            <w:r>
              <w:rPr>
                <w:rFonts w:ascii="Times New Roman"/>
                <w:sz w:val="24"/>
              </w:rPr>
              <w:t>dituyun.cn</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2011-4-11</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2014-4-11</w:t>
            </w:r>
          </w:p>
        </w:tc>
      </w:tr>
      <w:tr>
        <w:trPr>
          <w:trHeight w:val="396"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20</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2" w:right="0"/>
              <w:jc w:val="left"/>
              <w:rPr>
                <w:rFonts w:ascii="Times New Roman" w:hAnsi="Times New Roman" w:cs="Times New Roman" w:eastAsia="Times New Roman" w:hint="default"/>
                <w:sz w:val="24"/>
                <w:szCs w:val="24"/>
              </w:rPr>
            </w:pPr>
            <w:r>
              <w:rPr>
                <w:rFonts w:ascii="Times New Roman"/>
                <w:sz w:val="24"/>
              </w:rPr>
              <w:t>dituyun.net</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2011-4-11</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2014-4-11</w:t>
            </w:r>
          </w:p>
        </w:tc>
      </w:tr>
      <w:tr>
        <w:trPr>
          <w:trHeight w:val="398" w:hRule="exact"/>
        </w:trPr>
        <w:tc>
          <w:tcPr>
            <w:tcW w:w="6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21</w:t>
            </w:r>
          </w:p>
        </w:tc>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zxtlbs.com</w:t>
            </w:r>
          </w:p>
        </w:tc>
        <w:tc>
          <w:tcPr>
            <w:tcW w:w="296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2011-12-30</w:t>
            </w:r>
          </w:p>
        </w:tc>
        <w:tc>
          <w:tcPr>
            <w:tcW w:w="13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0"/>
              <w:ind w:left="2" w:right="0"/>
              <w:jc w:val="left"/>
              <w:rPr>
                <w:rFonts w:ascii="Times New Roman" w:hAnsi="Times New Roman" w:cs="Times New Roman" w:eastAsia="Times New Roman" w:hint="default"/>
                <w:sz w:val="21"/>
                <w:szCs w:val="21"/>
              </w:rPr>
            </w:pPr>
            <w:r>
              <w:rPr>
                <w:rFonts w:ascii="Times New Roman"/>
                <w:sz w:val="21"/>
              </w:rPr>
              <w:t>2012-12-29</w:t>
            </w:r>
          </w:p>
        </w:tc>
      </w:tr>
    </w:tbl>
    <w:p>
      <w:pPr>
        <w:spacing w:line="240" w:lineRule="auto" w:before="8"/>
        <w:rPr>
          <w:rFonts w:ascii="宋体" w:hAnsi="宋体" w:cs="宋体" w:eastAsia="宋体" w:hint="default"/>
          <w:sz w:val="24"/>
          <w:szCs w:val="24"/>
        </w:rPr>
      </w:pPr>
    </w:p>
    <w:p>
      <w:pPr>
        <w:pStyle w:val="Heading5"/>
        <w:spacing w:line="240" w:lineRule="auto" w:before="26"/>
        <w:ind w:left="140" w:right="0"/>
        <w:jc w:val="left"/>
        <w:rPr>
          <w:b w:val="0"/>
          <w:bCs w:val="0"/>
        </w:rPr>
      </w:pPr>
      <w:r>
        <w:rPr/>
        <w:t>（</w:t>
      </w:r>
      <w:r>
        <w:rPr>
          <w:rFonts w:ascii="Times New Roman" w:hAnsi="Times New Roman" w:cs="Times New Roman" w:eastAsia="Times New Roman" w:hint="default"/>
        </w:rPr>
        <w:t>14</w:t>
      </w:r>
      <w:r>
        <w:rPr/>
        <w:t>）公司核心竞争力变化情况</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620" w:right="0" w:firstLine="2"/>
        <w:jc w:val="left"/>
      </w:pPr>
      <w:r>
        <w:rPr>
          <w:rFonts w:ascii="Times New Roman" w:hAnsi="Times New Roman" w:cs="Times New Roman" w:eastAsia="Times New Roman" w:hint="default"/>
          <w:b/>
          <w:bCs/>
        </w:rPr>
        <w:t>1</w:t>
      </w:r>
      <w:r>
        <w:rPr>
          <w:rFonts w:ascii="宋体" w:hAnsi="宋体" w:cs="宋体" w:eastAsia="宋体" w:hint="default"/>
          <w:b/>
          <w:bCs/>
        </w:rPr>
        <w:t>）产品技术优势</w:t>
      </w:r>
      <w:r>
        <w:rPr>
          <w:rFonts w:ascii="宋体" w:hAnsi="宋体" w:cs="宋体" w:eastAsia="宋体" w:hint="default"/>
          <w:b/>
          <w:bCs/>
          <w:spacing w:val="2"/>
          <w:w w:val="99"/>
        </w:rPr>
        <w:t> </w:t>
      </w:r>
      <w:r>
        <w:rPr>
          <w:spacing w:val="2"/>
        </w:rPr>
        <w:t>报告期内，公司重点加强了</w:t>
      </w:r>
      <w:r>
        <w:rPr>
          <w:rFonts w:ascii="Times New Roman" w:hAnsi="Times New Roman" w:cs="Times New Roman" w:eastAsia="Times New Roman" w:hint="default"/>
          <w:spacing w:val="2"/>
        </w:rPr>
        <w:t>6R</w:t>
      </w:r>
      <w:r>
        <w:rPr>
          <w:spacing w:val="2"/>
        </w:rPr>
        <w:t>产品系列的完善，在二三维</w:t>
      </w:r>
      <w:r>
        <w:rPr>
          <w:rFonts w:ascii="Times New Roman" w:hAnsi="Times New Roman" w:cs="Times New Roman" w:eastAsia="Times New Roman" w:hint="default"/>
          <w:spacing w:val="2"/>
        </w:rPr>
        <w:t>GIS</w:t>
      </w:r>
      <w:r>
        <w:rPr>
          <w:spacing w:val="2"/>
        </w:rPr>
        <w:t>一体化技术、海</w:t>
      </w:r>
    </w:p>
    <w:p>
      <w:pPr>
        <w:pStyle w:val="BodyText"/>
        <w:spacing w:line="240" w:lineRule="auto" w:before="27"/>
        <w:ind w:left="140" w:right="0"/>
        <w:jc w:val="left"/>
      </w:pPr>
      <w:r>
        <w:rPr/>
        <w:t>量数据处理和传输技术、服务器端高端产品等技术方面取得了实质性进展，公司核</w:t>
      </w:r>
    </w:p>
    <w:p>
      <w:pPr>
        <w:spacing w:after="0" w:line="240" w:lineRule="auto"/>
        <w:jc w:val="left"/>
        <w:sectPr>
          <w:pgSz w:w="11910" w:h="16840"/>
          <w:pgMar w:header="884" w:footer="1007" w:top="1140" w:bottom="1200" w:left="1660" w:right="1260"/>
        </w:sectPr>
      </w:pPr>
    </w:p>
    <w:p>
      <w:pPr>
        <w:spacing w:line="240" w:lineRule="auto" w:before="6"/>
        <w:rPr>
          <w:rFonts w:ascii="宋体" w:hAnsi="宋体" w:cs="宋体" w:eastAsia="宋体" w:hint="default"/>
          <w:sz w:val="22"/>
          <w:szCs w:val="22"/>
        </w:rPr>
      </w:pPr>
    </w:p>
    <w:p>
      <w:pPr>
        <w:pStyle w:val="BodyText"/>
        <w:spacing w:line="348" w:lineRule="auto" w:before="26"/>
        <w:ind w:left="140" w:right="100"/>
        <w:jc w:val="left"/>
      </w:pPr>
      <w:r>
        <w:rPr>
          <w:spacing w:val="-6"/>
          <w:w w:val="99"/>
        </w:rPr>
        <w:t>心竞争力得到了进一步提升，为公司抢占</w:t>
      </w:r>
      <w:r>
        <w:rPr>
          <w:rFonts w:ascii="Times New Roman" w:hAnsi="Times New Roman" w:cs="Times New Roman" w:eastAsia="Times New Roman" w:hint="default"/>
          <w:spacing w:val="-6"/>
          <w:w w:val="99"/>
        </w:rPr>
        <w:t>GIS</w:t>
      </w:r>
      <w:r>
        <w:rPr>
          <w:spacing w:val="-6"/>
          <w:w w:val="99"/>
        </w:rPr>
        <w:t>应用领域的高端市场奠定了基础。此外，</w:t>
      </w:r>
      <w:r>
        <w:rPr>
          <w:spacing w:val="-104"/>
          <w:w w:val="99"/>
        </w:rPr>
        <w:t> </w:t>
      </w:r>
      <w:r>
        <w:rPr>
          <w:spacing w:val="-104"/>
          <w:w w:val="99"/>
        </w:rPr>
      </w:r>
      <w:r>
        <w:rPr/>
        <w:t>公司在应用平台研发方面取得了一定成绩，其中水利普查软件、统计地理信息系统</w:t>
      </w:r>
      <w:r>
        <w:rPr>
          <w:spacing w:val="-77"/>
        </w:rPr>
        <w:t> </w:t>
      </w:r>
      <w:r>
        <w:rPr>
          <w:spacing w:val="-77"/>
        </w:rPr>
      </w:r>
      <w:r>
        <w:rPr/>
        <w:t>软件被列为行业相关信息化工程的基础软件，在全国市场得到推广和应用。</w:t>
      </w:r>
    </w:p>
    <w:p>
      <w:pPr>
        <w:pStyle w:val="BodyText"/>
        <w:spacing w:line="345" w:lineRule="auto" w:before="46"/>
        <w:ind w:left="140" w:right="232" w:firstLine="479"/>
        <w:jc w:val="both"/>
      </w:pPr>
      <w:r>
        <w:rPr>
          <w:spacing w:val="-3"/>
        </w:rPr>
        <w:t>报告期间，公司两个与产品创新和研发相关的募集资金项目“</w:t>
      </w:r>
      <w:r>
        <w:rPr>
          <w:rFonts w:ascii="Times New Roman" w:hAnsi="Times New Roman" w:cs="Times New Roman" w:eastAsia="Times New Roman" w:hint="default"/>
          <w:spacing w:val="-3"/>
        </w:rPr>
        <w:t>GIS</w:t>
      </w:r>
      <w:r>
        <w:rPr>
          <w:spacing w:val="-3"/>
        </w:rPr>
        <w:t>基础平台软件</w:t>
      </w:r>
      <w:r>
        <w:rPr/>
        <w:t> 系列研发升级”和“</w:t>
      </w:r>
      <w:r>
        <w:rPr>
          <w:rFonts w:ascii="Times New Roman" w:hAnsi="Times New Roman" w:cs="Times New Roman" w:eastAsia="Times New Roman" w:hint="default"/>
        </w:rPr>
        <w:t>GIS</w:t>
      </w:r>
      <w:r>
        <w:rPr/>
        <w:t>应用平台软件系列研发和升级”项目进展顺利，上述</w:t>
      </w:r>
      <w:r>
        <w:rPr>
          <w:rFonts w:ascii="Times New Roman" w:hAnsi="Times New Roman" w:cs="Times New Roman" w:eastAsia="Times New Roman" w:hint="default"/>
        </w:rPr>
        <w:t>2</w:t>
      </w:r>
      <w:r>
        <w:rPr/>
        <w:t>个项</w:t>
      </w:r>
      <w:r>
        <w:rPr>
          <w:spacing w:val="-101"/>
        </w:rPr>
        <w:t> </w:t>
      </w:r>
      <w:r>
        <w:rPr>
          <w:spacing w:val="-2"/>
        </w:rPr>
        <w:t>目均已接近尾声，并顺利完成了预期的研发目标和关键技术指标，</w:t>
      </w:r>
      <w:r>
        <w:rPr>
          <w:rFonts w:ascii="Times New Roman" w:hAnsi="Times New Roman" w:cs="Times New Roman" w:eastAsia="Times New Roman" w:hint="default"/>
          <w:spacing w:val="-2"/>
        </w:rPr>
        <w:t>2</w:t>
      </w:r>
      <w:r>
        <w:rPr>
          <w:spacing w:val="-2"/>
        </w:rPr>
        <w:t>个项目的产业化</w:t>
      </w:r>
      <w:r>
        <w:rPr>
          <w:spacing w:val="-118"/>
        </w:rPr>
        <w:t> </w:t>
      </w:r>
      <w:r>
        <w:rPr/>
        <w:t>成果在报告期内成为了公司业绩增长的主要动力，公司自主研发的平台软件产品占</w:t>
      </w:r>
      <w:r>
        <w:rPr>
          <w:spacing w:val="-77"/>
        </w:rPr>
        <w:t> </w:t>
      </w:r>
      <w:r>
        <w:rPr>
          <w:spacing w:val="-77"/>
        </w:rPr>
      </w:r>
      <w:r>
        <w:rPr/>
        <w:t>总收入的比重与去年同期比较增长明显，有效提升了公司的核心技术的复用性、标</w:t>
      </w:r>
      <w:r>
        <w:rPr>
          <w:spacing w:val="-74"/>
        </w:rPr>
        <w:t> </w:t>
      </w:r>
      <w:r>
        <w:rPr>
          <w:spacing w:val="-74"/>
        </w:rPr>
      </w:r>
      <w:r>
        <w:rPr/>
        <w:t>准型，提升了公司产品综合竞争力。</w:t>
      </w:r>
    </w:p>
    <w:p>
      <w:pPr>
        <w:pStyle w:val="BodyText"/>
        <w:spacing w:line="357" w:lineRule="auto" w:before="48"/>
        <w:ind w:left="140" w:right="236" w:firstLine="479"/>
        <w:jc w:val="both"/>
      </w:pPr>
      <w:r>
        <w:rPr/>
        <w:t>此外，报告期内，公司设立了研究所，并获批设立了“北京市博士后（青年英 才）创新实践基地工作站”，通过海聚计划引进海外高级人才参与相关的前沿性技</w:t>
      </w:r>
      <w:r>
        <w:rPr>
          <w:spacing w:val="-77"/>
        </w:rPr>
        <w:t> </w:t>
      </w:r>
      <w:r>
        <w:rPr>
          <w:spacing w:val="-77"/>
        </w:rPr>
      </w:r>
      <w:r>
        <w:rPr/>
        <w:t>术的研究，为产品的研发</w:t>
      </w:r>
    </w:p>
    <w:p>
      <w:pPr>
        <w:spacing w:line="338" w:lineRule="auto" w:before="36"/>
        <w:ind w:left="620" w:right="10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）品牌和市场优势</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报告期内，公司在</w:t>
      </w:r>
      <w:r>
        <w:rPr>
          <w:rFonts w:ascii="Times New Roman" w:hAnsi="Times New Roman" w:cs="Times New Roman" w:eastAsia="Times New Roman" w:hint="default"/>
          <w:spacing w:val="-3"/>
          <w:sz w:val="24"/>
          <w:szCs w:val="24"/>
        </w:rPr>
        <w:t>6</w:t>
      </w:r>
      <w:r>
        <w:rPr>
          <w:rFonts w:ascii="宋体" w:hAnsi="宋体" w:cs="宋体" w:eastAsia="宋体" w:hint="default"/>
          <w:spacing w:val="-3"/>
          <w:sz w:val="24"/>
          <w:szCs w:val="24"/>
        </w:rPr>
        <w:t>个城市开展了题为“数字城市睿智共享，三维</w:t>
      </w:r>
      <w:r>
        <w:rPr>
          <w:rFonts w:ascii="Times New Roman" w:hAnsi="Times New Roman" w:cs="Times New Roman" w:eastAsia="Times New Roman" w:hint="default"/>
          <w:spacing w:val="-3"/>
          <w:sz w:val="24"/>
          <w:szCs w:val="24"/>
        </w:rPr>
        <w:t>GIS</w:t>
      </w:r>
      <w:r>
        <w:rPr>
          <w:rFonts w:ascii="宋体" w:hAnsi="宋体" w:cs="宋体" w:eastAsia="宋体" w:hint="default"/>
          <w:spacing w:val="-3"/>
          <w:sz w:val="24"/>
          <w:szCs w:val="24"/>
        </w:rPr>
        <w:t>启迪未来”</w:t>
      </w:r>
    </w:p>
    <w:p>
      <w:pPr>
        <w:pStyle w:val="BodyText"/>
        <w:spacing w:line="338" w:lineRule="auto" w:before="27"/>
        <w:ind w:left="140" w:right="232"/>
        <w:jc w:val="both"/>
      </w:pPr>
      <w:r>
        <w:rPr/>
        <w:t>的巡展，并于</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17</w:t>
      </w:r>
      <w:r>
        <w:rPr/>
        <w:t>日召开了规模空前的“</w:t>
      </w:r>
      <w:r>
        <w:rPr>
          <w:rFonts w:ascii="Times New Roman" w:hAnsi="Times New Roman" w:cs="Times New Roman" w:eastAsia="Times New Roman" w:hint="default"/>
        </w:rPr>
        <w:t>SuperMap</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4"/>
        </w:rPr>
        <w:t>GIS</w:t>
      </w:r>
      <w:r>
        <w:rPr>
          <w:spacing w:val="-4"/>
        </w:rPr>
        <w:t>技术大会”，参会人</w:t>
      </w:r>
      <w:r>
        <w:rPr/>
        <w:t> </w:t>
      </w:r>
      <w:r>
        <w:rPr>
          <w:spacing w:val="-3"/>
        </w:rPr>
        <w:t>员超过</w:t>
      </w:r>
      <w:r>
        <w:rPr>
          <w:rFonts w:ascii="Times New Roman" w:hAnsi="Times New Roman" w:cs="Times New Roman" w:eastAsia="Times New Roman" w:hint="default"/>
          <w:spacing w:val="-3"/>
        </w:rPr>
        <w:t>4000</w:t>
      </w:r>
      <w:r>
        <w:rPr>
          <w:spacing w:val="-3"/>
        </w:rPr>
        <w:t>人。此外，报告期内，公司启动了第九届全国大学生</w:t>
      </w:r>
      <w:r>
        <w:rPr>
          <w:rFonts w:ascii="Times New Roman" w:hAnsi="Times New Roman" w:cs="Times New Roman" w:eastAsia="Times New Roman" w:hint="default"/>
          <w:spacing w:val="-3"/>
        </w:rPr>
        <w:t>GIS</w:t>
      </w:r>
      <w:r>
        <w:rPr>
          <w:spacing w:val="-3"/>
        </w:rPr>
        <w:t>开发大赛，参加</w:t>
      </w:r>
      <w:r>
        <w:rPr>
          <w:spacing w:val="-99"/>
        </w:rPr>
        <w:t> </w:t>
      </w:r>
      <w:r>
        <w:rPr>
          <w:spacing w:val="-99"/>
        </w:rPr>
      </w:r>
      <w:r>
        <w:rPr/>
        <w:t>大赛的高校近</w:t>
      </w:r>
      <w:r>
        <w:rPr>
          <w:rFonts w:ascii="Times New Roman" w:hAnsi="Times New Roman" w:cs="Times New Roman" w:eastAsia="Times New Roman" w:hint="default"/>
        </w:rPr>
        <w:t>200</w:t>
      </w:r>
      <w:r>
        <w:rPr/>
        <w:t>所。借助这些市场活动，公司的品牌影响力得到了提升。</w:t>
      </w:r>
    </w:p>
    <w:p>
      <w:pPr>
        <w:pStyle w:val="BodyText"/>
        <w:spacing w:line="338" w:lineRule="auto" w:before="27"/>
        <w:ind w:left="140" w:right="231" w:firstLine="479"/>
        <w:jc w:val="both"/>
      </w:pPr>
      <w:r>
        <w:rPr/>
        <w:t>报告期内，公司新增</w:t>
      </w:r>
      <w:r>
        <w:rPr>
          <w:rFonts w:ascii="Times New Roman" w:hAnsi="Times New Roman" w:cs="Times New Roman" w:eastAsia="Times New Roman" w:hint="default"/>
        </w:rPr>
        <w:t>2</w:t>
      </w:r>
      <w:r>
        <w:rPr/>
        <w:t>个办事处，截至期末，公司在</w:t>
      </w:r>
      <w:r>
        <w:rPr>
          <w:rFonts w:ascii="Times New Roman" w:hAnsi="Times New Roman" w:cs="Times New Roman" w:eastAsia="Times New Roman" w:hint="default"/>
        </w:rPr>
        <w:t>7</w:t>
      </w:r>
      <w:r>
        <w:rPr/>
        <w:t>个分公司辖区范围内下设 了</w:t>
      </w:r>
      <w:r>
        <w:rPr>
          <w:rFonts w:ascii="Times New Roman" w:hAnsi="Times New Roman" w:cs="Times New Roman" w:eastAsia="Times New Roman" w:hint="default"/>
        </w:rPr>
        <w:t>11</w:t>
      </w:r>
      <w:r>
        <w:rPr/>
        <w:t>个办事处，加强了区域市场精耕细作和本地化营销服务力量，进一步扩大市场</w:t>
      </w:r>
      <w:r>
        <w:rPr>
          <w:spacing w:val="-77"/>
        </w:rPr>
        <w:t> </w:t>
      </w:r>
      <w:r>
        <w:rPr>
          <w:spacing w:val="-77"/>
        </w:rPr>
      </w:r>
      <w:r>
        <w:rPr/>
        <w:t>占有。在</w:t>
      </w:r>
      <w:r>
        <w:rPr>
          <w:rFonts w:ascii="Times New Roman" w:hAnsi="Times New Roman" w:cs="Times New Roman" w:eastAsia="Times New Roman" w:hint="default"/>
        </w:rPr>
        <w:t>2011</w:t>
      </w:r>
      <w:r>
        <w:rPr/>
        <w:t>年度，公司“面向服务的地理信息公共平台软件”荣获测绘科技进步</w:t>
      </w:r>
      <w:r>
        <w:rPr>
          <w:spacing w:val="-73"/>
        </w:rPr>
        <w:t> </w:t>
      </w:r>
      <w:r>
        <w:rPr>
          <w:spacing w:val="-73"/>
        </w:rPr>
      </w:r>
      <w:r>
        <w:rPr>
          <w:spacing w:val="-2"/>
        </w:rPr>
        <w:t>二等奖，</w:t>
      </w:r>
      <w:r>
        <w:rPr>
          <w:rFonts w:ascii="Times New Roman" w:hAnsi="Times New Roman" w:cs="Times New Roman" w:eastAsia="Times New Roman" w:hint="default"/>
          <w:spacing w:val="-2"/>
        </w:rPr>
        <w:t>5</w:t>
      </w:r>
      <w:r>
        <w:rPr>
          <w:spacing w:val="-2"/>
        </w:rPr>
        <w:t>个项目被评委“地理信息优秀工程奖”，服务器端产品在科技部国家遥感</w:t>
      </w:r>
      <w:r>
        <w:rPr>
          <w:spacing w:val="-117"/>
        </w:rPr>
        <w:t> </w:t>
      </w:r>
      <w:r>
        <w:rPr>
          <w:spacing w:val="-117"/>
        </w:rPr>
      </w:r>
      <w:r>
        <w:rPr>
          <w:spacing w:val="-3"/>
          <w:w w:val="99"/>
        </w:rPr>
        <w:t>中心举办的国产</w:t>
      </w:r>
      <w:r>
        <w:rPr>
          <w:rFonts w:ascii="Times New Roman" w:hAnsi="Times New Roman" w:cs="Times New Roman" w:eastAsia="Times New Roman" w:hint="default"/>
          <w:spacing w:val="-3"/>
          <w:w w:val="99"/>
        </w:rPr>
        <w:t>GIS</w:t>
      </w:r>
      <w:r>
        <w:rPr>
          <w:spacing w:val="-3"/>
          <w:w w:val="99"/>
        </w:rPr>
        <w:t>软件测评中获得优秀产品推荐等。这些获奖一方面是对公司多年</w:t>
      </w:r>
      <w:r>
        <w:rPr>
          <w:spacing w:val="-105"/>
          <w:w w:val="99"/>
        </w:rPr>
        <w:t> </w:t>
      </w:r>
      <w:r>
        <w:rPr>
          <w:spacing w:val="-105"/>
          <w:w w:val="99"/>
        </w:rPr>
      </w:r>
      <w:r>
        <w:rPr/>
        <w:t>来的技术创新成果的褒奖，同时大大提升了公司的品牌形象。</w:t>
      </w:r>
    </w:p>
    <w:p>
      <w:pPr>
        <w:spacing w:line="338" w:lineRule="auto" w:before="55"/>
        <w:ind w:left="620" w:right="10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）管理和人才优势</w:t>
      </w:r>
      <w:r>
        <w:rPr>
          <w:rFonts w:ascii="宋体" w:hAnsi="宋体" w:cs="宋体" w:eastAsia="宋体" w:hint="default"/>
          <w:b/>
          <w:bCs/>
          <w:w w:val="99"/>
          <w:sz w:val="24"/>
          <w:szCs w:val="24"/>
        </w:rPr>
        <w:t> </w:t>
      </w:r>
      <w:r>
        <w:rPr>
          <w:rFonts w:ascii="宋体" w:hAnsi="宋体" w:cs="宋体" w:eastAsia="宋体" w:hint="default"/>
          <w:sz w:val="24"/>
          <w:szCs w:val="24"/>
        </w:rPr>
        <w:t>报告期内，公司完善了组织架构和营销服务体系，建立了区域与行业交叉的矩</w:t>
      </w:r>
    </w:p>
    <w:p>
      <w:pPr>
        <w:pStyle w:val="BodyText"/>
        <w:spacing w:line="350" w:lineRule="auto" w:before="55"/>
        <w:ind w:left="140" w:right="230"/>
        <w:jc w:val="both"/>
      </w:pPr>
      <w:r>
        <w:rPr/>
        <w:t>阵式营销服务网络，以更好地服务本地客户。为了有效保有核心技术骨干，报告期</w:t>
      </w:r>
      <w:r>
        <w:rPr>
          <w:spacing w:val="-77"/>
        </w:rPr>
        <w:t> </w:t>
      </w:r>
      <w:r>
        <w:rPr>
          <w:spacing w:val="-77"/>
        </w:rPr>
      </w:r>
      <w:r>
        <w:rPr>
          <w:spacing w:val="-2"/>
        </w:rPr>
        <w:t>内，公司启动了期权激励计划，对</w:t>
      </w:r>
      <w:r>
        <w:rPr>
          <w:rFonts w:ascii="Times New Roman" w:hAnsi="Times New Roman" w:cs="Times New Roman" w:eastAsia="Times New Roman" w:hint="default"/>
          <w:spacing w:val="-2"/>
        </w:rPr>
        <w:t>100</w:t>
      </w:r>
      <w:r>
        <w:rPr>
          <w:spacing w:val="-2"/>
        </w:rPr>
        <w:t>多名骨干员工进行了股权激励。此外，结合北</w:t>
      </w:r>
      <w:r>
        <w:rPr>
          <w:spacing w:val="-112"/>
        </w:rPr>
        <w:t> </w:t>
      </w:r>
      <w:r>
        <w:rPr>
          <w:spacing w:val="-112"/>
        </w:rPr>
      </w:r>
      <w:r>
        <w:rPr/>
        <w:t>京近年来不断提升的生活成本，为了有效控制运营成本、提高员工的生活幸福度，</w:t>
      </w:r>
      <w:r>
        <w:rPr>
          <w:spacing w:val="-77"/>
        </w:rPr>
        <w:t> </w:t>
      </w:r>
      <w:r>
        <w:rPr>
          <w:spacing w:val="-77"/>
        </w:rPr>
      </w:r>
      <w:r>
        <w:rPr/>
        <w:t>报告期内公司在成都、西安设立了</w:t>
      </w:r>
      <w:r>
        <w:rPr>
          <w:rFonts w:ascii="Times New Roman" w:hAnsi="Times New Roman" w:cs="Times New Roman" w:eastAsia="Times New Roman" w:hint="default"/>
        </w:rPr>
        <w:t>2</w:t>
      </w:r>
      <w:r>
        <w:rPr/>
        <w:t>个技术中心，让员工获得更多的发展空间。</w:t>
      </w:r>
    </w:p>
    <w:p>
      <w:pPr>
        <w:spacing w:after="0" w:line="350" w:lineRule="auto"/>
        <w:jc w:val="both"/>
        <w:sectPr>
          <w:pgSz w:w="11910" w:h="16840"/>
          <w:pgMar w:header="884" w:footer="1007" w:top="1140" w:bottom="1200" w:left="1660" w:right="1180"/>
        </w:sectPr>
      </w:pPr>
    </w:p>
    <w:p>
      <w:pPr>
        <w:spacing w:line="240" w:lineRule="auto" w:before="6"/>
        <w:rPr>
          <w:rFonts w:ascii="宋体" w:hAnsi="宋体" w:cs="宋体" w:eastAsia="宋体" w:hint="default"/>
          <w:sz w:val="22"/>
          <w:szCs w:val="22"/>
        </w:rPr>
      </w:pPr>
    </w:p>
    <w:p>
      <w:pPr>
        <w:pStyle w:val="BodyText"/>
        <w:spacing w:line="357" w:lineRule="auto" w:before="26"/>
        <w:ind w:left="140" w:right="174" w:firstLine="479"/>
        <w:jc w:val="both"/>
      </w:pPr>
      <w:r>
        <w:rPr/>
        <w:t>报告期内，公司进一步完善并提升管理能力，加强了企管中心建设，加强对公 司各类流程、过程的控制和管理，这些管理措施为公司持续稳定增长奠定了基础。</w:t>
      </w:r>
    </w:p>
    <w:p>
      <w:pPr>
        <w:spacing w:line="240" w:lineRule="auto" w:before="2"/>
        <w:rPr>
          <w:rFonts w:ascii="宋体" w:hAnsi="宋体" w:cs="宋体" w:eastAsia="宋体" w:hint="default"/>
          <w:sz w:val="25"/>
          <w:szCs w:val="25"/>
        </w:rPr>
      </w:pPr>
    </w:p>
    <w:p>
      <w:pPr>
        <w:pStyle w:val="Heading5"/>
        <w:spacing w:line="240" w:lineRule="auto"/>
        <w:ind w:left="140" w:right="0"/>
        <w:jc w:val="left"/>
        <w:rPr>
          <w:b w:val="0"/>
          <w:bCs w:val="0"/>
        </w:rPr>
      </w:pPr>
      <w:r>
        <w:rPr/>
        <w:t>（</w:t>
      </w:r>
      <w:r>
        <w:rPr>
          <w:rFonts w:ascii="Times New Roman" w:hAnsi="Times New Roman" w:cs="Times New Roman" w:eastAsia="Times New Roman" w:hint="default"/>
        </w:rPr>
        <w:t>15</w:t>
      </w:r>
      <w:r>
        <w:rPr/>
        <w:t>）主要控股子公司的经营情况及业绩</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620" w:right="0"/>
        <w:jc w:val="left"/>
      </w:pPr>
      <w:r>
        <w:rPr>
          <w:rFonts w:ascii="Times New Roman" w:hAnsi="Times New Roman" w:cs="Times New Roman" w:eastAsia="Times New Roman" w:hint="default"/>
        </w:rPr>
        <w:t>1</w:t>
      </w:r>
      <w:r>
        <w:rPr/>
        <w:t>）北京超图信息技术有限公司（以下简称“超图信息”） 成立日期：</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日，注册资本</w:t>
      </w:r>
      <w:r>
        <w:rPr>
          <w:rFonts w:ascii="Times New Roman" w:hAnsi="Times New Roman" w:cs="Times New Roman" w:eastAsia="Times New Roman" w:hint="default"/>
        </w:rPr>
        <w:t>500</w:t>
      </w:r>
      <w:r>
        <w:rPr/>
        <w:t>万元人民币，是公司的全资子公司。</w:t>
      </w:r>
    </w:p>
    <w:p>
      <w:pPr>
        <w:pStyle w:val="BodyText"/>
        <w:spacing w:line="338" w:lineRule="auto" w:before="27"/>
        <w:ind w:left="140" w:right="0"/>
        <w:jc w:val="left"/>
      </w:pPr>
      <w:r>
        <w:rPr>
          <w:spacing w:val="3"/>
        </w:rPr>
        <w:t>超图信息主要从事信息安全和保密性较强的</w:t>
      </w:r>
      <w:r>
        <w:rPr>
          <w:rFonts w:ascii="Times New Roman" w:hAnsi="Times New Roman" w:cs="Times New Roman" w:eastAsia="Times New Roman" w:hint="default"/>
          <w:spacing w:val="3"/>
        </w:rPr>
        <w:t>GIS</w:t>
      </w:r>
      <w:r>
        <w:rPr>
          <w:spacing w:val="3"/>
        </w:rPr>
        <w:t>信息系统技术开发和相关平台产品</w:t>
      </w:r>
      <w:r>
        <w:rPr>
          <w:spacing w:val="-103"/>
        </w:rPr>
        <w:t> </w:t>
      </w:r>
      <w:r>
        <w:rPr>
          <w:spacing w:val="-103"/>
        </w:rPr>
      </w:r>
      <w:r>
        <w:rPr/>
        <w:t>的研发。</w:t>
      </w:r>
    </w:p>
    <w:p>
      <w:pPr>
        <w:pStyle w:val="BodyText"/>
        <w:spacing w:line="338" w:lineRule="auto" w:before="55"/>
        <w:ind w:left="140" w:right="169" w:firstLine="479"/>
        <w:jc w:val="both"/>
      </w:pPr>
      <w:r>
        <w:rPr>
          <w:spacing w:val="-1"/>
        </w:rPr>
        <w:t>截止</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日，超图信息总资产</w:t>
      </w:r>
      <w:r>
        <w:rPr>
          <w:rFonts w:ascii="Times New Roman" w:hAnsi="Times New Roman" w:cs="Times New Roman" w:eastAsia="Times New Roman" w:hint="default"/>
          <w:spacing w:val="-1"/>
        </w:rPr>
        <w:t>2,026.70</w:t>
      </w:r>
      <w:r>
        <w:rPr>
          <w:spacing w:val="-1"/>
        </w:rPr>
        <w:t>万元，净资产</w:t>
      </w:r>
      <w:r>
        <w:rPr>
          <w:rFonts w:ascii="Times New Roman" w:hAnsi="Times New Roman" w:cs="Times New Roman" w:eastAsia="Times New Roman" w:hint="default"/>
          <w:spacing w:val="-1"/>
        </w:rPr>
        <w:t>722.99</w:t>
      </w:r>
      <w:r>
        <w:rPr>
          <w:spacing w:val="-1"/>
        </w:rPr>
        <w:t>万元。本报</w:t>
      </w:r>
      <w:r>
        <w:rPr/>
        <w:t> 告期，超图信息实现营业收入</w:t>
      </w:r>
      <w:r>
        <w:rPr>
          <w:rFonts w:ascii="Times New Roman" w:hAnsi="Times New Roman" w:cs="Times New Roman" w:eastAsia="Times New Roman" w:hint="default"/>
        </w:rPr>
        <w:t>1,158.51</w:t>
      </w:r>
      <w:r>
        <w:rPr/>
        <w:t>万元，营业利润</w:t>
      </w:r>
      <w:r>
        <w:rPr>
          <w:rFonts w:ascii="Times New Roman" w:hAnsi="Times New Roman" w:cs="Times New Roman" w:eastAsia="Times New Roman" w:hint="default"/>
        </w:rPr>
        <w:t>476.63</w:t>
      </w:r>
      <w:r>
        <w:rPr/>
        <w:t>万元，净利润</w:t>
      </w:r>
      <w:r>
        <w:rPr>
          <w:rFonts w:ascii="Times New Roman" w:hAnsi="Times New Roman" w:cs="Times New Roman" w:eastAsia="Times New Roman" w:hint="default"/>
        </w:rPr>
        <w:t>388.43</w:t>
      </w:r>
      <w:r>
        <w:rPr/>
        <w:t>万</w:t>
      </w:r>
      <w:r>
        <w:rPr>
          <w:spacing w:val="-75"/>
        </w:rPr>
        <w:t> </w:t>
      </w:r>
      <w:r>
        <w:rPr/>
        <w:t>元。</w:t>
      </w:r>
    </w:p>
    <w:p>
      <w:pPr>
        <w:pStyle w:val="BodyText"/>
        <w:spacing w:line="240" w:lineRule="auto" w:before="55"/>
        <w:ind w:left="620" w:right="0"/>
        <w:jc w:val="left"/>
      </w:pPr>
      <w:r>
        <w:rPr>
          <w:rFonts w:ascii="Times New Roman" w:hAnsi="Times New Roman" w:cs="Times New Roman" w:eastAsia="Times New Roman" w:hint="default"/>
        </w:rPr>
        <w:t>2</w:t>
      </w:r>
      <w:r>
        <w:rPr/>
        <w:t>）超图国际有限公司（香港</w:t>
      </w:r>
      <w:r>
        <w:rPr>
          <w:spacing w:val="-120"/>
        </w:rPr>
        <w:t>）</w:t>
      </w:r>
      <w:r>
        <w:rPr/>
        <w:t>（以下简称“超图国际</w:t>
      </w:r>
      <w:r>
        <w:rPr>
          <w:spacing w:val="-120"/>
        </w:rPr>
        <w:t>”</w:t>
      </w:r>
      <w:r>
        <w:rPr/>
        <w:t>）</w:t>
      </w:r>
    </w:p>
    <w:p>
      <w:pPr>
        <w:pStyle w:val="BodyText"/>
        <w:spacing w:line="348" w:lineRule="auto" w:before="135"/>
        <w:ind w:left="140" w:right="172" w:firstLine="479"/>
        <w:jc w:val="both"/>
      </w:pP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日，本公司在中国香港特别行政区注册成立超图国际，超图国际 </w:t>
      </w:r>
      <w:r>
        <w:rPr>
          <w:spacing w:val="-2"/>
        </w:rPr>
        <w:t>登记的总股本为</w:t>
      </w:r>
      <w:r>
        <w:rPr>
          <w:rFonts w:ascii="Times New Roman" w:hAnsi="Times New Roman" w:cs="Times New Roman" w:eastAsia="Times New Roman" w:hint="default"/>
          <w:spacing w:val="-2"/>
        </w:rPr>
        <w:t>4,000</w:t>
      </w:r>
      <w:r>
        <w:rPr>
          <w:spacing w:val="-2"/>
        </w:rPr>
        <w:t>股，已发行</w:t>
      </w:r>
      <w:r>
        <w:rPr>
          <w:rFonts w:ascii="Times New Roman" w:hAnsi="Times New Roman" w:cs="Times New Roman" w:eastAsia="Times New Roman" w:hint="default"/>
          <w:spacing w:val="-2"/>
        </w:rPr>
        <w:t>3,730</w:t>
      </w:r>
      <w:r>
        <w:rPr>
          <w:spacing w:val="-2"/>
        </w:rPr>
        <w:t>股，为本公司全资控股子公司。报告期内，为</w:t>
      </w:r>
      <w:r>
        <w:rPr>
          <w:spacing w:val="-107"/>
        </w:rPr>
        <w:t> </w:t>
      </w:r>
      <w:r>
        <w:rPr>
          <w:spacing w:val="-107"/>
        </w:rPr>
      </w:r>
      <w:r>
        <w:rPr/>
        <w:t>了进一步整合技术和服务资源，公司下属广州分公司同时负责超图国际香港、澳门</w:t>
      </w:r>
      <w:r>
        <w:rPr>
          <w:spacing w:val="-77"/>
        </w:rPr>
        <w:t> </w:t>
      </w:r>
      <w:r>
        <w:rPr>
          <w:spacing w:val="-77"/>
        </w:rPr>
      </w:r>
      <w:r>
        <w:rPr/>
        <w:t>市场拓展和服务。受国际市场经济危机的影响，报告期内超图国际业务发展遇到一</w:t>
      </w:r>
      <w:r>
        <w:rPr>
          <w:spacing w:val="-77"/>
        </w:rPr>
        <w:t> </w:t>
      </w:r>
      <w:r>
        <w:rPr>
          <w:spacing w:val="-77"/>
        </w:rPr>
      </w:r>
      <w:r>
        <w:rPr/>
        <w:t>定难度。</w:t>
      </w:r>
    </w:p>
    <w:p>
      <w:pPr>
        <w:pStyle w:val="BodyText"/>
        <w:spacing w:line="338" w:lineRule="auto" w:before="46"/>
        <w:ind w:left="140" w:right="169" w:firstLine="479"/>
        <w:jc w:val="both"/>
      </w:pPr>
      <w:r>
        <w:rPr>
          <w:spacing w:val="-2"/>
        </w:rPr>
        <w:t>截止</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日，超图国际总资产</w:t>
      </w:r>
      <w:r>
        <w:rPr>
          <w:rFonts w:ascii="Times New Roman" w:hAnsi="Times New Roman" w:cs="Times New Roman" w:eastAsia="Times New Roman" w:hint="default"/>
          <w:spacing w:val="-2"/>
        </w:rPr>
        <w:t>554.76</w:t>
      </w:r>
      <w:r>
        <w:rPr>
          <w:spacing w:val="-2"/>
        </w:rPr>
        <w:t>万元，净资产</w:t>
      </w:r>
      <w:r>
        <w:rPr>
          <w:rFonts w:ascii="Times New Roman" w:hAnsi="Times New Roman" w:cs="Times New Roman" w:eastAsia="Times New Roman" w:hint="default"/>
          <w:spacing w:val="-2"/>
        </w:rPr>
        <w:t>523.87</w:t>
      </w:r>
      <w:r>
        <w:rPr>
          <w:spacing w:val="-2"/>
        </w:rPr>
        <w:t>万元。本报告</w:t>
      </w:r>
      <w:r>
        <w:rPr/>
        <w:t> 期，超图国际实现营业收入</w:t>
      </w:r>
      <w:r>
        <w:rPr>
          <w:rFonts w:ascii="Times New Roman" w:hAnsi="Times New Roman" w:cs="Times New Roman" w:eastAsia="Times New Roman" w:hint="default"/>
        </w:rPr>
        <w:t>67.72</w:t>
      </w:r>
      <w:r>
        <w:rPr/>
        <w:t>万元，营业利润</w:t>
      </w:r>
      <w:r>
        <w:rPr>
          <w:rFonts w:ascii="Times New Roman" w:hAnsi="Times New Roman" w:cs="Times New Roman" w:eastAsia="Times New Roman" w:hint="default"/>
        </w:rPr>
        <w:t>5.59</w:t>
      </w:r>
      <w:r>
        <w:rPr/>
        <w:t>万元，净利润</w:t>
      </w:r>
      <w:r>
        <w:rPr>
          <w:rFonts w:ascii="Times New Roman" w:hAnsi="Times New Roman" w:cs="Times New Roman" w:eastAsia="Times New Roman" w:hint="default"/>
        </w:rPr>
        <w:t>5.59</w:t>
      </w:r>
      <w:r>
        <w:rPr/>
        <w:t>万元。</w:t>
      </w:r>
    </w:p>
    <w:p>
      <w:pPr>
        <w:pStyle w:val="BodyText"/>
        <w:spacing w:line="240" w:lineRule="auto" w:before="27"/>
        <w:ind w:left="620" w:right="0"/>
        <w:jc w:val="left"/>
      </w:pPr>
      <w:r>
        <w:rPr>
          <w:rFonts w:ascii="Times New Roman" w:hAnsi="Times New Roman" w:cs="Times New Roman" w:eastAsia="Times New Roman" w:hint="default"/>
        </w:rPr>
        <w:t>3</w:t>
      </w:r>
      <w:r>
        <w:rPr/>
        <w:t>）日本超图株式会社</w:t>
      </w:r>
    </w:p>
    <w:p>
      <w:pPr>
        <w:pStyle w:val="BodyText"/>
        <w:spacing w:line="338" w:lineRule="auto" w:before="135"/>
        <w:ind w:left="140" w:right="171" w:firstLine="479"/>
        <w:jc w:val="both"/>
      </w:pPr>
      <w:r>
        <w:rPr>
          <w:spacing w:val="5"/>
        </w:rPr>
        <w:t>公司于</w:t>
      </w: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11</w:t>
      </w:r>
      <w:r>
        <w:rPr>
          <w:spacing w:val="5"/>
        </w:rPr>
        <w:t>日以增资和股权收购的方式增持日本超图株式会社</w:t>
      </w:r>
      <w:r>
        <w:rPr>
          <w:rFonts w:ascii="Times New Roman" w:hAnsi="Times New Roman" w:cs="Times New Roman" w:eastAsia="Times New Roman" w:hint="default"/>
          <w:spacing w:val="5"/>
        </w:rPr>
        <w:t>19,400</w:t>
      </w:r>
      <w:r>
        <w:rPr>
          <w:rFonts w:ascii="Times New Roman" w:hAnsi="Times New Roman" w:cs="Times New Roman" w:eastAsia="Times New Roman" w:hint="default"/>
        </w:rPr>
        <w:t> </w:t>
      </w:r>
      <w:r>
        <w:rPr>
          <w:spacing w:val="6"/>
        </w:rPr>
        <w:t>股，股权比例为</w:t>
      </w:r>
      <w:r>
        <w:rPr>
          <w:rFonts w:ascii="Times New Roman" w:hAnsi="Times New Roman" w:cs="Times New Roman" w:eastAsia="Times New Roman" w:hint="default"/>
          <w:spacing w:val="6"/>
        </w:rPr>
        <w:t>36.60%</w:t>
      </w:r>
      <w:r>
        <w:rPr>
          <w:spacing w:val="6"/>
        </w:rPr>
        <w:t>股权，此外，公司通过公司全资控股子公司超图国际持有</w:t>
      </w:r>
      <w:r>
        <w:rPr>
          <w:spacing w:val="-96"/>
        </w:rPr>
        <w:t> </w:t>
      </w:r>
      <w:r>
        <w:rPr>
          <w:spacing w:val="-96"/>
        </w:rPr>
      </w:r>
      <w:r>
        <w:rPr>
          <w:rFonts w:ascii="Times New Roman" w:hAnsi="Times New Roman" w:cs="Times New Roman" w:eastAsia="Times New Roman" w:hint="default"/>
        </w:rPr>
        <w:t>15.09%</w:t>
      </w:r>
      <w:r>
        <w:rPr/>
        <w:t>股权。因此，公司通过直接和间接的方式共持有日本超图</w:t>
      </w:r>
      <w:r>
        <w:rPr>
          <w:rFonts w:ascii="Times New Roman" w:hAnsi="Times New Roman" w:cs="Times New Roman" w:eastAsia="Times New Roman" w:hint="default"/>
        </w:rPr>
        <w:t>51.69%</w:t>
      </w:r>
      <w:r>
        <w:rPr/>
        <w:t>的股权。</w:t>
      </w:r>
    </w:p>
    <w:p>
      <w:pPr>
        <w:pStyle w:val="BodyText"/>
        <w:spacing w:line="338" w:lineRule="auto" w:before="27"/>
        <w:ind w:left="140" w:right="174" w:firstLine="479"/>
        <w:jc w:val="both"/>
      </w:pPr>
      <w:r>
        <w:rPr>
          <w:spacing w:val="-2"/>
        </w:rPr>
        <w:t>日本超图株式会社成立于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25</w:t>
      </w:r>
      <w:r>
        <w:rPr>
          <w:spacing w:val="-2"/>
        </w:rPr>
        <w:t>日，注册资本为</w:t>
      </w:r>
      <w:r>
        <w:rPr>
          <w:rFonts w:ascii="Times New Roman" w:hAnsi="Times New Roman" w:cs="Times New Roman" w:eastAsia="Times New Roman" w:hint="default"/>
          <w:spacing w:val="-2"/>
        </w:rPr>
        <w:t>236,200,000</w:t>
      </w:r>
      <w:r>
        <w:rPr>
          <w:spacing w:val="-2"/>
        </w:rPr>
        <w:t>日元，主要从</w:t>
      </w:r>
      <w:r>
        <w:rPr/>
        <w:t> 事</w:t>
      </w:r>
      <w:r>
        <w:rPr>
          <w:rFonts w:ascii="Times New Roman" w:hAnsi="Times New Roman" w:cs="Times New Roman" w:eastAsia="Times New Roman" w:hint="default"/>
        </w:rPr>
        <w:t>SuperMap</w:t>
      </w:r>
      <w:r>
        <w:rPr>
          <w:rFonts w:ascii="Times New Roman" w:hAnsi="Times New Roman" w:cs="Times New Roman" w:eastAsia="Times New Roman" w:hint="default"/>
          <w:spacing w:val="-5"/>
        </w:rPr>
        <w:t> </w:t>
      </w:r>
      <w:r>
        <w:rPr>
          <w:rFonts w:ascii="Times New Roman" w:hAnsi="Times New Roman" w:cs="Times New Roman" w:eastAsia="Times New Roman" w:hint="default"/>
        </w:rPr>
        <w:t>GIS</w:t>
      </w:r>
      <w:r>
        <w:rPr/>
        <w:t>日文版的研发、销售和应用服务。</w:t>
      </w:r>
    </w:p>
    <w:p>
      <w:pPr>
        <w:pStyle w:val="BodyText"/>
        <w:spacing w:line="357" w:lineRule="auto" w:before="27"/>
        <w:ind w:left="140" w:right="167" w:firstLine="479"/>
        <w:jc w:val="both"/>
      </w:pPr>
      <w:r>
        <w:rPr/>
        <w:t>报告期内，日本超图经历了海啸、经济困难等影响，业务受到一定程度影响。 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日，日本超图总资产</w:t>
      </w:r>
      <w:r>
        <w:rPr>
          <w:rFonts w:ascii="Times New Roman" w:hAnsi="Times New Roman" w:cs="Times New Roman" w:eastAsia="Times New Roman" w:hint="default"/>
        </w:rPr>
        <w:t>6,564.35</w:t>
      </w:r>
      <w:r>
        <w:rPr/>
        <w:t>万元，净资产</w:t>
      </w:r>
      <w:r>
        <w:rPr>
          <w:rFonts w:ascii="Times New Roman" w:hAnsi="Times New Roman" w:cs="Times New Roman" w:eastAsia="Times New Roman" w:hint="default"/>
        </w:rPr>
        <w:t>4,288.58</w:t>
      </w:r>
      <w:r>
        <w:rPr/>
        <w:t>万元。本报告</w:t>
      </w:r>
    </w:p>
    <w:p>
      <w:pPr>
        <w:pStyle w:val="BodyText"/>
        <w:spacing w:line="240" w:lineRule="auto" w:before="5"/>
        <w:ind w:left="140" w:right="0"/>
        <w:jc w:val="left"/>
      </w:pPr>
      <w:r>
        <w:rPr/>
        <w:t>期，日本超图实现营业收入</w:t>
      </w:r>
      <w:r>
        <w:rPr>
          <w:rFonts w:ascii="Times New Roman" w:hAnsi="Times New Roman" w:cs="Times New Roman" w:eastAsia="Times New Roman" w:hint="default"/>
        </w:rPr>
        <w:t>1,873.72</w:t>
      </w:r>
      <w:r>
        <w:rPr/>
        <w:t>万元，营业利润</w:t>
      </w:r>
      <w:r>
        <w:rPr>
          <w:rFonts w:ascii="Times New Roman" w:hAnsi="Times New Roman" w:cs="Times New Roman" w:eastAsia="Times New Roman" w:hint="default"/>
        </w:rPr>
        <w:t>48.10</w:t>
      </w:r>
      <w:r>
        <w:rPr/>
        <w:t>万元，净利润</w:t>
      </w:r>
      <w:r>
        <w:rPr>
          <w:rFonts w:ascii="Times New Roman" w:hAnsi="Times New Roman" w:cs="Times New Roman" w:eastAsia="Times New Roman" w:hint="default"/>
        </w:rPr>
        <w:t>106.05</w:t>
      </w:r>
      <w:r>
        <w:rPr/>
        <w:t>万元。</w:t>
      </w:r>
    </w:p>
    <w:p>
      <w:pPr>
        <w:spacing w:after="0" w:line="240" w:lineRule="auto"/>
        <w:jc w:val="left"/>
        <w:sectPr>
          <w:pgSz w:w="11910" w:h="16840"/>
          <w:pgMar w:header="884" w:footer="1007" w:top="1140" w:bottom="1200" w:left="1660" w:right="1240"/>
        </w:sectPr>
      </w:pPr>
    </w:p>
    <w:p>
      <w:pPr>
        <w:spacing w:line="240" w:lineRule="auto" w:before="5"/>
        <w:rPr>
          <w:rFonts w:ascii="宋体" w:hAnsi="宋体" w:cs="宋体" w:eastAsia="宋体" w:hint="default"/>
          <w:sz w:val="23"/>
          <w:szCs w:val="23"/>
        </w:rPr>
      </w:pPr>
    </w:p>
    <w:p>
      <w:pPr>
        <w:pStyle w:val="Heading5"/>
        <w:spacing w:line="240" w:lineRule="auto" w:before="26"/>
        <w:ind w:left="140" w:right="0"/>
        <w:jc w:val="both"/>
        <w:rPr>
          <w:b w:val="0"/>
          <w:bCs w:val="0"/>
        </w:rPr>
      </w:pPr>
      <w:r>
        <w:rPr/>
        <w:t>（</w:t>
      </w:r>
      <w:r>
        <w:rPr>
          <w:rFonts w:ascii="Times New Roman" w:hAnsi="Times New Roman" w:cs="Times New Roman" w:eastAsia="Times New Roman" w:hint="default"/>
        </w:rPr>
        <w:t>16</w:t>
      </w:r>
      <w:r>
        <w:rPr/>
        <w:t>）公司控制的特殊目的主体的情况</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140" w:right="218" w:firstLine="479"/>
        <w:jc w:val="left"/>
      </w:pPr>
      <w:r>
        <w:rPr>
          <w:spacing w:val="-3"/>
        </w:rPr>
        <w:t>公司不存在《企业会计准则第</w:t>
      </w:r>
      <w:r>
        <w:rPr>
          <w:rFonts w:ascii="Times New Roman" w:hAnsi="Times New Roman" w:cs="Times New Roman" w:eastAsia="Times New Roman" w:hint="default"/>
          <w:spacing w:val="-3"/>
        </w:rPr>
        <w:t>33</w:t>
      </w:r>
      <w:r>
        <w:rPr>
          <w:rFonts w:ascii="Times New Roman" w:hAnsi="Times New Roman" w:cs="Times New Roman" w:eastAsia="Times New Roman" w:hint="default"/>
          <w:spacing w:val="34"/>
        </w:rPr>
        <w:t> </w:t>
      </w:r>
      <w:r>
        <w:rPr/>
        <w:t>号——合并财务报表》应用指南中所规定的特 殊目的主体。</w:t>
      </w:r>
    </w:p>
    <w:p>
      <w:pPr>
        <w:spacing w:line="240" w:lineRule="auto" w:before="5"/>
        <w:rPr>
          <w:rFonts w:ascii="宋体" w:hAnsi="宋体" w:cs="宋体" w:eastAsia="宋体" w:hint="default"/>
          <w:sz w:val="26"/>
          <w:szCs w:val="26"/>
        </w:rPr>
      </w:pPr>
    </w:p>
    <w:p>
      <w:pPr>
        <w:pStyle w:val="Heading3"/>
        <w:spacing w:line="240" w:lineRule="auto"/>
        <w:ind w:left="140" w:right="0"/>
        <w:jc w:val="both"/>
        <w:rPr>
          <w:b w:val="0"/>
          <w:bCs w:val="0"/>
        </w:rPr>
      </w:pPr>
      <w:bookmarkStart w:name="_TOC_250079" w:id="9"/>
      <w:r>
        <w:rPr/>
        <w:t>二、对公司未来发展的展望</w:t>
      </w:r>
      <w:bookmarkEnd w:id="9"/>
      <w:r>
        <w:rPr>
          <w:b w:val="0"/>
          <w:bCs w:val="0"/>
        </w:rPr>
      </w:r>
    </w:p>
    <w:p>
      <w:pPr>
        <w:spacing w:line="240" w:lineRule="auto" w:before="1"/>
        <w:rPr>
          <w:rFonts w:ascii="宋体" w:hAnsi="宋体" w:cs="宋体" w:eastAsia="宋体" w:hint="default"/>
          <w:b/>
          <w:bCs/>
          <w:sz w:val="39"/>
          <w:szCs w:val="39"/>
        </w:rPr>
      </w:pPr>
    </w:p>
    <w:p>
      <w:pPr>
        <w:pStyle w:val="Heading4"/>
        <w:spacing w:line="240" w:lineRule="auto"/>
        <w:ind w:left="140" w:right="0"/>
        <w:jc w:val="both"/>
        <w:rPr>
          <w:b w:val="0"/>
          <w:bCs w:val="0"/>
        </w:rPr>
      </w:pPr>
      <w:bookmarkStart w:name="_TOC_250078" w:id="10"/>
      <w:r>
        <w:rPr/>
        <w:t>（一）地理信息产业市场发展趋势和预测</w:t>
      </w:r>
      <w:bookmarkEnd w:id="10"/>
      <w:r>
        <w:rPr>
          <w:b w:val="0"/>
          <w:bCs w:val="0"/>
        </w:rPr>
      </w:r>
    </w:p>
    <w:p>
      <w:pPr>
        <w:spacing w:line="240" w:lineRule="auto" w:before="10"/>
        <w:rPr>
          <w:rFonts w:ascii="宋体" w:hAnsi="宋体" w:cs="宋体" w:eastAsia="宋体" w:hint="default"/>
          <w:b/>
          <w:bCs/>
          <w:sz w:val="35"/>
          <w:szCs w:val="35"/>
        </w:rPr>
      </w:pPr>
    </w:p>
    <w:p>
      <w:pPr>
        <w:pStyle w:val="BodyText"/>
        <w:spacing w:line="352" w:lineRule="auto"/>
        <w:ind w:left="140" w:right="100" w:firstLine="479"/>
        <w:jc w:val="left"/>
      </w:pPr>
      <w:r>
        <w:rPr/>
        <w:t>国家经济的快速发展以及国家政策的大力支持，极大的推动了信息化进程，地 </w:t>
      </w:r>
      <w:r>
        <w:rPr>
          <w:spacing w:val="-2"/>
        </w:rPr>
        <w:t>理信息产业得到了快速发展。随着网络技术、移动互联网技术飞速发展，未来几年，</w:t>
      </w:r>
      <w:r>
        <w:rPr>
          <w:spacing w:val="-117"/>
        </w:rPr>
        <w:t> </w:t>
      </w:r>
      <w:r>
        <w:rPr>
          <w:spacing w:val="-117"/>
        </w:rPr>
      </w:r>
      <w:r>
        <w:rPr/>
        <w:t>地理信息技术将从政府应用走向更广阔的企业应用市场、个人应用市场，地理信息 技术将融入智能交通、现代物流、物联网和个人</w:t>
      </w:r>
      <w:r>
        <w:rPr>
          <w:rFonts w:ascii="Times New Roman" w:hAnsi="Times New Roman" w:cs="Times New Roman" w:eastAsia="Times New Roman" w:hint="default"/>
        </w:rPr>
        <w:t>LBS</w:t>
      </w:r>
      <w:r>
        <w:rPr/>
        <w:t>等相关领域。未来几年，地理 信息产业的应用和技术发展趋势主要表现在以下方面：</w:t>
      </w:r>
    </w:p>
    <w:p>
      <w:pPr>
        <w:spacing w:line="240" w:lineRule="auto" w:before="7"/>
        <w:rPr>
          <w:rFonts w:ascii="宋体" w:hAnsi="宋体" w:cs="宋体" w:eastAsia="宋体" w:hint="default"/>
          <w:sz w:val="25"/>
          <w:szCs w:val="25"/>
        </w:rPr>
      </w:pPr>
    </w:p>
    <w:p>
      <w:pPr>
        <w:pStyle w:val="Heading5"/>
        <w:spacing w:line="240" w:lineRule="auto"/>
        <w:ind w:left="140" w:right="0"/>
        <w:jc w:val="both"/>
        <w:rPr>
          <w:b w:val="0"/>
          <w:bCs w:val="0"/>
        </w:rPr>
      </w:pPr>
      <w:r>
        <w:rPr>
          <w:rFonts w:ascii="Times New Roman" w:hAnsi="Times New Roman" w:cs="Times New Roman" w:eastAsia="Times New Roman" w:hint="default"/>
        </w:rPr>
        <w:t>1</w:t>
      </w:r>
      <w:r>
        <w:rPr/>
        <w:t>、市场需求将保持快速增长</w:t>
      </w:r>
      <w:r>
        <w:rPr>
          <w:b w:val="0"/>
          <w:bCs w:val="0"/>
        </w:rPr>
      </w:r>
    </w:p>
    <w:p>
      <w:pPr>
        <w:spacing w:line="240" w:lineRule="auto" w:before="4"/>
        <w:rPr>
          <w:rFonts w:ascii="宋体" w:hAnsi="宋体" w:cs="宋体" w:eastAsia="宋体" w:hint="default"/>
          <w:b/>
          <w:bCs/>
          <w:sz w:val="33"/>
          <w:szCs w:val="33"/>
        </w:rPr>
      </w:pPr>
    </w:p>
    <w:p>
      <w:pPr>
        <w:pStyle w:val="BodyText"/>
        <w:spacing w:line="348" w:lineRule="auto"/>
        <w:ind w:left="140" w:right="100" w:firstLine="479"/>
        <w:jc w:val="left"/>
      </w:pPr>
      <w:r>
        <w:rPr/>
        <w:t>我国自</w:t>
      </w:r>
      <w:r>
        <w:rPr>
          <w:rFonts w:ascii="Times New Roman" w:hAnsi="Times New Roman" w:cs="Times New Roman" w:eastAsia="Times New Roman" w:hint="default"/>
        </w:rPr>
        <w:t>80</w:t>
      </w:r>
      <w:r>
        <w:rPr/>
        <w:t>年代初期引入</w:t>
      </w:r>
      <w:r>
        <w:rPr>
          <w:rFonts w:ascii="Times New Roman" w:hAnsi="Times New Roman" w:cs="Times New Roman" w:eastAsia="Times New Roman" w:hint="default"/>
        </w:rPr>
        <w:t>GIS</w:t>
      </w:r>
      <w:r>
        <w:rPr/>
        <w:t>技术以来，在过去的</w:t>
      </w:r>
      <w:r>
        <w:rPr>
          <w:rFonts w:ascii="Times New Roman" w:hAnsi="Times New Roman" w:cs="Times New Roman" w:eastAsia="Times New Roman" w:hint="default"/>
        </w:rPr>
        <w:t>20</w:t>
      </w:r>
      <w:r>
        <w:rPr/>
        <w:t>多年里，我国</w:t>
      </w:r>
      <w:r>
        <w:rPr>
          <w:rFonts w:ascii="Times New Roman" w:hAnsi="Times New Roman" w:cs="Times New Roman" w:eastAsia="Times New Roman" w:hint="default"/>
        </w:rPr>
        <w:t>GIS</w:t>
      </w:r>
      <w:r>
        <w:rPr/>
        <w:t>技术产品和 服务主要以政府部门应用为主体。近年来，随着移动互联网技术的发展和成熟，电 子商务的快速增长、物联网等新技术的应用，空间地理信息将成为各个领域信息化 </w:t>
      </w:r>
      <w:r>
        <w:rPr>
          <w:spacing w:val="-2"/>
        </w:rPr>
        <w:t>的基础需求，基于地理信息建设各种行业</w:t>
      </w:r>
      <w:r>
        <w:rPr>
          <w:rFonts w:ascii="Times New Roman" w:hAnsi="Times New Roman" w:cs="Times New Roman" w:eastAsia="Times New Roman" w:hint="default"/>
          <w:spacing w:val="-2"/>
        </w:rPr>
        <w:t>IT</w:t>
      </w:r>
      <w:r>
        <w:rPr>
          <w:spacing w:val="-2"/>
        </w:rPr>
        <w:t>应用正在成为各个行业信息化建设趋势。</w:t>
      </w:r>
      <w:r>
        <w:rPr>
          <w:spacing w:val="-102"/>
        </w:rPr>
        <w:t> </w:t>
      </w:r>
      <w:r>
        <w:rPr>
          <w:spacing w:val="-102"/>
        </w:rPr>
      </w:r>
      <w:r>
        <w:rPr/>
        <w:t>未来几年，地理信息市场需求将有如下几个方面趋势：</w:t>
      </w:r>
    </w:p>
    <w:p>
      <w:pPr>
        <w:pStyle w:val="BodyText"/>
        <w:spacing w:line="338" w:lineRule="auto" w:before="46"/>
        <w:ind w:left="620" w:right="306"/>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地理信息技术将成为</w:t>
      </w:r>
      <w:r>
        <w:rPr>
          <w:rFonts w:ascii="Times New Roman" w:hAnsi="Times New Roman" w:cs="Times New Roman" w:eastAsia="Times New Roman" w:hint="default"/>
        </w:rPr>
        <w:t>IT</w:t>
      </w:r>
      <w:r>
        <w:rPr/>
        <w:t>基础性技术，被广泛应用 目前人们已经适应并逐渐开始寻求地理信息服务，智慧城市、物联网、</w:t>
      </w:r>
      <w:r>
        <w:rPr>
          <w:rFonts w:ascii="Times New Roman" w:hAnsi="Times New Roman" w:cs="Times New Roman" w:eastAsia="Times New Roman" w:hint="default"/>
        </w:rPr>
        <w:t>LBS</w:t>
      </w:r>
      <w:r>
        <w:rPr/>
        <w:t>等</w:t>
      </w:r>
    </w:p>
    <w:p>
      <w:pPr>
        <w:pStyle w:val="BodyText"/>
        <w:spacing w:line="240" w:lineRule="auto" w:before="27"/>
        <w:ind w:left="140" w:right="0"/>
        <w:jc w:val="both"/>
      </w:pPr>
      <w:r>
        <w:rPr/>
        <w:t>行业新兴商业模式的快速发展，地理信息应用将日趋成熟而逐渐进入快速发展期；</w:t>
      </w:r>
    </w:p>
    <w:p>
      <w:pPr>
        <w:pStyle w:val="BodyText"/>
        <w:spacing w:line="338" w:lineRule="auto" w:before="154"/>
        <w:ind w:left="620" w:right="227"/>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rFonts w:ascii="Times New Roman" w:hAnsi="Times New Roman" w:cs="Times New Roman" w:eastAsia="Times New Roman" w:hint="default"/>
        </w:rPr>
        <w:t>GIS</w:t>
      </w:r>
      <w:r>
        <w:rPr/>
        <w:t>基础平台软件面临本土替代的机遇 </w:t>
      </w:r>
      <w:r>
        <w:rPr>
          <w:rFonts w:ascii="Times New Roman" w:hAnsi="Times New Roman" w:cs="Times New Roman" w:eastAsia="Times New Roman" w:hint="default"/>
          <w:spacing w:val="-3"/>
          <w:w w:val="99"/>
        </w:rPr>
        <w:t>GIS</w:t>
      </w:r>
      <w:r>
        <w:rPr>
          <w:spacing w:val="-3"/>
          <w:w w:val="99"/>
        </w:rPr>
        <w:t>基础平台软件是构建地理信息应用和服务的支撑性软件，其存在的价值主要</w:t>
      </w:r>
    </w:p>
    <w:p>
      <w:pPr>
        <w:pStyle w:val="BodyText"/>
        <w:spacing w:line="357" w:lineRule="auto" w:before="27"/>
        <w:ind w:left="140" w:right="283"/>
        <w:jc w:val="both"/>
      </w:pPr>
      <w:r>
        <w:rPr/>
        <w:t>就是管理各类空间信息及基于空间信息基础之上的各类属性数据。由于地理信息数 据的特殊性，在一些涉及国家国防和社会经济安全的领域，本土厂商将分享更多的 市场份额并获得更多的政府重大信息化项目的机会。</w:t>
      </w:r>
    </w:p>
    <w:p>
      <w:pPr>
        <w:pStyle w:val="BodyText"/>
        <w:spacing w:line="240" w:lineRule="auto" w:before="36"/>
        <w:ind w:left="620" w:right="100"/>
        <w:jc w:val="left"/>
      </w:pPr>
      <w:r>
        <w:rPr>
          <w:rFonts w:ascii="Wingdings" w:hAnsi="Wingdings" w:cs="Wingdings" w:eastAsia="Wingdings" w:hint="default"/>
        </w:rPr>
        <w:t></w:t>
      </w:r>
      <w:r>
        <w:rPr>
          <w:rFonts w:ascii="Wingdings" w:hAnsi="Wingdings" w:cs="Wingdings" w:eastAsia="Wingdings" w:hint="default"/>
          <w:spacing w:val="-59"/>
        </w:rPr>
        <w:t></w:t>
      </w:r>
      <w:r>
        <w:rPr>
          <w:rFonts w:ascii="Times New Roman" w:hAnsi="Times New Roman" w:cs="Times New Roman" w:eastAsia="Times New Roman" w:hint="default"/>
          <w:spacing w:val="-59"/>
        </w:rPr>
      </w:r>
      <w:r>
        <w:rPr/>
        <w:t>地理信息共享平台将成为区域和行业信息化基础设施的重要组成部份</w:t>
      </w:r>
    </w:p>
    <w:p>
      <w:pPr>
        <w:spacing w:after="0" w:line="240" w:lineRule="auto"/>
        <w:jc w:val="left"/>
        <w:sectPr>
          <w:pgSz w:w="11910" w:h="16840"/>
          <w:pgMar w:header="884" w:footer="1007" w:top="1140" w:bottom="1200" w:left="1660" w:right="1180"/>
        </w:sectPr>
      </w:pPr>
    </w:p>
    <w:p>
      <w:pPr>
        <w:spacing w:line="240" w:lineRule="auto" w:before="6"/>
        <w:rPr>
          <w:rFonts w:ascii="宋体" w:hAnsi="宋体" w:cs="宋体" w:eastAsia="宋体" w:hint="default"/>
          <w:sz w:val="22"/>
          <w:szCs w:val="22"/>
        </w:rPr>
      </w:pPr>
    </w:p>
    <w:p>
      <w:pPr>
        <w:pStyle w:val="BodyText"/>
        <w:spacing w:line="352" w:lineRule="auto" w:before="26"/>
        <w:ind w:left="140" w:right="230" w:firstLine="479"/>
        <w:jc w:val="both"/>
      </w:pPr>
      <w:r>
        <w:rPr/>
        <w:t>随着区域或行业信息化建设的发展，出现了大量的信息孤岛，人们越来越意识 到新建的信息化项目，必须要解决跨部门、跨层级的信息共享和交互问题，尤其地 </w:t>
      </w:r>
      <w:r>
        <w:rPr>
          <w:spacing w:val="-1"/>
        </w:rPr>
        <w:t>理信息是任何一个行业</w:t>
      </w:r>
      <w:r>
        <w:rPr>
          <w:rFonts w:ascii="Times New Roman" w:hAnsi="Times New Roman" w:cs="Times New Roman" w:eastAsia="Times New Roman" w:hint="default"/>
          <w:spacing w:val="-1"/>
        </w:rPr>
        <w:t>/</w:t>
      </w:r>
      <w:r>
        <w:rPr>
          <w:spacing w:val="-1"/>
        </w:rPr>
        <w:t>区域的信息化通用部门，建立统一的地理信息平台，并基于</w:t>
      </w:r>
      <w:r>
        <w:rPr>
          <w:spacing w:val="-99"/>
        </w:rPr>
        <w:t> </w:t>
      </w:r>
      <w:r>
        <w:rPr>
          <w:spacing w:val="-99"/>
        </w:rPr>
      </w:r>
      <w:r>
        <w:rPr/>
        <w:t>该平台建设其他相关应用，能较好的解决信息匹配问题。此外，近年来随着互联网 技术的快速发展，为这些信息的共享和交互提供了技术保障。</w:t>
      </w:r>
    </w:p>
    <w:p>
      <w:pPr>
        <w:pStyle w:val="BodyText"/>
        <w:spacing w:line="338" w:lineRule="auto" w:before="41"/>
        <w:ind w:left="140" w:right="104" w:firstLine="479"/>
        <w:jc w:val="left"/>
      </w:pPr>
      <w:r>
        <w:rPr>
          <w:spacing w:val="-4"/>
        </w:rPr>
        <w:t>因此，在未来几年，会呈现行业</w:t>
      </w:r>
      <w:r>
        <w:rPr>
          <w:rFonts w:ascii="Times New Roman" w:hAnsi="Times New Roman" w:cs="Times New Roman" w:eastAsia="Times New Roman" w:hint="default"/>
          <w:spacing w:val="-4"/>
        </w:rPr>
        <w:t>/</w:t>
      </w:r>
      <w:r>
        <w:rPr>
          <w:spacing w:val="-4"/>
        </w:rPr>
        <w:t>区域建设各种形式的基础性地理信息共享平台，</w:t>
      </w:r>
      <w:r>
        <w:rPr/>
        <w:t> 以统一的空间信息作为底层数据层，各类信息叠加其上交互共享的应用趋势。</w:t>
      </w:r>
    </w:p>
    <w:p>
      <w:pPr>
        <w:pStyle w:val="BodyText"/>
        <w:spacing w:line="338" w:lineRule="auto" w:before="56"/>
        <w:ind w:left="620" w:right="319"/>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移动地理信息应用将成为市场需求的爆发点 近年来，随着移动互联网技术的发展，</w:t>
      </w:r>
      <w:r>
        <w:rPr>
          <w:rFonts w:ascii="Times New Roman" w:hAnsi="Times New Roman" w:cs="Times New Roman" w:eastAsia="Times New Roman" w:hint="default"/>
        </w:rPr>
        <w:t>iPhone</w:t>
      </w:r>
      <w:r>
        <w:rPr/>
        <w:t>等移动终端技术的快速发展和普</w:t>
      </w:r>
    </w:p>
    <w:p>
      <w:pPr>
        <w:pStyle w:val="BodyText"/>
        <w:spacing w:line="357" w:lineRule="auto" w:before="27"/>
        <w:ind w:left="140" w:right="100"/>
        <w:jc w:val="left"/>
      </w:pPr>
      <w:r>
        <w:rPr>
          <w:spacing w:val="-2"/>
        </w:rPr>
        <w:t>及应用，基于移动互联网技术架构下的地理信息应用，将成为未来发展的技术趋势。</w:t>
      </w:r>
      <w:r>
        <w:rPr>
          <w:spacing w:val="-118"/>
        </w:rPr>
        <w:t> </w:t>
      </w:r>
      <w:r>
        <w:rPr>
          <w:spacing w:val="-118"/>
        </w:rPr>
      </w:r>
      <w:r>
        <w:rPr/>
        <w:t>除了个人基本导航应用外，甚至一些行业应用也呈现出移动终端的专业地理信息应 用趋势，例如社会经济调查普查工作、数字城管工作等。</w:t>
      </w:r>
    </w:p>
    <w:p>
      <w:pPr>
        <w:pStyle w:val="BodyText"/>
        <w:spacing w:line="338" w:lineRule="auto" w:before="36"/>
        <w:ind w:left="620" w:right="266"/>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从关注技术到关注服务方式的应用趋势 地理信息是为解决资源与环境等全球性问题而发展起来的技术与产业，在过去</w:t>
      </w:r>
    </w:p>
    <w:p>
      <w:pPr>
        <w:pStyle w:val="BodyText"/>
        <w:spacing w:line="345" w:lineRule="auto" w:before="56"/>
        <w:ind w:left="140" w:right="232"/>
        <w:jc w:val="both"/>
      </w:pPr>
      <w:r>
        <w:rPr/>
        <w:t>的</w:t>
      </w:r>
      <w:r>
        <w:rPr>
          <w:rFonts w:ascii="Times New Roman" w:hAnsi="Times New Roman" w:cs="Times New Roman" w:eastAsia="Times New Roman" w:hint="default"/>
        </w:rPr>
        <w:t>30</w:t>
      </w:r>
      <w:r>
        <w:rPr/>
        <w:t>多年里，地理信息领域更多关注相关技术的创新，例如数据库技术、高级分析 模型等。随着这些基础性技术的成熟和完善，越来越多用户对技术本身不再关注， </w:t>
      </w:r>
      <w:r>
        <w:rPr>
          <w:spacing w:val="-3"/>
        </w:rPr>
        <w:t>而更关注软件本身给用户带来的实用价值和管理意义。因此，</w:t>
      </w:r>
      <w:r>
        <w:rPr>
          <w:rFonts w:ascii="Times New Roman" w:hAnsi="Times New Roman" w:cs="Times New Roman" w:eastAsia="Times New Roman" w:hint="default"/>
          <w:spacing w:val="-3"/>
        </w:rPr>
        <w:t>GIS</w:t>
      </w:r>
      <w:r>
        <w:rPr>
          <w:spacing w:val="-3"/>
        </w:rPr>
        <w:t>技术将越来越广泛</w:t>
      </w:r>
      <w:r>
        <w:rPr>
          <w:spacing w:val="-105"/>
        </w:rPr>
        <w:t> </w:t>
      </w:r>
      <w:r>
        <w:rPr>
          <w:spacing w:val="-105"/>
        </w:rPr>
      </w:r>
      <w:r>
        <w:rPr/>
        <w:t>地地融入具体的行业应用，给用户提供更具实用价值的计算成果或服务模式。</w:t>
      </w:r>
    </w:p>
    <w:p>
      <w:pPr>
        <w:pStyle w:val="BodyText"/>
        <w:spacing w:line="357" w:lineRule="auto" w:before="48"/>
        <w:ind w:left="140" w:right="97" w:firstLine="479"/>
        <w:jc w:val="left"/>
      </w:pPr>
      <w:r>
        <w:rPr>
          <w:spacing w:val="-2"/>
        </w:rPr>
        <w:t>上述这些应用趋势和技术发展趋势，将引导整个社会的地理信息技术需求上升，</w:t>
      </w:r>
      <w:r>
        <w:rPr/>
        <w:t> 为本土企业的发展提供了机遇。</w:t>
      </w:r>
    </w:p>
    <w:p>
      <w:pPr>
        <w:spacing w:line="240" w:lineRule="auto" w:before="2"/>
        <w:rPr>
          <w:rFonts w:ascii="宋体" w:hAnsi="宋体" w:cs="宋体" w:eastAsia="宋体" w:hint="default"/>
          <w:sz w:val="25"/>
          <w:szCs w:val="25"/>
        </w:rPr>
      </w:pPr>
    </w:p>
    <w:p>
      <w:pPr>
        <w:pStyle w:val="Heading5"/>
        <w:spacing w:line="240" w:lineRule="auto"/>
        <w:ind w:left="140" w:right="100"/>
        <w:jc w:val="left"/>
        <w:rPr>
          <w:b w:val="0"/>
          <w:bCs w:val="0"/>
        </w:rPr>
      </w:pPr>
      <w:r>
        <w:rPr>
          <w:rFonts w:ascii="Times New Roman" w:hAnsi="Times New Roman" w:cs="Times New Roman" w:eastAsia="Times New Roman" w:hint="default"/>
        </w:rPr>
        <w:t>2</w:t>
      </w:r>
      <w:r>
        <w:rPr/>
        <w:t>、产业规模不断扩大</w:t>
      </w:r>
      <w:r>
        <w:rPr>
          <w:b w:val="0"/>
          <w:bCs w:val="0"/>
        </w:rPr>
      </w:r>
    </w:p>
    <w:p>
      <w:pPr>
        <w:spacing w:line="240" w:lineRule="auto" w:before="2"/>
        <w:rPr>
          <w:rFonts w:ascii="宋体" w:hAnsi="宋体" w:cs="宋体" w:eastAsia="宋体" w:hint="default"/>
          <w:b/>
          <w:bCs/>
          <w:sz w:val="33"/>
          <w:szCs w:val="33"/>
        </w:rPr>
      </w:pPr>
    </w:p>
    <w:p>
      <w:pPr>
        <w:pStyle w:val="BodyText"/>
        <w:spacing w:line="345" w:lineRule="auto"/>
        <w:ind w:left="140" w:right="283" w:firstLine="479"/>
        <w:jc w:val="both"/>
      </w:pPr>
      <w:r>
        <w:rPr/>
        <w:t>近年来，我国地理信息产业保持了高速发展态势，根据国家测绘局的统计，我 国地理信息产业的年平均增长率超过</w:t>
      </w:r>
      <w:r>
        <w:rPr>
          <w:rFonts w:ascii="Times New Roman" w:hAnsi="Times New Roman" w:cs="Times New Roman" w:eastAsia="Times New Roman" w:hint="default"/>
        </w:rPr>
        <w:t>20%</w:t>
      </w:r>
      <w:r>
        <w:rPr/>
        <w:t>。地理信息产业的企业也不断壮大，并有 </w:t>
      </w:r>
      <w:r>
        <w:rPr>
          <w:rFonts w:ascii="Times New Roman" w:hAnsi="Times New Roman" w:cs="Times New Roman" w:eastAsia="Times New Roman" w:hint="default"/>
        </w:rPr>
        <w:t>10</w:t>
      </w:r>
      <w:r>
        <w:rPr/>
        <w:t>余家企业分别登陆中国</w:t>
      </w:r>
      <w:r>
        <w:rPr>
          <w:rFonts w:ascii="Times New Roman" w:hAnsi="Times New Roman" w:cs="Times New Roman" w:eastAsia="Times New Roman" w:hint="default"/>
        </w:rPr>
        <w:t>A</w:t>
      </w:r>
      <w:r>
        <w:rPr/>
        <w:t>股市场和海外资本市场，这些信息表明，地理信息产业 规模未来将不断扩大。我们预见，未来中国地理信息产业发展有如下趋势：</w:t>
      </w:r>
    </w:p>
    <w:p>
      <w:pPr>
        <w:pStyle w:val="BodyText"/>
        <w:spacing w:line="240" w:lineRule="auto" w:before="48"/>
        <w:ind w:left="620" w:right="100"/>
        <w:jc w:val="left"/>
      </w:pPr>
      <w:r>
        <w:rPr>
          <w:rFonts w:ascii="Wingdings" w:hAnsi="Wingdings" w:cs="Wingdings" w:eastAsia="Wingdings" w:hint="default"/>
        </w:rPr>
        <w:t></w:t>
      </w:r>
      <w:r>
        <w:rPr>
          <w:rFonts w:ascii="Wingdings" w:hAnsi="Wingdings" w:cs="Wingdings" w:eastAsia="Wingdings" w:hint="default"/>
          <w:spacing w:val="-59"/>
        </w:rPr>
        <w:t></w:t>
      </w:r>
      <w:r>
        <w:rPr>
          <w:rFonts w:ascii="Times New Roman" w:hAnsi="Times New Roman" w:cs="Times New Roman" w:eastAsia="Times New Roman" w:hint="default"/>
          <w:spacing w:val="-59"/>
        </w:rPr>
      </w:r>
      <w:r>
        <w:rPr/>
        <w:t>面向个人位置信息服务的新商业模式探索成功将撬动巨大的市场“蓝海”</w:t>
      </w:r>
    </w:p>
    <w:p>
      <w:pPr>
        <w:pStyle w:val="BodyText"/>
        <w:spacing w:line="240" w:lineRule="auto" w:before="137"/>
        <w:ind w:left="620" w:right="100"/>
        <w:jc w:val="left"/>
        <w:rPr>
          <w:rFonts w:ascii="Times New Roman" w:hAnsi="Times New Roman" w:cs="Times New Roman" w:eastAsia="Times New Roman" w:hint="default"/>
        </w:rPr>
      </w:pPr>
      <w:r>
        <w:rPr>
          <w:rFonts w:ascii="Times New Roman" w:hAnsi="Times New Roman" w:cs="Times New Roman" w:eastAsia="Times New Roman" w:hint="default"/>
        </w:rPr>
        <w:t>LBS</w:t>
      </w:r>
      <w:r>
        <w:rPr/>
        <w:t>服务是新兴的移动地理信息服务模式，</w:t>
      </w:r>
      <w:r>
        <w:rPr>
          <w:rFonts w:ascii="Times New Roman" w:hAnsi="Times New Roman" w:cs="Times New Roman" w:eastAsia="Times New Roman" w:hint="default"/>
        </w:rPr>
        <w:t>Foursquare</w:t>
      </w:r>
      <w:r>
        <w:rPr/>
        <w:t>的成功运营显示了</w:t>
      </w:r>
      <w:r>
        <w:rPr>
          <w:rFonts w:ascii="Times New Roman" w:hAnsi="Times New Roman" w:cs="Times New Roman" w:eastAsia="Times New Roman" w:hint="default"/>
        </w:rPr>
        <w:t>LBS+</w:t>
      </w:r>
    </w:p>
    <w:p>
      <w:pPr>
        <w:pStyle w:val="BodyText"/>
        <w:spacing w:line="240" w:lineRule="auto" w:before="136"/>
        <w:ind w:left="140" w:right="100"/>
        <w:jc w:val="left"/>
      </w:pPr>
      <w:r>
        <w:rPr/>
        <w:t>博客</w:t>
      </w:r>
      <w:r>
        <w:rPr>
          <w:rFonts w:ascii="Times New Roman" w:hAnsi="Times New Roman" w:cs="Times New Roman" w:eastAsia="Times New Roman" w:hint="default"/>
        </w:rPr>
        <w:t>+</w:t>
      </w:r>
      <w:r>
        <w:rPr/>
        <w:t>社区模式的广阔前景以及</w:t>
      </w:r>
      <w:r>
        <w:rPr>
          <w:rFonts w:ascii="Times New Roman" w:hAnsi="Times New Roman" w:cs="Times New Roman" w:eastAsia="Times New Roman" w:hint="default"/>
        </w:rPr>
        <w:t>LBS</w:t>
      </w:r>
      <w:r>
        <w:rPr/>
        <w:t>服务的旺盛生命力。我们预计，基于</w:t>
      </w:r>
      <w:r>
        <w:rPr>
          <w:rFonts w:ascii="Times New Roman" w:hAnsi="Times New Roman" w:cs="Times New Roman" w:eastAsia="Times New Roman" w:hint="default"/>
        </w:rPr>
        <w:t>LBS</w:t>
      </w:r>
      <w:r>
        <w:rPr/>
        <w:t>应用的</w:t>
      </w:r>
    </w:p>
    <w:p>
      <w:pPr>
        <w:spacing w:after="0" w:line="240" w:lineRule="auto"/>
        <w:jc w:val="left"/>
        <w:sectPr>
          <w:pgSz w:w="11910" w:h="16840"/>
          <w:pgMar w:header="884" w:footer="1007" w:top="1140" w:bottom="1200" w:left="1660" w:right="1180"/>
        </w:sectPr>
      </w:pPr>
    </w:p>
    <w:p>
      <w:pPr>
        <w:spacing w:line="240" w:lineRule="auto" w:before="6"/>
        <w:rPr>
          <w:rFonts w:ascii="宋体" w:hAnsi="宋体" w:cs="宋体" w:eastAsia="宋体" w:hint="default"/>
          <w:sz w:val="22"/>
          <w:szCs w:val="22"/>
        </w:rPr>
      </w:pPr>
    </w:p>
    <w:p>
      <w:pPr>
        <w:pStyle w:val="BodyText"/>
        <w:spacing w:line="357" w:lineRule="auto" w:before="26"/>
        <w:ind w:left="140" w:right="204"/>
        <w:jc w:val="both"/>
      </w:pPr>
      <w:r>
        <w:rPr/>
        <w:t>新兴商业模式将是未来地理信息服务的重要驱动力。但截止目前，国内外众多商家 的探索依然未取得实质性进展，商业模式的成功将成为激发这一巨大蓝海的最重要 因素。</w:t>
      </w:r>
    </w:p>
    <w:p>
      <w:pPr>
        <w:pStyle w:val="BodyText"/>
        <w:spacing w:line="338" w:lineRule="auto" w:before="36"/>
        <w:ind w:left="620" w:right="186"/>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物联网和云计算将带动地理信息领域的应用创新和产业的快速发展 物联网在我国方兴未艾，我国有关决策部门和产业界对此给予高度重视。物联</w:t>
      </w:r>
    </w:p>
    <w:p>
      <w:pPr>
        <w:pStyle w:val="BodyText"/>
        <w:spacing w:line="357" w:lineRule="auto" w:before="55"/>
        <w:ind w:left="140" w:right="202"/>
        <w:jc w:val="both"/>
      </w:pPr>
      <w:r>
        <w:rPr/>
        <w:t>网是通过地理信息系统、全球卫星定位技术、电子标签识别技术和移动通信技术， 让所有的物品都通过网络联系起来，服务社会。地理信息技术作为物联网中重要的 应用层技术，是其不可或缺的重要组成部分。随着下一代互联网、第三代移动通信 网络和宽带光纤接入网的建设，未来十年内物联网将大规模普及，物联网的兴起必 将为我国地理信息产业发展带来巨大需求，地理信息技术也将与物联网技术高度融 合，新地理信息时代将随之到来。</w:t>
      </w:r>
    </w:p>
    <w:p>
      <w:pPr>
        <w:pStyle w:val="BodyText"/>
        <w:spacing w:line="357" w:lineRule="auto" w:before="36"/>
        <w:ind w:left="140" w:right="186" w:firstLine="479"/>
        <w:jc w:val="left"/>
      </w:pPr>
      <w:r>
        <w:rPr/>
        <w:t>云计算代表着未来软件和应用服务的演变趋势，将改变地理信息系统软件和服 务模式，创新地理信息产业商业模式，为整个地理信息产业带来新的机遇与挑战。</w:t>
      </w:r>
    </w:p>
    <w:p>
      <w:pPr>
        <w:pStyle w:val="BodyText"/>
        <w:spacing w:line="340" w:lineRule="auto" w:before="36"/>
        <w:ind w:left="620" w:right="138"/>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国内高校充足的人力资源供给，保障了产业的持续快速发展 </w:t>
      </w:r>
      <w:r>
        <w:rPr>
          <w:spacing w:val="-2"/>
        </w:rPr>
        <w:t>我国是开设地理信息相关学科最多的国家，全国有超过</w:t>
      </w:r>
      <w:r>
        <w:rPr>
          <w:rFonts w:ascii="Times New Roman" w:hAnsi="Times New Roman" w:cs="Times New Roman" w:eastAsia="Times New Roman" w:hint="default"/>
          <w:spacing w:val="-2"/>
        </w:rPr>
        <w:t>200</w:t>
      </w:r>
      <w:r>
        <w:rPr>
          <w:spacing w:val="-2"/>
        </w:rPr>
        <w:t>家大专院校和科研院</w:t>
      </w:r>
    </w:p>
    <w:p>
      <w:pPr>
        <w:pStyle w:val="BodyText"/>
        <w:spacing w:line="348" w:lineRule="auto" w:before="24"/>
        <w:ind w:left="140" w:right="202"/>
        <w:jc w:val="both"/>
      </w:pPr>
      <w:r>
        <w:rPr/>
        <w:t>所开设相关专业，每年毕业的各级学历的应届毕业生接近</w:t>
      </w:r>
      <w:r>
        <w:rPr>
          <w:rFonts w:ascii="Times New Roman" w:hAnsi="Times New Roman" w:cs="Times New Roman" w:eastAsia="Times New Roman" w:hint="default"/>
        </w:rPr>
        <w:t>4</w:t>
      </w:r>
      <w:r>
        <w:rPr/>
        <w:t>、</w:t>
      </w:r>
      <w:r>
        <w:rPr>
          <w:rFonts w:ascii="Times New Roman" w:hAnsi="Times New Roman" w:cs="Times New Roman" w:eastAsia="Times New Roman" w:hint="default"/>
        </w:rPr>
        <w:t>5</w:t>
      </w:r>
      <w:r>
        <w:rPr/>
        <w:t>万。这种强大教育支 撑背景，为我国地理信息产业的快速发展提供了基本的人力资源保障，为产业的持 续发展奠定了基础。</w:t>
      </w:r>
    </w:p>
    <w:p>
      <w:pPr>
        <w:spacing w:line="240" w:lineRule="auto" w:before="1"/>
        <w:rPr>
          <w:rFonts w:ascii="宋体" w:hAnsi="宋体" w:cs="宋体" w:eastAsia="宋体" w:hint="default"/>
          <w:sz w:val="27"/>
          <w:szCs w:val="27"/>
        </w:rPr>
      </w:pPr>
    </w:p>
    <w:p>
      <w:pPr>
        <w:pStyle w:val="Heading4"/>
        <w:spacing w:line="240" w:lineRule="auto"/>
        <w:ind w:left="140" w:right="0"/>
        <w:jc w:val="both"/>
        <w:rPr>
          <w:b w:val="0"/>
          <w:bCs w:val="0"/>
        </w:rPr>
      </w:pPr>
      <w:bookmarkStart w:name="_TOC_250077" w:id="11"/>
      <w:r>
        <w:rPr/>
        <w:t>（二）公司面临的机遇和挑战</w:t>
      </w:r>
      <w:bookmarkEnd w:id="11"/>
      <w:r>
        <w:rPr>
          <w:b w:val="0"/>
          <w:bCs w:val="0"/>
        </w:rPr>
      </w:r>
    </w:p>
    <w:p>
      <w:pPr>
        <w:spacing w:line="750" w:lineRule="atLeast" w:before="83"/>
        <w:ind w:left="620" w:right="186"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、地理信息产业被列为我国十二五重点发展的战略新兴产业</w:t>
      </w:r>
      <w:r>
        <w:rPr>
          <w:rFonts w:ascii="宋体" w:hAnsi="宋体" w:cs="宋体" w:eastAsia="宋体" w:hint="default"/>
          <w:b/>
          <w:bCs/>
          <w:w w:val="99"/>
          <w:sz w:val="24"/>
          <w:szCs w:val="24"/>
        </w:rPr>
        <w:t> </w:t>
      </w:r>
      <w:r>
        <w:rPr>
          <w:rFonts w:ascii="宋体" w:hAnsi="宋体" w:cs="宋体" w:eastAsia="宋体" w:hint="default"/>
          <w:sz w:val="24"/>
          <w:szCs w:val="24"/>
        </w:rPr>
        <w:t>报告期内，国家测绘局发布了《测绘地理信息科技发展“十二五”规划》，北</w:t>
      </w:r>
    </w:p>
    <w:p>
      <w:pPr>
        <w:pStyle w:val="BodyText"/>
        <w:spacing w:line="357" w:lineRule="auto" w:before="154"/>
        <w:ind w:left="140" w:right="202"/>
        <w:jc w:val="both"/>
      </w:pPr>
      <w:r>
        <w:rPr/>
        <w:t>京、浙江等地方也陆续发布了地方测绘与地理信息服务十二五发展规划，可以预见 在十二五期间，地理信息系统作为一种基础性支撑技术，成为我国政府重点支持的 发展新兴产业。随着战略规划的逐步落地，国家将在地理信息领域给予包括研发资 金支持、税赋、产业化推进方面更为落地的措施。借助政策利好，可以预见，在未 来几年，公司将迎来一次重大机遇，</w:t>
      </w:r>
    </w:p>
    <w:p>
      <w:pPr>
        <w:spacing w:after="0" w:line="357" w:lineRule="auto"/>
        <w:jc w:val="both"/>
        <w:sectPr>
          <w:footerReference w:type="default" r:id="rId17"/>
          <w:pgSz w:w="11910" w:h="16840"/>
          <w:pgMar w:footer="1007" w:header="884" w:top="1140" w:bottom="1200" w:left="1660" w:right="1260"/>
        </w:sectPr>
      </w:pPr>
    </w:p>
    <w:p>
      <w:pPr>
        <w:spacing w:line="240" w:lineRule="auto" w:before="5"/>
        <w:rPr>
          <w:rFonts w:ascii="宋体" w:hAnsi="宋体" w:cs="宋体" w:eastAsia="宋体" w:hint="default"/>
          <w:sz w:val="23"/>
          <w:szCs w:val="23"/>
        </w:rPr>
      </w:pPr>
    </w:p>
    <w:p>
      <w:pPr>
        <w:pStyle w:val="Heading5"/>
        <w:spacing w:line="240" w:lineRule="auto" w:before="26"/>
        <w:ind w:left="140" w:right="100"/>
        <w:jc w:val="left"/>
        <w:rPr>
          <w:b w:val="0"/>
          <w:bCs w:val="0"/>
        </w:rPr>
      </w:pPr>
      <w:r>
        <w:rPr>
          <w:rFonts w:ascii="Times New Roman" w:hAnsi="Times New Roman" w:cs="Times New Roman" w:eastAsia="Times New Roman" w:hint="default"/>
        </w:rPr>
        <w:t>2</w:t>
      </w:r>
      <w:r>
        <w:rPr/>
        <w:t>、市场需求旺盛，对从业公司提出了更高要求</w:t>
      </w:r>
      <w:r>
        <w:rPr>
          <w:b w:val="0"/>
          <w:bCs w:val="0"/>
        </w:rPr>
      </w:r>
    </w:p>
    <w:p>
      <w:pPr>
        <w:spacing w:line="240" w:lineRule="auto" w:before="2"/>
        <w:rPr>
          <w:rFonts w:ascii="宋体" w:hAnsi="宋体" w:cs="宋体" w:eastAsia="宋体" w:hint="default"/>
          <w:b/>
          <w:bCs/>
          <w:sz w:val="33"/>
          <w:szCs w:val="33"/>
        </w:rPr>
      </w:pPr>
    </w:p>
    <w:p>
      <w:pPr>
        <w:pStyle w:val="BodyText"/>
        <w:spacing w:line="350" w:lineRule="auto"/>
        <w:ind w:left="140" w:right="100" w:firstLine="479"/>
        <w:jc w:val="left"/>
      </w:pPr>
      <w:r>
        <w:rPr>
          <w:spacing w:val="-3"/>
        </w:rPr>
        <w:t>随着地理信息应用的不断普及，市场需求将不断扩大，</w:t>
      </w:r>
      <w:r>
        <w:rPr>
          <w:rFonts w:ascii="Times New Roman" w:hAnsi="Times New Roman" w:cs="Times New Roman" w:eastAsia="Times New Roman" w:hint="default"/>
          <w:spacing w:val="-3"/>
        </w:rPr>
        <w:t>GIS</w:t>
      </w:r>
      <w:r>
        <w:rPr>
          <w:spacing w:val="-3"/>
        </w:rPr>
        <w:t>将越来越广泛地渗透</w:t>
      </w:r>
      <w:r>
        <w:rPr/>
        <w:t> </w:t>
      </w:r>
      <w:r>
        <w:rPr>
          <w:spacing w:val="-2"/>
        </w:rPr>
        <w:t>到各类行业信息化应用中。为了适应这种应用趋势，公司需要继续加大产品适应度、</w:t>
      </w:r>
      <w:r>
        <w:rPr>
          <w:spacing w:val="-118"/>
        </w:rPr>
        <w:t> </w:t>
      </w:r>
      <w:r>
        <w:rPr>
          <w:spacing w:val="-118"/>
        </w:rPr>
      </w:r>
      <w:r>
        <w:rPr/>
        <w:t>专业性、开放性相关技术的研发，需要引进行业专家深度挖掘行业需求特点、构建 </w:t>
      </w:r>
      <w:r>
        <w:rPr>
          <w:spacing w:val="-3"/>
        </w:rPr>
        <w:t>适应行业具体应用的</w:t>
      </w:r>
      <w:r>
        <w:rPr>
          <w:rFonts w:ascii="Times New Roman" w:hAnsi="Times New Roman" w:cs="Times New Roman" w:eastAsia="Times New Roman" w:hint="default"/>
          <w:spacing w:val="-3"/>
        </w:rPr>
        <w:t>GIS</w:t>
      </w:r>
      <w:r>
        <w:rPr>
          <w:spacing w:val="-3"/>
        </w:rPr>
        <w:t>应用和服务。此外，公司需要在提供行业整体解决方案方面</w:t>
      </w:r>
      <w:r>
        <w:rPr>
          <w:spacing w:val="-105"/>
        </w:rPr>
        <w:t> </w:t>
      </w:r>
      <w:r>
        <w:rPr>
          <w:spacing w:val="-105"/>
        </w:rPr>
      </w:r>
      <w:r>
        <w:rPr/>
        <w:t>深入研究，提高下游增值开发商、最终用户基于公司基础平台软件开发各类应用的 便捷性和成功率，促进更多行业增值开发商进入超图开发团队阵营，从而加速产品 的市场占有率。</w:t>
      </w:r>
    </w:p>
    <w:p>
      <w:pPr>
        <w:spacing w:line="768" w:lineRule="exact" w:before="2"/>
        <w:ind w:left="620" w:right="227"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、基于云</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GIS </w:t>
      </w:r>
      <w:r>
        <w:rPr>
          <w:rFonts w:ascii="宋体" w:hAnsi="宋体" w:cs="宋体" w:eastAsia="宋体" w:hint="default"/>
          <w:b/>
          <w:bCs/>
          <w:sz w:val="24"/>
          <w:szCs w:val="24"/>
        </w:rPr>
        <w:t>的地理信息在线增值服务将成为公司转型的希望</w:t>
      </w:r>
      <w:r>
        <w:rPr>
          <w:rFonts w:ascii="宋体" w:hAnsi="宋体" w:cs="宋体" w:eastAsia="宋体" w:hint="default"/>
          <w:b/>
          <w:bCs/>
          <w:w w:val="99"/>
          <w:sz w:val="24"/>
          <w:szCs w:val="24"/>
        </w:rPr>
        <w:t> </w:t>
      </w:r>
      <w:r>
        <w:rPr>
          <w:rFonts w:ascii="宋体" w:hAnsi="宋体" w:cs="宋体" w:eastAsia="宋体" w:hint="default"/>
          <w:spacing w:val="-3"/>
          <w:sz w:val="24"/>
          <w:szCs w:val="24"/>
        </w:rPr>
        <w:t>在报告期内，公司发布了云</w:t>
      </w:r>
      <w:r>
        <w:rPr>
          <w:rFonts w:ascii="Times New Roman" w:hAnsi="Times New Roman" w:cs="Times New Roman" w:eastAsia="Times New Roman" w:hint="default"/>
          <w:spacing w:val="-3"/>
          <w:sz w:val="24"/>
          <w:szCs w:val="24"/>
        </w:rPr>
        <w:t>GIS</w:t>
      </w:r>
      <w:r>
        <w:rPr>
          <w:rFonts w:ascii="宋体" w:hAnsi="宋体" w:cs="宋体" w:eastAsia="宋体" w:hint="default"/>
          <w:spacing w:val="-3"/>
          <w:sz w:val="24"/>
          <w:szCs w:val="24"/>
        </w:rPr>
        <w:t>开放平台，公司成立一个专业团队专门从事基于</w:t>
      </w:r>
    </w:p>
    <w:p>
      <w:pPr>
        <w:pStyle w:val="BodyText"/>
        <w:spacing w:line="345" w:lineRule="auto" w:before="34"/>
        <w:ind w:left="140" w:right="100"/>
        <w:jc w:val="left"/>
      </w:pPr>
      <w:r>
        <w:rPr>
          <w:spacing w:val="-3"/>
        </w:rPr>
        <w:t>云</w:t>
      </w:r>
      <w:r>
        <w:rPr>
          <w:rFonts w:ascii="Times New Roman" w:hAnsi="Times New Roman" w:cs="Times New Roman" w:eastAsia="Times New Roman" w:hint="default"/>
          <w:spacing w:val="-3"/>
        </w:rPr>
        <w:t>GIS</w:t>
      </w:r>
      <w:r>
        <w:rPr>
          <w:spacing w:val="-3"/>
        </w:rPr>
        <w:t>的行业增值服务业务的探索和相关产品的研发。此外，公司的研究所也主要结</w:t>
      </w:r>
      <w:r>
        <w:rPr>
          <w:spacing w:val="-106"/>
        </w:rPr>
        <w:t> </w:t>
      </w:r>
      <w:r>
        <w:rPr>
          <w:spacing w:val="-106"/>
        </w:rPr>
      </w:r>
      <w:r>
        <w:rPr/>
        <w:t>合云计算技术架构，对新业态模式等进行了相关探索。截止目前，公司基于云</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基础平台完成了面向物流行业位置信息公共服务平台，拟通过平台向众多的物流配 送企业提供在线的位置信息服务。</w:t>
      </w:r>
    </w:p>
    <w:p>
      <w:pPr>
        <w:pStyle w:val="BodyText"/>
        <w:spacing w:line="357" w:lineRule="auto" w:before="48"/>
        <w:ind w:left="140" w:right="283" w:firstLine="479"/>
        <w:jc w:val="both"/>
      </w:pPr>
      <w:r>
        <w:rPr/>
        <w:t>尽管公司的此类业务目前尚处于探索期，还有部份核心技术还需要进一步验证 和完善；这种商业模式也待系统正式上线后，留给市场进一步验证。但这种探索是 公司必须要做的一种挑战，一旦探索成功，公司将迎来一起真正的业务转型机遇。</w:t>
      </w:r>
    </w:p>
    <w:p>
      <w:pPr>
        <w:spacing w:line="240" w:lineRule="auto" w:before="5"/>
        <w:rPr>
          <w:rFonts w:ascii="宋体" w:hAnsi="宋体" w:cs="宋体" w:eastAsia="宋体" w:hint="default"/>
          <w:sz w:val="26"/>
          <w:szCs w:val="26"/>
        </w:rPr>
      </w:pPr>
    </w:p>
    <w:p>
      <w:pPr>
        <w:pStyle w:val="Heading4"/>
        <w:spacing w:line="240" w:lineRule="auto"/>
        <w:ind w:left="140" w:right="100"/>
        <w:jc w:val="left"/>
        <w:rPr>
          <w:b w:val="0"/>
          <w:bCs w:val="0"/>
        </w:rPr>
      </w:pPr>
      <w:bookmarkStart w:name="_TOC_250076" w:id="12"/>
      <w:r>
        <w:rPr/>
        <w:t>（三）公司未来发展战略规划及</w:t>
      </w:r>
      <w:r>
        <w:rPr>
          <w:spacing w:val="-7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年经营计划</w:t>
      </w:r>
      <w:bookmarkEnd w:id="12"/>
      <w:r>
        <w:rPr>
          <w:b w:val="0"/>
          <w:bCs w:val="0"/>
        </w:rPr>
      </w:r>
    </w:p>
    <w:p>
      <w:pPr>
        <w:spacing w:line="240" w:lineRule="auto" w:before="7"/>
        <w:rPr>
          <w:rFonts w:ascii="宋体" w:hAnsi="宋体" w:cs="宋体" w:eastAsia="宋体" w:hint="default"/>
          <w:b/>
          <w:bCs/>
          <w:sz w:val="36"/>
          <w:szCs w:val="36"/>
        </w:rPr>
      </w:pPr>
    </w:p>
    <w:p>
      <w:pPr>
        <w:pStyle w:val="Heading5"/>
        <w:spacing w:line="240" w:lineRule="auto"/>
        <w:ind w:left="140" w:right="100"/>
        <w:jc w:val="left"/>
        <w:rPr>
          <w:b w:val="0"/>
          <w:bCs w:val="0"/>
        </w:rPr>
      </w:pPr>
      <w:r>
        <w:rPr>
          <w:rFonts w:ascii="Times New Roman" w:hAnsi="Times New Roman" w:cs="Times New Roman" w:eastAsia="Times New Roman" w:hint="default"/>
        </w:rPr>
        <w:t>1</w:t>
      </w:r>
      <w:r>
        <w:rPr/>
        <w:t>、战略规划</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40" w:right="107" w:firstLine="479"/>
        <w:jc w:val="left"/>
      </w:pPr>
      <w:r>
        <w:rPr/>
        <w:t>企业宗旨为企业发展指明方向，确立企业存在于社会的价值。本公司的企业宗 </w:t>
      </w:r>
      <w:r>
        <w:rPr>
          <w:spacing w:val="-1"/>
        </w:rPr>
        <w:t>旨为“</w:t>
      </w:r>
      <w:r>
        <w:rPr>
          <w:rFonts w:ascii="Times New Roman" w:hAnsi="Times New Roman" w:cs="Times New Roman" w:eastAsia="Times New Roman" w:hint="default"/>
          <w:spacing w:val="-1"/>
        </w:rPr>
        <w:t>GIS</w:t>
      </w:r>
      <w:r>
        <w:rPr>
          <w:spacing w:val="-1"/>
        </w:rPr>
        <w:t>创造价值，我们创新</w:t>
      </w:r>
      <w:r>
        <w:rPr>
          <w:rFonts w:ascii="Times New Roman" w:hAnsi="Times New Roman" w:cs="Times New Roman" w:eastAsia="Times New Roman" w:hint="default"/>
          <w:spacing w:val="-1"/>
        </w:rPr>
        <w:t>GIS</w:t>
      </w:r>
      <w:r>
        <w:rPr>
          <w:spacing w:val="-1"/>
        </w:rPr>
        <w:t>”。公司的愿景是“成为国际领先的</w:t>
      </w:r>
      <w:r>
        <w:rPr>
          <w:rFonts w:ascii="Times New Roman" w:hAnsi="Times New Roman" w:cs="Times New Roman" w:eastAsia="Times New Roman" w:hint="default"/>
          <w:spacing w:val="-1"/>
        </w:rPr>
        <w:t>GIS</w:t>
      </w:r>
      <w:r>
        <w:rPr>
          <w:spacing w:val="-1"/>
        </w:rPr>
        <w:t>品牌”。</w:t>
      </w:r>
    </w:p>
    <w:p>
      <w:pPr>
        <w:pStyle w:val="BodyText"/>
        <w:spacing w:line="350" w:lineRule="auto" w:before="5"/>
        <w:ind w:left="140" w:right="282" w:firstLine="479"/>
        <w:jc w:val="both"/>
      </w:pPr>
      <w:r>
        <w:rPr/>
        <w:t>在国家将战略新兴产业作为“十二五”期间国家经济新的增长点的背景下，在 地理信息系统作为重要的基础软件和信息服务的共识下，可以预见，公司将在未来 几年迎来一个新的发展机遇。公司董事会和经营管理层一致认为，未来</w:t>
      </w:r>
      <w:r>
        <w:rPr>
          <w:rFonts w:ascii="Times New Roman" w:hAnsi="Times New Roman" w:cs="Times New Roman" w:eastAsia="Times New Roman" w:hint="default"/>
        </w:rPr>
        <w:t>3</w:t>
      </w:r>
      <w:r>
        <w:rPr/>
        <w:t>－</w:t>
      </w:r>
      <w:r>
        <w:rPr>
          <w:rFonts w:ascii="Times New Roman" w:hAnsi="Times New Roman" w:cs="Times New Roman" w:eastAsia="Times New Roman" w:hint="default"/>
        </w:rPr>
        <w:t>5</w:t>
      </w:r>
      <w:r>
        <w:rPr/>
        <w:t>年地理 信息产业市场将孕育很多机遇，公司将在保持现有核心平台软件技术优势、品牌优</w:t>
      </w:r>
    </w:p>
    <w:p>
      <w:pPr>
        <w:spacing w:after="0" w:line="350" w:lineRule="auto"/>
        <w:jc w:val="both"/>
        <w:sectPr>
          <w:footerReference w:type="default" r:id="rId18"/>
          <w:pgSz w:w="11910" w:h="16840"/>
          <w:pgMar w:footer="1007" w:header="884" w:top="1140" w:bottom="1200" w:left="1660" w:right="1180"/>
          <w:pgNumType w:start="31"/>
        </w:sectPr>
      </w:pPr>
    </w:p>
    <w:p>
      <w:pPr>
        <w:spacing w:line="240" w:lineRule="auto" w:before="6"/>
        <w:rPr>
          <w:rFonts w:ascii="宋体" w:hAnsi="宋体" w:cs="宋体" w:eastAsia="宋体" w:hint="default"/>
          <w:sz w:val="22"/>
          <w:szCs w:val="22"/>
        </w:rPr>
      </w:pPr>
    </w:p>
    <w:p>
      <w:pPr>
        <w:pStyle w:val="BodyText"/>
        <w:spacing w:line="357" w:lineRule="auto" w:before="26"/>
        <w:ind w:left="140" w:right="266"/>
        <w:jc w:val="left"/>
      </w:pPr>
      <w:r>
        <w:rPr/>
        <w:t>势的前提下，积极探索新的业务增长模式，加大技术创新、商业模式创新，努力将 公司发展成为国际领先的地理信息技术和服务的整体方案解决商。</w:t>
      </w:r>
    </w:p>
    <w:p>
      <w:pPr>
        <w:spacing w:line="240" w:lineRule="auto" w:before="2"/>
        <w:rPr>
          <w:rFonts w:ascii="宋体" w:hAnsi="宋体" w:cs="宋体" w:eastAsia="宋体" w:hint="default"/>
          <w:sz w:val="25"/>
          <w:szCs w:val="25"/>
        </w:rPr>
      </w:pPr>
    </w:p>
    <w:p>
      <w:pPr>
        <w:pStyle w:val="Heading5"/>
        <w:spacing w:line="240" w:lineRule="auto"/>
        <w:ind w:left="140" w:right="100"/>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年及未来三年的具体业务计划</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140" w:right="233" w:firstLine="479"/>
        <w:jc w:val="both"/>
      </w:pPr>
      <w:r>
        <w:rPr/>
        <w:t>公司将根据</w:t>
      </w:r>
      <w:r>
        <w:rPr>
          <w:rFonts w:ascii="Times New Roman" w:hAnsi="Times New Roman" w:cs="Times New Roman" w:eastAsia="Times New Roman" w:hint="default"/>
        </w:rPr>
        <w:t>IT</w:t>
      </w:r>
      <w:r>
        <w:rPr/>
        <w:t>主流技术的发展趋势和市场的需求变化积极开发新的产品、探索 新的业务模式，不断提升</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t>基础平台软件的技术竞争力和市场占有率， </w:t>
      </w:r>
      <w:r>
        <w:rPr>
          <w:spacing w:val="-3"/>
        </w:rPr>
        <w:t>并基于</w:t>
      </w:r>
      <w:r>
        <w:rPr>
          <w:rFonts w:ascii="Times New Roman" w:hAnsi="Times New Roman" w:cs="Times New Roman" w:eastAsia="Times New Roman" w:hint="default"/>
          <w:spacing w:val="-3"/>
        </w:rPr>
        <w:t>GIS</w:t>
      </w:r>
      <w:r>
        <w:rPr>
          <w:spacing w:val="-3"/>
        </w:rPr>
        <w:t>核心技术研发行业应用平台和开拓新的业务模式，开拓新的市场空间，提</w:t>
      </w:r>
      <w:r>
        <w:rPr>
          <w:spacing w:val="-106"/>
        </w:rPr>
        <w:t> </w:t>
      </w:r>
      <w:r>
        <w:rPr>
          <w:spacing w:val="-106"/>
        </w:rPr>
      </w:r>
      <w:r>
        <w:rPr/>
        <w:t>升公司品牌影响力和国际竞争力。公司的主要业务发展计划如下：</w:t>
      </w:r>
    </w:p>
    <w:p>
      <w:pPr>
        <w:spacing w:line="240" w:lineRule="auto" w:before="8"/>
        <w:rPr>
          <w:rFonts w:ascii="宋体" w:hAnsi="宋体" w:cs="宋体" w:eastAsia="宋体" w:hint="default"/>
          <w:sz w:val="26"/>
          <w:szCs w:val="26"/>
        </w:rPr>
      </w:pPr>
    </w:p>
    <w:p>
      <w:pPr>
        <w:pStyle w:val="Heading5"/>
        <w:spacing w:line="240" w:lineRule="auto"/>
        <w:ind w:left="140" w:right="100"/>
        <w:jc w:val="left"/>
        <w:rPr>
          <w:b w:val="0"/>
          <w:bCs w:val="0"/>
        </w:rPr>
      </w:pPr>
      <w:r>
        <w:rPr/>
        <w:t>（</w:t>
      </w:r>
      <w:r>
        <w:rPr>
          <w:rFonts w:ascii="Times New Roman" w:hAnsi="Times New Roman" w:cs="Times New Roman" w:eastAsia="Times New Roman" w:hint="default"/>
        </w:rPr>
        <w:t>1</w:t>
      </w:r>
      <w:r>
        <w:rPr/>
        <w:t>）产品研发与创新计划</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left="620" w:right="100"/>
        <w:jc w:val="left"/>
      </w:pPr>
      <w:r>
        <w:rPr>
          <w:rFonts w:ascii="Times New Roman" w:hAnsi="Times New Roman" w:cs="Times New Roman" w:eastAsia="Times New Roman" w:hint="default"/>
        </w:rPr>
        <w:t>2012</w:t>
      </w:r>
      <w:r>
        <w:rPr/>
        <w:t>年，公司将重点开展以下产品研发项目：</w:t>
      </w:r>
    </w:p>
    <w:p>
      <w:pPr>
        <w:pStyle w:val="ListParagraph"/>
        <w:numPr>
          <w:ilvl w:val="0"/>
          <w:numId w:val="1"/>
        </w:numPr>
        <w:tabs>
          <w:tab w:pos="981" w:val="left" w:leader="none"/>
        </w:tabs>
        <w:spacing w:line="338" w:lineRule="auto" w:before="135" w:after="0"/>
        <w:ind w:left="620" w:right="24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7C</w:t>
      </w:r>
      <w:r>
        <w:rPr>
          <w:rFonts w:ascii="宋体" w:hAnsi="宋体" w:cs="宋体" w:eastAsia="宋体" w:hint="default"/>
          <w:sz w:val="24"/>
          <w:szCs w:val="24"/>
        </w:rPr>
        <w:t>（</w:t>
      </w:r>
      <w:r>
        <w:rPr>
          <w:rFonts w:ascii="Times New Roman" w:hAnsi="Times New Roman" w:cs="Times New Roman" w:eastAsia="Times New Roman" w:hint="default"/>
          <w:sz w:val="24"/>
          <w:szCs w:val="24"/>
        </w:rPr>
        <w:t>SuperMap Cloud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7</w:t>
      </w:r>
      <w:r>
        <w:rPr>
          <w:rFonts w:ascii="宋体" w:hAnsi="宋体" w:cs="宋体" w:eastAsia="宋体" w:hint="default"/>
          <w:sz w:val="24"/>
          <w:szCs w:val="24"/>
        </w:rPr>
        <w:t>）系列产品的研发： </w:t>
      </w:r>
      <w:r>
        <w:rPr>
          <w:rFonts w:ascii="Times New Roman" w:hAnsi="Times New Roman" w:cs="Times New Roman" w:eastAsia="Times New Roman" w:hint="default"/>
          <w:sz w:val="24"/>
          <w:szCs w:val="24"/>
        </w:rPr>
        <w:t>7C</w:t>
      </w:r>
      <w:r>
        <w:rPr>
          <w:rFonts w:ascii="宋体" w:hAnsi="宋体" w:cs="宋体" w:eastAsia="宋体" w:hint="default"/>
          <w:sz w:val="24"/>
          <w:szCs w:val="24"/>
        </w:rPr>
        <w:t>系列产品即强云富端产品，该产品系列将为用户搭建各类公有云、私有云和</w:t>
      </w:r>
    </w:p>
    <w:p>
      <w:pPr>
        <w:pStyle w:val="BodyText"/>
        <w:spacing w:line="338" w:lineRule="auto" w:before="27"/>
        <w:ind w:left="140" w:right="226"/>
        <w:jc w:val="left"/>
      </w:pPr>
      <w:r>
        <w:rPr/>
        <w:t>地理信息移动互联网应用提供基础开发平台产品。此外，结合</w:t>
      </w:r>
      <w:r>
        <w:rPr>
          <w:rFonts w:ascii="Times New Roman" w:hAnsi="Times New Roman" w:cs="Times New Roman" w:eastAsia="Times New Roman" w:hint="default"/>
        </w:rPr>
        <w:t>7C</w:t>
      </w:r>
      <w:r>
        <w:rPr/>
        <w:t>系列产品，公司将 研究各类云</w:t>
      </w:r>
      <w:r>
        <w:rPr>
          <w:rFonts w:ascii="Times New Roman" w:hAnsi="Times New Roman" w:cs="Times New Roman" w:eastAsia="Times New Roman" w:hint="default"/>
        </w:rPr>
        <w:t>GIS</w:t>
      </w:r>
      <w:r>
        <w:rPr/>
        <w:t>整体解决方案，提高云</w:t>
      </w:r>
      <w:r>
        <w:rPr>
          <w:rFonts w:ascii="Times New Roman" w:hAnsi="Times New Roman" w:cs="Times New Roman" w:eastAsia="Times New Roman" w:hint="default"/>
        </w:rPr>
        <w:t>GIS</w:t>
      </w:r>
      <w:r>
        <w:rPr/>
        <w:t>技术的普及应用。</w:t>
      </w:r>
    </w:p>
    <w:p>
      <w:pPr>
        <w:pStyle w:val="BodyText"/>
        <w:spacing w:line="338" w:lineRule="auto" w:before="27"/>
        <w:ind w:left="620" w:right="10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行业共享平台产品的研发： </w:t>
      </w:r>
      <w:r>
        <w:rPr>
          <w:spacing w:val="-3"/>
        </w:rPr>
        <w:t>在区域共享平台软件研发的基础上，公司将结合在国土资源管理、统计、房产、</w:t>
      </w:r>
    </w:p>
    <w:p>
      <w:pPr>
        <w:pStyle w:val="BodyText"/>
        <w:spacing w:line="357" w:lineRule="auto" w:before="55"/>
        <w:ind w:left="140" w:right="266"/>
        <w:jc w:val="left"/>
      </w:pPr>
      <w:r>
        <w:rPr/>
        <w:t>水利、气象和环保等领域应用工程经验，研发面向服务的行业地理信息共享平台， 抢占行业信息化顶层建设环节。</w:t>
      </w:r>
    </w:p>
    <w:p>
      <w:pPr>
        <w:pStyle w:val="BodyText"/>
        <w:spacing w:line="338" w:lineRule="auto" w:before="36"/>
        <w:ind w:left="620" w:right="266"/>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基于云</w:t>
      </w:r>
      <w:r>
        <w:rPr>
          <w:rFonts w:ascii="Times New Roman" w:hAnsi="Times New Roman" w:cs="Times New Roman" w:eastAsia="Times New Roman" w:hint="default"/>
        </w:rPr>
        <w:t>GIS</w:t>
      </w:r>
      <w:r>
        <w:rPr/>
        <w:t>公共平台研发行业应用服务产品 在新业务领域，公司将与有关企业合作，研发基于基础地理信息平台的行业应</w:t>
      </w:r>
    </w:p>
    <w:p>
      <w:pPr>
        <w:pStyle w:val="BodyText"/>
        <w:spacing w:line="348" w:lineRule="auto" w:before="56"/>
        <w:ind w:left="140" w:right="100"/>
        <w:jc w:val="left"/>
      </w:pPr>
      <w:r>
        <w:rPr/>
        <w:t>用服务类产品，</w:t>
      </w:r>
      <w:r>
        <w:rPr>
          <w:rFonts w:ascii="Times New Roman" w:hAnsi="Times New Roman" w:cs="Times New Roman" w:eastAsia="Times New Roman" w:hint="default"/>
        </w:rPr>
        <w:t>2012</w:t>
      </w:r>
      <w:r>
        <w:rPr/>
        <w:t>年度，公司将完成“面向物流行业的地理信息公共服务平台” 的上线，力争为该行业规模客户提供在线的智能物流空间信息服务，实现新业务从 </w:t>
      </w:r>
      <w:r>
        <w:rPr>
          <w:spacing w:val="-6"/>
        </w:rPr>
        <w:t>“无”到“有”。此外，公司还将继续丰富云</w:t>
      </w:r>
      <w:r>
        <w:rPr>
          <w:rFonts w:ascii="Times New Roman" w:hAnsi="Times New Roman" w:cs="Times New Roman" w:eastAsia="Times New Roman" w:hint="default"/>
          <w:spacing w:val="-6"/>
        </w:rPr>
        <w:t>GIS</w:t>
      </w:r>
      <w:r>
        <w:rPr>
          <w:spacing w:val="-6"/>
        </w:rPr>
        <w:t>平台的数据资源和提高接口性能等。</w:t>
      </w:r>
    </w:p>
    <w:p>
      <w:pPr>
        <w:pStyle w:val="BodyText"/>
        <w:spacing w:line="240" w:lineRule="auto" w:before="16"/>
        <w:ind w:left="620" w:right="100"/>
        <w:jc w:val="left"/>
      </w:pPr>
      <w:r>
        <w:rPr>
          <w:rFonts w:ascii="Wingdings" w:hAnsi="Wingdings" w:cs="Wingdings" w:eastAsia="Wingdings" w:hint="default"/>
        </w:rPr>
        <w:t></w:t>
      </w:r>
      <w:r>
        <w:rPr>
          <w:rFonts w:ascii="Wingdings" w:hAnsi="Wingdings" w:cs="Wingdings" w:eastAsia="Wingdings" w:hint="default"/>
          <w:spacing w:val="-60"/>
        </w:rPr>
        <w:t></w:t>
      </w:r>
      <w:r>
        <w:rPr>
          <w:rFonts w:ascii="Times New Roman" w:hAnsi="Times New Roman" w:cs="Times New Roman" w:eastAsia="Times New Roman" w:hint="default"/>
          <w:spacing w:val="-60"/>
        </w:rPr>
      </w:r>
      <w:r>
        <w:rPr/>
        <w:t>其他产品和技术研究项目</w:t>
      </w:r>
    </w:p>
    <w:p>
      <w:pPr>
        <w:pStyle w:val="BodyText"/>
        <w:spacing w:line="338" w:lineRule="auto" w:before="137"/>
        <w:ind w:left="140" w:right="229" w:firstLine="479"/>
        <w:jc w:val="both"/>
      </w:pPr>
      <w:r>
        <w:rPr>
          <w:rFonts w:ascii="Times New Roman" w:hAnsi="Times New Roman" w:cs="Times New Roman" w:eastAsia="Times New Roman" w:hint="default"/>
        </w:rPr>
        <w:t>2012</w:t>
      </w:r>
      <w:r>
        <w:rPr/>
        <w:t>年度，公司还将积极承担和参与有关技术标准和服务标准的研究与制定， 并在研究所继续探索面向个人的位置信息服务新模式。</w:t>
      </w:r>
    </w:p>
    <w:p>
      <w:pPr>
        <w:spacing w:after="0" w:line="338" w:lineRule="auto"/>
        <w:jc w:val="both"/>
        <w:sectPr>
          <w:pgSz w:w="11910" w:h="16840"/>
          <w:pgMar w:header="884" w:footer="1007" w:top="1140" w:bottom="1200" w:left="1660" w:right="1180"/>
        </w:sectPr>
      </w:pPr>
    </w:p>
    <w:p>
      <w:pPr>
        <w:spacing w:line="240" w:lineRule="auto" w:before="5"/>
        <w:rPr>
          <w:rFonts w:ascii="宋体" w:hAnsi="宋体" w:cs="宋体" w:eastAsia="宋体" w:hint="default"/>
          <w:sz w:val="23"/>
          <w:szCs w:val="23"/>
        </w:rPr>
      </w:pPr>
    </w:p>
    <w:p>
      <w:pPr>
        <w:pStyle w:val="Heading5"/>
        <w:spacing w:line="240" w:lineRule="auto" w:before="26"/>
        <w:ind w:left="140" w:right="0"/>
        <w:jc w:val="both"/>
        <w:rPr>
          <w:b w:val="0"/>
          <w:bCs w:val="0"/>
        </w:rPr>
      </w:pPr>
      <w:r>
        <w:rPr/>
        <w:t>（</w:t>
      </w:r>
      <w:r>
        <w:rPr>
          <w:rFonts w:ascii="Times New Roman" w:hAnsi="Times New Roman" w:cs="Times New Roman" w:eastAsia="Times New Roman" w:hint="default"/>
        </w:rPr>
        <w:t>2</w:t>
      </w:r>
      <w:r>
        <w:rPr/>
        <w:t>）客户与市场开发计划</w:t>
      </w:r>
      <w:r>
        <w:rPr>
          <w:b w:val="0"/>
          <w:bCs w:val="0"/>
        </w:rPr>
      </w:r>
    </w:p>
    <w:p>
      <w:pPr>
        <w:spacing w:line="240" w:lineRule="auto" w:before="2"/>
        <w:rPr>
          <w:rFonts w:ascii="宋体" w:hAnsi="宋体" w:cs="宋体" w:eastAsia="宋体" w:hint="default"/>
          <w:b/>
          <w:bCs/>
          <w:sz w:val="33"/>
          <w:szCs w:val="33"/>
        </w:rPr>
      </w:pPr>
    </w:p>
    <w:p>
      <w:pPr>
        <w:pStyle w:val="BodyText"/>
        <w:spacing w:line="357" w:lineRule="auto"/>
        <w:ind w:left="140" w:right="100" w:firstLine="479"/>
        <w:jc w:val="left"/>
      </w:pPr>
      <w:r>
        <w:rPr>
          <w:spacing w:val="-3"/>
        </w:rPr>
        <w:t>为适应日趋激烈的市场竞争，公司将进一步加强全国营销体系建设、健全科学、</w:t>
      </w:r>
      <w:r>
        <w:rPr/>
        <w:t> 合理的市场营销服务体系和考核机制、制定合理的市场拓展计划。</w:t>
      </w:r>
    </w:p>
    <w:p>
      <w:pPr>
        <w:spacing w:line="338" w:lineRule="auto" w:before="36"/>
        <w:ind w:left="620" w:right="10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）增强矩阵营销建设，提高业务群组之间的共享</w:t>
      </w:r>
      <w:r>
        <w:rPr>
          <w:rFonts w:ascii="宋体" w:hAnsi="宋体" w:cs="宋体" w:eastAsia="宋体" w:hint="default"/>
          <w:b/>
          <w:bCs/>
          <w:w w:val="99"/>
          <w:sz w:val="24"/>
          <w:szCs w:val="24"/>
        </w:rPr>
        <w:t> </w:t>
      </w:r>
      <w:r>
        <w:rPr>
          <w:rFonts w:ascii="宋体" w:hAnsi="宋体" w:cs="宋体" w:eastAsia="宋体" w:hint="default"/>
          <w:sz w:val="24"/>
          <w:szCs w:val="24"/>
        </w:rPr>
        <w:t>报告期内，公司对行业与区域营销网络进行了资源配置优化。经过一年的架构</w:t>
      </w:r>
    </w:p>
    <w:p>
      <w:pPr>
        <w:pStyle w:val="BodyText"/>
        <w:spacing w:line="350" w:lineRule="auto" w:before="55"/>
        <w:ind w:left="140" w:right="231"/>
        <w:jc w:val="both"/>
      </w:pPr>
      <w:r>
        <w:rPr/>
        <w:t>梳理和业务协作探索，公司发现了一些问题。为了尽快大幅提高公司的营销服务能</w:t>
      </w:r>
      <w:r>
        <w:rPr>
          <w:spacing w:val="-73"/>
        </w:rPr>
        <w:t> </w:t>
      </w:r>
      <w:r>
        <w:rPr>
          <w:spacing w:val="-73"/>
        </w:rPr>
      </w:r>
      <w:r>
        <w:rPr/>
        <w:t>力，</w:t>
      </w:r>
      <w:r>
        <w:rPr>
          <w:rFonts w:ascii="Times New Roman" w:hAnsi="Times New Roman" w:cs="Times New Roman" w:eastAsia="Times New Roman" w:hint="default"/>
        </w:rPr>
        <w:t>2012</w:t>
      </w:r>
      <w:r>
        <w:rPr>
          <w:rFonts w:ascii="Times New Roman" w:hAnsi="Times New Roman" w:cs="Times New Roman" w:eastAsia="Times New Roman" w:hint="default"/>
          <w:spacing w:val="-11"/>
        </w:rPr>
        <w:t> </w:t>
      </w:r>
      <w:r>
        <w:rPr/>
        <w:t>年度，公司将进一步增强矩阵营销网络建设，将总部平台软件事业部、各 专业事业部作为行业解决方案和各类平台产品的提供方，各区域分公司、办事处作</w:t>
      </w:r>
      <w:r>
        <w:rPr>
          <w:spacing w:val="-77"/>
        </w:rPr>
        <w:t> </w:t>
      </w:r>
      <w:r>
        <w:rPr>
          <w:spacing w:val="-77"/>
        </w:rPr>
      </w:r>
      <w:r>
        <w:rPr/>
        <w:t>为上述产品的销售机构，所有专业事业部同时在一些重要的区域派出技术服务团队</w:t>
      </w:r>
      <w:r>
        <w:rPr>
          <w:spacing w:val="-75"/>
        </w:rPr>
        <w:t> </w:t>
      </w:r>
      <w:r>
        <w:rPr>
          <w:spacing w:val="-75"/>
        </w:rPr>
      </w:r>
      <w:r>
        <w:rPr/>
        <w:t>和营销人员，以加强区域行业市场的开拓。为了配合实现强矩阵营销服务管理，公</w:t>
      </w:r>
      <w:r>
        <w:rPr>
          <w:spacing w:val="-77"/>
        </w:rPr>
        <w:t> </w:t>
      </w:r>
      <w:r>
        <w:rPr>
          <w:spacing w:val="-77"/>
        </w:rPr>
      </w:r>
      <w:r>
        <w:rPr/>
        <w:t>司在</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spacing w:val="-3"/>
        </w:rPr>
        <w:t>年度将通过建立有效的业务协作管理制度和绩效考核方式，促进公司资源</w:t>
      </w:r>
      <w:r>
        <w:rPr>
          <w:spacing w:val="-118"/>
        </w:rPr>
        <w:t> </w:t>
      </w:r>
      <w:r>
        <w:rPr>
          <w:spacing w:val="-118"/>
        </w:rPr>
      </w:r>
      <w:r>
        <w:rPr/>
        <w:t>跨部门、跨业务群组的高度深度整合和共享。</w:t>
      </w:r>
    </w:p>
    <w:p>
      <w:pPr>
        <w:spacing w:line="338" w:lineRule="auto" w:before="43"/>
        <w:ind w:left="620" w:right="100"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）品牌建设与发展</w:t>
      </w:r>
      <w:r>
        <w:rPr>
          <w:rFonts w:ascii="宋体" w:hAnsi="宋体" w:cs="宋体" w:eastAsia="宋体" w:hint="default"/>
          <w:b/>
          <w:bCs/>
          <w:w w:val="99"/>
          <w:sz w:val="24"/>
          <w:szCs w:val="24"/>
        </w:rPr>
        <w:t> </w:t>
      </w:r>
      <w:r>
        <w:rPr>
          <w:rFonts w:ascii="宋体" w:hAnsi="宋体" w:cs="宋体" w:eastAsia="宋体" w:hint="default"/>
          <w:sz w:val="24"/>
          <w:szCs w:val="24"/>
        </w:rPr>
        <w:t>市场活动方面，公司拟在</w:t>
      </w:r>
      <w:r>
        <w:rPr>
          <w:rFonts w:ascii="Times New Roman" w:hAnsi="Times New Roman" w:cs="Times New Roman" w:eastAsia="Times New Roman" w:hint="default"/>
          <w:sz w:val="24"/>
          <w:szCs w:val="24"/>
        </w:rPr>
        <w:t>2012</w:t>
      </w:r>
      <w:r>
        <w:rPr>
          <w:rFonts w:ascii="宋体" w:hAnsi="宋体" w:cs="宋体" w:eastAsia="宋体" w:hint="default"/>
          <w:sz w:val="24"/>
          <w:szCs w:val="24"/>
        </w:rPr>
        <w:t>年在</w:t>
      </w:r>
      <w:r>
        <w:rPr>
          <w:rFonts w:ascii="Times New Roman" w:hAnsi="Times New Roman" w:cs="Times New Roman" w:eastAsia="Times New Roman" w:hint="default"/>
          <w:sz w:val="24"/>
          <w:szCs w:val="24"/>
        </w:rPr>
        <w:t>10</w:t>
      </w:r>
      <w:r>
        <w:rPr>
          <w:rFonts w:ascii="宋体" w:hAnsi="宋体" w:cs="宋体" w:eastAsia="宋体" w:hint="default"/>
          <w:sz w:val="24"/>
          <w:szCs w:val="24"/>
        </w:rPr>
        <w:t>个城市举办巡展，着力推广“云计算、二</w:t>
      </w:r>
    </w:p>
    <w:p>
      <w:pPr>
        <w:pStyle w:val="BodyText"/>
        <w:spacing w:line="350" w:lineRule="auto" w:before="27"/>
        <w:ind w:left="140" w:right="230"/>
        <w:jc w:val="both"/>
      </w:pPr>
      <w:r>
        <w:rPr/>
        <w:t>三维一体化和共享平台”这几个技术主题，增强公司新技术和新产品的技术推广和</w:t>
      </w:r>
      <w:r>
        <w:rPr>
          <w:spacing w:val="-74"/>
        </w:rPr>
        <w:t> </w:t>
      </w:r>
      <w:r>
        <w:rPr>
          <w:spacing w:val="-74"/>
        </w:rPr>
      </w:r>
      <w:r>
        <w:rPr/>
        <w:t>示范案例建设。同时，公司将继续加大年轻人才的培养，继续举办第九届“全国大</w:t>
      </w:r>
      <w:r>
        <w:rPr>
          <w:spacing w:val="-73"/>
        </w:rPr>
        <w:t> </w:t>
      </w:r>
      <w:r>
        <w:rPr>
          <w:spacing w:val="-73"/>
        </w:rPr>
      </w:r>
      <w:r>
        <w:rPr>
          <w:spacing w:val="-3"/>
        </w:rPr>
        <w:t>学生</w:t>
      </w:r>
      <w:r>
        <w:rPr>
          <w:rFonts w:ascii="Times New Roman" w:hAnsi="Times New Roman" w:cs="Times New Roman" w:eastAsia="Times New Roman" w:hint="default"/>
          <w:spacing w:val="-3"/>
        </w:rPr>
        <w:t>GIS</w:t>
      </w:r>
      <w:r>
        <w:rPr>
          <w:spacing w:val="-3"/>
        </w:rPr>
        <w:t>开发大赛”，并积极参加国内外相关行业展会和专题会议等市场活动，全面</w:t>
      </w:r>
      <w:r>
        <w:rPr>
          <w:spacing w:val="-108"/>
        </w:rPr>
        <w:t> </w:t>
      </w:r>
      <w:r>
        <w:rPr>
          <w:spacing w:val="-108"/>
        </w:rPr>
      </w:r>
      <w:r>
        <w:rPr/>
        <w:t>提公司品牌形象，提高公司的品牌的知名度和美誉度，增强企业市场竞争力。</w:t>
      </w:r>
    </w:p>
    <w:p>
      <w:pPr>
        <w:pStyle w:val="BodyText"/>
        <w:spacing w:line="357" w:lineRule="auto" w:before="43"/>
        <w:ind w:left="140" w:right="100" w:firstLine="479"/>
        <w:jc w:val="left"/>
      </w:pPr>
      <w:r>
        <w:rPr/>
        <w:t>此外，公司将进一步加大国际市场开发力度，特别是亚洲市场、欧洲市场的销 售网络建设，发展有实力的代理商和增值开发商。</w:t>
      </w:r>
    </w:p>
    <w:p>
      <w:pPr>
        <w:spacing w:line="240" w:lineRule="auto" w:before="3"/>
        <w:rPr>
          <w:rFonts w:ascii="宋体" w:hAnsi="宋体" w:cs="宋体" w:eastAsia="宋体" w:hint="default"/>
          <w:sz w:val="25"/>
          <w:szCs w:val="25"/>
        </w:rPr>
      </w:pPr>
    </w:p>
    <w:p>
      <w:pPr>
        <w:pStyle w:val="Heading5"/>
        <w:spacing w:line="240" w:lineRule="auto"/>
        <w:ind w:left="140" w:right="0"/>
        <w:jc w:val="both"/>
        <w:rPr>
          <w:b w:val="0"/>
          <w:bCs w:val="0"/>
        </w:rPr>
      </w:pPr>
      <w:r>
        <w:rPr/>
        <w:t>（</w:t>
      </w:r>
      <w:r>
        <w:rPr>
          <w:rFonts w:ascii="Times New Roman" w:hAnsi="Times New Roman" w:cs="Times New Roman" w:eastAsia="Times New Roman" w:hint="default"/>
        </w:rPr>
        <w:t>3</w:t>
      </w:r>
      <w:r>
        <w:rPr/>
        <w:t>）管理提升计划</w:t>
      </w:r>
      <w:r>
        <w:rPr>
          <w:b w:val="0"/>
          <w:bCs w:val="0"/>
        </w:rPr>
      </w:r>
    </w:p>
    <w:p>
      <w:pPr>
        <w:spacing w:line="240" w:lineRule="auto" w:before="4"/>
        <w:rPr>
          <w:rFonts w:ascii="宋体" w:hAnsi="宋体" w:cs="宋体" w:eastAsia="宋体" w:hint="default"/>
          <w:b/>
          <w:bCs/>
          <w:sz w:val="33"/>
          <w:szCs w:val="33"/>
        </w:rPr>
      </w:pPr>
    </w:p>
    <w:p>
      <w:pPr>
        <w:pStyle w:val="BodyText"/>
        <w:spacing w:line="348" w:lineRule="auto"/>
        <w:ind w:left="140" w:right="232" w:firstLine="479"/>
        <w:jc w:val="both"/>
      </w:pPr>
      <w:r>
        <w:rPr/>
        <w:t>面对快速增长的业务及快速增长的团队，公司的管理面对巨大的压力。为了确 </w:t>
      </w:r>
      <w:r>
        <w:rPr>
          <w:spacing w:val="-3"/>
        </w:rPr>
        <w:t>保公司的长期持续发展和短期经济利益的协调，公司在</w:t>
      </w:r>
      <w:r>
        <w:rPr>
          <w:spacing w:val="-60"/>
        </w:rPr>
        <w:t> </w:t>
      </w:r>
      <w:r>
        <w:rPr>
          <w:rFonts w:ascii="Times New Roman" w:hAnsi="Times New Roman" w:cs="Times New Roman" w:eastAsia="Times New Roman" w:hint="default"/>
        </w:rPr>
        <w:t>2012 </w:t>
      </w:r>
      <w:r>
        <w:rPr/>
        <w:t>年度将着力进行管理提 升行动计划，具体包括：</w:t>
      </w:r>
    </w:p>
    <w:p>
      <w:pPr>
        <w:pStyle w:val="Heading5"/>
        <w:spacing w:line="240" w:lineRule="auto" w:before="46"/>
        <w:ind w:left="622" w:right="100"/>
        <w:jc w:val="left"/>
        <w:rPr>
          <w:b w:val="0"/>
          <w:bCs w:val="0"/>
        </w:rPr>
      </w:pPr>
      <w:r>
        <w:rPr>
          <w:rFonts w:ascii="Times New Roman" w:hAnsi="Times New Roman" w:cs="Times New Roman" w:eastAsia="Times New Roman" w:hint="default"/>
        </w:rPr>
        <w:t>1</w:t>
      </w:r>
      <w:r>
        <w:rPr/>
        <w:t>）控编增效行动</w:t>
      </w:r>
      <w:r>
        <w:rPr>
          <w:b w:val="0"/>
          <w:bCs w:val="0"/>
        </w:rPr>
      </w:r>
    </w:p>
    <w:p>
      <w:pPr>
        <w:pStyle w:val="BodyText"/>
        <w:spacing w:line="348" w:lineRule="auto" w:before="135"/>
        <w:ind w:left="140" w:right="99" w:firstLine="479"/>
        <w:jc w:val="left"/>
      </w:pPr>
      <w:r>
        <w:rPr>
          <w:rFonts w:ascii="Times New Roman" w:hAnsi="Times New Roman" w:cs="Times New Roman" w:eastAsia="Times New Roman" w:hint="default"/>
        </w:rPr>
        <w:t>2012 </w:t>
      </w:r>
      <w:r>
        <w:rPr>
          <w:spacing w:val="-4"/>
        </w:rPr>
        <w:t>年度，公司人力资源管理部将对全公司各级各类岗位的岗位职责进行梳理，</w:t>
      </w:r>
      <w:r>
        <w:rPr/>
        <w:t> 减去一些不必要的岗位设置，合并一些相似岗位编制，结合不同部门的业务规划和</w:t>
      </w:r>
      <w:r>
        <w:rPr>
          <w:spacing w:val="-77"/>
        </w:rPr>
        <w:t> </w:t>
      </w:r>
      <w:r>
        <w:rPr>
          <w:spacing w:val="-77"/>
        </w:rPr>
      </w:r>
      <w:r>
        <w:rPr/>
        <w:t>考核任务，核定人员编制，有效控制人员增长。</w:t>
      </w:r>
    </w:p>
    <w:p>
      <w:pPr>
        <w:spacing w:after="0" w:line="348" w:lineRule="auto"/>
        <w:jc w:val="left"/>
        <w:sectPr>
          <w:pgSz w:w="11910" w:h="16840"/>
          <w:pgMar w:header="884" w:footer="1007" w:top="1140" w:bottom="1200" w:left="1660" w:right="1180"/>
        </w:sectPr>
      </w:pPr>
    </w:p>
    <w:p>
      <w:pPr>
        <w:spacing w:line="240" w:lineRule="auto" w:before="6"/>
        <w:rPr>
          <w:rFonts w:ascii="宋体" w:hAnsi="宋体" w:cs="宋体" w:eastAsia="宋体" w:hint="default"/>
          <w:sz w:val="22"/>
          <w:szCs w:val="22"/>
        </w:rPr>
      </w:pPr>
    </w:p>
    <w:p>
      <w:pPr>
        <w:pStyle w:val="BodyText"/>
        <w:spacing w:line="357" w:lineRule="auto" w:before="26"/>
        <w:ind w:left="140" w:right="233" w:firstLine="479"/>
        <w:jc w:val="both"/>
      </w:pPr>
      <w:r>
        <w:rPr/>
        <w:t>此外，为了提高技术团队的员工稳定性，有效控制成本，公司将配合成都技术 中心和西安技术中心的建设，逐步实现项目实施团队向这两个区域迁移，逐步实现</w:t>
      </w:r>
      <w:r>
        <w:rPr>
          <w:spacing w:val="-77"/>
        </w:rPr>
        <w:t> </w:t>
      </w:r>
      <w:r>
        <w:rPr>
          <w:spacing w:val="-77"/>
        </w:rPr>
      </w:r>
      <w:r>
        <w:rPr/>
        <w:t>人员本地化招聘和工作。</w:t>
      </w:r>
    </w:p>
    <w:p>
      <w:pPr>
        <w:pStyle w:val="BodyText"/>
        <w:spacing w:line="338" w:lineRule="auto" w:before="36"/>
        <w:ind w:left="620" w:right="216" w:firstLine="2"/>
        <w:jc w:val="left"/>
      </w:pPr>
      <w:r>
        <w:rPr>
          <w:rFonts w:ascii="Times New Roman" w:hAnsi="Times New Roman" w:cs="Times New Roman" w:eastAsia="Times New Roman" w:hint="default"/>
          <w:b/>
          <w:bCs/>
        </w:rPr>
        <w:t>2</w:t>
      </w:r>
      <w:r>
        <w:rPr>
          <w:rFonts w:ascii="宋体" w:hAnsi="宋体" w:cs="宋体" w:eastAsia="宋体" w:hint="default"/>
          <w:b/>
          <w:bCs/>
        </w:rPr>
        <w:t>）计划执行行动</w:t>
      </w:r>
      <w:r>
        <w:rPr>
          <w:rFonts w:ascii="宋体" w:hAnsi="宋体" w:cs="宋体" w:eastAsia="宋体" w:hint="default"/>
          <w:b/>
          <w:bCs/>
          <w:w w:val="99"/>
        </w:rPr>
        <w:t> </w:t>
      </w:r>
      <w:r>
        <w:rPr>
          <w:spacing w:val="-3"/>
        </w:rPr>
        <w:t>面对人员的大幅增长，提高全员的工作效率和执行力将成为公司</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年管理提</w:t>
      </w:r>
    </w:p>
    <w:p>
      <w:pPr>
        <w:pStyle w:val="BodyText"/>
        <w:spacing w:line="357" w:lineRule="auto" w:before="27"/>
        <w:ind w:left="140" w:right="231"/>
        <w:jc w:val="both"/>
      </w:pPr>
      <w:r>
        <w:rPr/>
        <w:t>升计划中的重要任务。公司将加强全员计划和执行管理，针对全公司所有人员建立</w:t>
      </w:r>
      <w:r>
        <w:rPr>
          <w:spacing w:val="-74"/>
        </w:rPr>
        <w:t> </w:t>
      </w:r>
      <w:r>
        <w:rPr>
          <w:spacing w:val="-74"/>
        </w:rPr>
      </w:r>
      <w:r>
        <w:rPr/>
        <w:t>计划执行和检查机制，并将计划与执行作为全员的绩效考核重要任务，提高员工工</w:t>
      </w:r>
      <w:r>
        <w:rPr>
          <w:spacing w:val="-75"/>
        </w:rPr>
        <w:t> </w:t>
      </w:r>
      <w:r>
        <w:rPr>
          <w:spacing w:val="-75"/>
        </w:rPr>
      </w:r>
      <w:r>
        <w:rPr/>
        <w:t>作有效性，提升管理效益。</w:t>
      </w:r>
    </w:p>
    <w:p>
      <w:pPr>
        <w:pStyle w:val="Heading5"/>
        <w:spacing w:line="240" w:lineRule="auto" w:before="36"/>
        <w:ind w:left="622" w:right="100"/>
        <w:jc w:val="left"/>
        <w:rPr>
          <w:b w:val="0"/>
          <w:bCs w:val="0"/>
        </w:rPr>
      </w:pPr>
      <w:r>
        <w:rPr>
          <w:rFonts w:ascii="Times New Roman" w:hAnsi="Times New Roman" w:cs="Times New Roman" w:eastAsia="Times New Roman" w:hint="default"/>
        </w:rPr>
        <w:t>3</w:t>
      </w:r>
      <w:r>
        <w:rPr/>
        <w:t>）预算控制行动</w:t>
      </w:r>
      <w:r>
        <w:rPr>
          <w:b w:val="0"/>
          <w:bCs w:val="0"/>
        </w:rPr>
      </w:r>
    </w:p>
    <w:p>
      <w:pPr>
        <w:pStyle w:val="BodyText"/>
        <w:spacing w:line="240" w:lineRule="auto" w:before="135"/>
        <w:ind w:left="620" w:right="100"/>
        <w:jc w:val="left"/>
      </w:pPr>
      <w:r>
        <w:rPr>
          <w:rFonts w:ascii="Times New Roman" w:hAnsi="Times New Roman" w:cs="Times New Roman" w:eastAsia="Times New Roman" w:hint="default"/>
        </w:rPr>
        <w:t>2012</w:t>
      </w:r>
      <w:r>
        <w:rPr/>
        <w:t>年度，公司将加强全面预算管理和预算控制，提高公司效益。</w:t>
      </w:r>
    </w:p>
    <w:p>
      <w:pPr>
        <w:spacing w:line="240" w:lineRule="auto" w:before="10"/>
        <w:rPr>
          <w:rFonts w:ascii="宋体" w:hAnsi="宋体" w:cs="宋体" w:eastAsia="宋体" w:hint="default"/>
          <w:sz w:val="32"/>
          <w:szCs w:val="32"/>
        </w:rPr>
      </w:pPr>
    </w:p>
    <w:p>
      <w:pPr>
        <w:pStyle w:val="Heading5"/>
        <w:spacing w:line="240" w:lineRule="auto"/>
        <w:ind w:left="140" w:right="0"/>
        <w:jc w:val="both"/>
        <w:rPr>
          <w:b w:val="0"/>
          <w:bCs w:val="0"/>
        </w:rPr>
      </w:pPr>
      <w:r>
        <w:rPr/>
        <w:t>（</w:t>
      </w:r>
      <w:r>
        <w:rPr>
          <w:rFonts w:ascii="Times New Roman" w:hAnsi="Times New Roman" w:cs="Times New Roman" w:eastAsia="Times New Roman" w:hint="default"/>
        </w:rPr>
        <w:t>4</w:t>
      </w:r>
      <w:r>
        <w:rPr/>
        <w:t>）募投项目和超募资金使用</w:t>
      </w:r>
      <w:r>
        <w:rPr>
          <w:b w:val="0"/>
          <w:bCs w:val="0"/>
        </w:rPr>
      </w:r>
    </w:p>
    <w:p>
      <w:pPr>
        <w:spacing w:line="240" w:lineRule="auto" w:before="2"/>
        <w:rPr>
          <w:rFonts w:ascii="宋体" w:hAnsi="宋体" w:cs="宋体" w:eastAsia="宋体" w:hint="default"/>
          <w:b/>
          <w:bCs/>
          <w:sz w:val="33"/>
          <w:szCs w:val="33"/>
        </w:rPr>
      </w:pPr>
    </w:p>
    <w:p>
      <w:pPr>
        <w:pStyle w:val="BodyText"/>
        <w:spacing w:line="348" w:lineRule="auto"/>
        <w:ind w:left="140" w:right="227" w:firstLine="479"/>
        <w:jc w:val="both"/>
      </w:pPr>
      <w:r>
        <w:rPr/>
        <w:t>公司将进一步加募投项目管理。目前，公司的两个募集资金项目已基本结束， </w:t>
      </w:r>
      <w:r>
        <w:rPr>
          <w:spacing w:val="-3"/>
          <w:w w:val="99"/>
        </w:rPr>
        <w:t>相关产品已经按计划进入市场推广阶段，部份产品已经被应用于一些大型</w:t>
      </w:r>
      <w:r>
        <w:rPr>
          <w:rFonts w:ascii="Times New Roman" w:hAnsi="Times New Roman" w:cs="Times New Roman" w:eastAsia="Times New Roman" w:hint="default"/>
          <w:spacing w:val="-3"/>
          <w:w w:val="99"/>
        </w:rPr>
        <w:t>GIS</w:t>
      </w:r>
      <w:r>
        <w:rPr>
          <w:spacing w:val="-3"/>
          <w:w w:val="99"/>
        </w:rPr>
        <w:t>工程项</w:t>
      </w:r>
      <w:r>
        <w:rPr>
          <w:spacing w:val="-105"/>
          <w:w w:val="99"/>
        </w:rPr>
        <w:t> </w:t>
      </w:r>
      <w:r>
        <w:rPr/>
        <w:t>目中，产生了较好的经济效益和社会效益。本次募投项目的实施，大大促进了公司</w:t>
      </w:r>
      <w:r>
        <w:rPr>
          <w:spacing w:val="-70"/>
        </w:rPr>
        <w:t> </w:t>
      </w:r>
      <w:r>
        <w:rPr>
          <w:spacing w:val="-70"/>
        </w:rPr>
      </w:r>
      <w:r>
        <w:rPr>
          <w:spacing w:val="-3"/>
        </w:rPr>
        <w:t>的技术提升和产品升级，巩固和强化了公司在</w:t>
      </w:r>
      <w:r>
        <w:rPr>
          <w:rFonts w:ascii="Times New Roman" w:hAnsi="Times New Roman" w:cs="Times New Roman" w:eastAsia="Times New Roman" w:hint="default"/>
          <w:spacing w:val="-3"/>
        </w:rPr>
        <w:t>GIS</w:t>
      </w:r>
      <w:r>
        <w:rPr>
          <w:spacing w:val="-3"/>
        </w:rPr>
        <w:t>领域的技术领先优势，并将其转变</w:t>
      </w:r>
      <w:r>
        <w:rPr>
          <w:spacing w:val="-106"/>
        </w:rPr>
        <w:t> </w:t>
      </w:r>
      <w:r>
        <w:rPr>
          <w:spacing w:val="-106"/>
        </w:rPr>
      </w:r>
      <w:r>
        <w:rPr/>
        <w:t>为市场优势。</w:t>
      </w:r>
    </w:p>
    <w:p>
      <w:pPr>
        <w:pStyle w:val="BodyText"/>
        <w:spacing w:line="348" w:lineRule="auto" w:before="46"/>
        <w:ind w:left="140" w:right="164" w:firstLine="479"/>
        <w:jc w:val="both"/>
      </w:pPr>
      <w:r>
        <w:rPr>
          <w:rFonts w:ascii="Times New Roman" w:hAnsi="Times New Roman" w:cs="Times New Roman" w:eastAsia="Times New Roman" w:hint="default"/>
        </w:rPr>
        <w:t>2012</w:t>
      </w:r>
      <w:r>
        <w:rPr/>
        <w:t>年度公司还有</w:t>
      </w:r>
      <w:r>
        <w:rPr>
          <w:rFonts w:ascii="Times New Roman" w:hAnsi="Times New Roman" w:cs="Times New Roman" w:eastAsia="Times New Roman" w:hint="default"/>
        </w:rPr>
        <w:t>3</w:t>
      </w:r>
      <w:r>
        <w:rPr/>
        <w:t>个超募资金项目还在执行期内，公司将严格按照有关规定， 规范募集资金的使用，并监控这些项目的进度，项目结束将尽快结题并将结余资金</w:t>
      </w:r>
      <w:r>
        <w:rPr>
          <w:spacing w:val="-75"/>
        </w:rPr>
        <w:t> </w:t>
      </w:r>
      <w:r>
        <w:rPr>
          <w:spacing w:val="-75"/>
        </w:rPr>
      </w:r>
      <w:r>
        <w:rPr/>
        <w:t>转回超募资金管理。</w:t>
      </w:r>
    </w:p>
    <w:p>
      <w:pPr>
        <w:pStyle w:val="BodyText"/>
        <w:spacing w:line="357" w:lineRule="auto" w:before="46"/>
        <w:ind w:left="140" w:right="100" w:firstLine="479"/>
        <w:jc w:val="left"/>
      </w:pPr>
      <w:r>
        <w:rPr/>
        <w:t>对于超募资金，公司将进一步组织超募资金使用项目的可研与论证，充分论证 </w:t>
      </w:r>
      <w:r>
        <w:rPr>
          <w:spacing w:val="-2"/>
        </w:rPr>
        <w:t>其可行性和投资效益，为下一步的实施奠定基础。同时，公司将组建相应的项目部，</w:t>
      </w:r>
      <w:r>
        <w:rPr>
          <w:spacing w:val="-116"/>
        </w:rPr>
        <w:t> </w:t>
      </w:r>
      <w:r>
        <w:rPr>
          <w:spacing w:val="-116"/>
        </w:rPr>
      </w:r>
      <w:r>
        <w:rPr/>
        <w:t>进行项目前期市场调研，积极开展工作。</w:t>
      </w:r>
    </w:p>
    <w:p>
      <w:pPr>
        <w:spacing w:line="240" w:lineRule="auto" w:before="2"/>
        <w:rPr>
          <w:rFonts w:ascii="宋体" w:hAnsi="宋体" w:cs="宋体" w:eastAsia="宋体" w:hint="default"/>
          <w:sz w:val="25"/>
          <w:szCs w:val="25"/>
        </w:rPr>
      </w:pPr>
    </w:p>
    <w:p>
      <w:pPr>
        <w:pStyle w:val="Heading5"/>
        <w:spacing w:line="240" w:lineRule="auto"/>
        <w:ind w:left="140" w:right="0"/>
        <w:jc w:val="both"/>
        <w:rPr>
          <w:b w:val="0"/>
          <w:bCs w:val="0"/>
        </w:rPr>
      </w:pPr>
      <w:r>
        <w:rPr/>
        <w:t>（</w:t>
      </w:r>
      <w:r>
        <w:rPr>
          <w:rFonts w:ascii="Times New Roman" w:hAnsi="Times New Roman" w:cs="Times New Roman" w:eastAsia="Times New Roman" w:hint="default"/>
        </w:rPr>
        <w:t>5</w:t>
      </w:r>
      <w:r>
        <w:rPr/>
        <w:t>）投资者关系管理</w:t>
      </w:r>
      <w:r>
        <w:rPr>
          <w:b w:val="0"/>
          <w:bCs w:val="0"/>
        </w:rPr>
      </w:r>
    </w:p>
    <w:p>
      <w:pPr>
        <w:spacing w:line="240" w:lineRule="auto" w:before="2"/>
        <w:rPr>
          <w:rFonts w:ascii="宋体" w:hAnsi="宋体" w:cs="宋体" w:eastAsia="宋体" w:hint="default"/>
          <w:b/>
          <w:bCs/>
          <w:sz w:val="33"/>
          <w:szCs w:val="33"/>
        </w:rPr>
      </w:pPr>
    </w:p>
    <w:p>
      <w:pPr>
        <w:pStyle w:val="BodyText"/>
        <w:spacing w:line="357" w:lineRule="auto"/>
        <w:ind w:left="140" w:right="231" w:firstLine="479"/>
        <w:jc w:val="both"/>
      </w:pPr>
      <w:r>
        <w:rPr/>
        <w:t>公司将进一步完善治理结构，建立和健全投资者沟通平台，通过网站、电话等 多种沟通平台加强投资者和潜在投资者对公司业务和技术的了解，并积极接受各类</w:t>
      </w:r>
      <w:r>
        <w:rPr>
          <w:spacing w:val="-77"/>
        </w:rPr>
        <w:t> </w:t>
      </w:r>
      <w:r>
        <w:rPr>
          <w:spacing w:val="-77"/>
        </w:rPr>
      </w:r>
      <w:r>
        <w:rPr/>
        <w:t>投资者的来访并听取投资者对公司发展的建议和意见，促进公司与投资者之间的良</w:t>
      </w:r>
      <w:r>
        <w:rPr>
          <w:spacing w:val="-77"/>
        </w:rPr>
        <w:t> </w:t>
      </w:r>
      <w:r>
        <w:rPr>
          <w:spacing w:val="-77"/>
        </w:rPr>
      </w:r>
      <w:r>
        <w:rPr/>
        <w:t>好关系。</w:t>
      </w:r>
      <w:r>
        <w:rPr>
          <w:rFonts w:ascii="Times New Roman" w:hAnsi="Times New Roman" w:cs="Times New Roman" w:eastAsia="Times New Roman" w:hint="default"/>
        </w:rPr>
        <w:t>2012</w:t>
      </w:r>
      <w:r>
        <w:rPr/>
        <w:t>年度，公司将公告全年投资者接待日日程安排，接受投资者的现场调</w:t>
      </w:r>
    </w:p>
    <w:p>
      <w:pPr>
        <w:spacing w:after="0" w:line="357" w:lineRule="auto"/>
        <w:jc w:val="both"/>
        <w:sectPr>
          <w:footerReference w:type="default" r:id="rId19"/>
          <w:pgSz w:w="11910" w:h="16840"/>
          <w:pgMar w:footer="1007" w:header="884" w:top="1140" w:bottom="1200" w:left="1660" w:right="1180"/>
          <w:pgNumType w:start="34"/>
        </w:sectPr>
      </w:pPr>
    </w:p>
    <w:p>
      <w:pPr>
        <w:spacing w:line="240" w:lineRule="auto" w:before="6"/>
        <w:rPr>
          <w:rFonts w:ascii="宋体" w:hAnsi="宋体" w:cs="宋体" w:eastAsia="宋体" w:hint="default"/>
          <w:sz w:val="22"/>
          <w:szCs w:val="22"/>
        </w:rPr>
      </w:pPr>
    </w:p>
    <w:p>
      <w:pPr>
        <w:pStyle w:val="BodyText"/>
        <w:spacing w:line="357" w:lineRule="auto" w:before="26"/>
        <w:ind w:left="140" w:right="156"/>
        <w:jc w:val="both"/>
      </w:pPr>
      <w:r>
        <w:rPr/>
        <w:t>研，现场接待日，公司将安排技术人员、市场营销人员为投资者进行相关的技术演</w:t>
      </w:r>
      <w:r>
        <w:rPr>
          <w:spacing w:val="-77"/>
        </w:rPr>
        <w:t> </w:t>
      </w:r>
      <w:r>
        <w:rPr>
          <w:spacing w:val="-77"/>
        </w:rPr>
      </w:r>
      <w:r>
        <w:rPr/>
        <w:t>示和市场情况介绍。</w:t>
      </w:r>
    </w:p>
    <w:p>
      <w:pPr>
        <w:spacing w:line="240" w:lineRule="auto" w:before="5"/>
        <w:rPr>
          <w:rFonts w:ascii="宋体" w:hAnsi="宋体" w:cs="宋体" w:eastAsia="宋体" w:hint="default"/>
          <w:sz w:val="26"/>
          <w:szCs w:val="26"/>
        </w:rPr>
      </w:pPr>
    </w:p>
    <w:p>
      <w:pPr>
        <w:pStyle w:val="Heading4"/>
        <w:spacing w:line="408" w:lineRule="auto"/>
        <w:ind w:left="140" w:right="154"/>
        <w:jc w:val="both"/>
        <w:rPr>
          <w:b w:val="0"/>
          <w:bCs w:val="0"/>
        </w:rPr>
      </w:pPr>
      <w:bookmarkStart w:name="_TOC_250075" w:id="13"/>
      <w:r>
        <w:rPr>
          <w:spacing w:val="-1"/>
        </w:rPr>
        <w:t>（五）对公司未来发展战略和经营目标的实现产生不利影响的风险因素</w:t>
      </w:r>
      <w:r>
        <w:rPr>
          <w:spacing w:val="-136"/>
        </w:rPr>
        <w:t> </w:t>
      </w:r>
      <w:r>
        <w:rPr>
          <w:spacing w:val="-136"/>
        </w:rPr>
      </w:r>
      <w:r>
        <w:rPr/>
        <w:t>分析</w:t>
      </w:r>
      <w:bookmarkEnd w:id="13"/>
      <w:r>
        <w:rPr>
          <w:b w:val="0"/>
          <w:bCs w:val="0"/>
        </w:rPr>
      </w:r>
    </w:p>
    <w:p>
      <w:pPr>
        <w:spacing w:line="240" w:lineRule="auto" w:before="4"/>
        <w:rPr>
          <w:rFonts w:ascii="宋体" w:hAnsi="宋体" w:cs="宋体" w:eastAsia="宋体" w:hint="default"/>
          <w:b/>
          <w:bCs/>
          <w:sz w:val="23"/>
          <w:szCs w:val="23"/>
        </w:rPr>
      </w:pPr>
    </w:p>
    <w:p>
      <w:pPr>
        <w:pStyle w:val="Heading5"/>
        <w:spacing w:line="240" w:lineRule="auto"/>
        <w:ind w:left="140" w:right="0"/>
        <w:jc w:val="both"/>
        <w:rPr>
          <w:b w:val="0"/>
          <w:bCs w:val="0"/>
        </w:rPr>
      </w:pPr>
      <w:r>
        <w:rPr>
          <w:rFonts w:ascii="Times New Roman" w:hAnsi="Times New Roman" w:cs="Times New Roman" w:eastAsia="Times New Roman" w:hint="default"/>
        </w:rPr>
        <w:t>1</w:t>
      </w:r>
      <w:r>
        <w:rPr/>
        <w:t>、新技术、新商业模式对传统</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技术造成的业务模式冲击风险</w:t>
      </w:r>
      <w:r>
        <w:rPr>
          <w:b w:val="0"/>
          <w:bCs w:val="0"/>
        </w:rPr>
      </w:r>
    </w:p>
    <w:p>
      <w:pPr>
        <w:spacing w:line="240" w:lineRule="auto" w:before="2"/>
        <w:rPr>
          <w:rFonts w:ascii="宋体" w:hAnsi="宋体" w:cs="宋体" w:eastAsia="宋体" w:hint="default"/>
          <w:b/>
          <w:bCs/>
          <w:sz w:val="33"/>
          <w:szCs w:val="33"/>
        </w:rPr>
      </w:pPr>
    </w:p>
    <w:p>
      <w:pPr>
        <w:pStyle w:val="BodyText"/>
        <w:spacing w:line="352" w:lineRule="auto"/>
        <w:ind w:left="140" w:right="144" w:firstLine="479"/>
        <w:jc w:val="both"/>
      </w:pPr>
      <w:r>
        <w:rPr/>
        <w:t>经过多年的努力与积累，本公司已成为我国地理信息行业骨干企业，具有较强 的自主创新能力和雄厚的研究开发实力，并形成了一套成熟产业化机制。但目前整</w:t>
      </w:r>
      <w:r>
        <w:rPr>
          <w:spacing w:val="-74"/>
        </w:rPr>
        <w:t> </w:t>
      </w:r>
      <w:r>
        <w:rPr>
          <w:spacing w:val="-74"/>
        </w:rPr>
      </w:r>
      <w:r>
        <w:rPr/>
        <w:t>个</w:t>
      </w:r>
      <w:r>
        <w:rPr>
          <w:rFonts w:ascii="Times New Roman" w:hAnsi="Times New Roman" w:cs="Times New Roman" w:eastAsia="Times New Roman" w:hint="default"/>
        </w:rPr>
        <w:t>IT</w:t>
      </w:r>
      <w:r>
        <w:rPr/>
        <w:t>行业都处于技术快速变革期，包括硬件资源、软件系统、通讯系统都处于快速</w:t>
      </w:r>
      <w:r>
        <w:rPr>
          <w:spacing w:val="-61"/>
        </w:rPr>
        <w:t> </w:t>
      </w:r>
      <w:r>
        <w:rPr>
          <w:spacing w:val="-61"/>
        </w:rPr>
      </w:r>
      <w:r>
        <w:rPr/>
        <w:t>发展阶段，用户对产品的技术要求不断提高，新的应用模式正在兴起。包括微软、</w:t>
      </w:r>
      <w:r>
        <w:rPr>
          <w:spacing w:val="-73"/>
        </w:rPr>
        <w:t> </w:t>
      </w:r>
      <w:r>
        <w:rPr>
          <w:spacing w:val="-73"/>
        </w:rPr>
      </w:r>
      <w:r>
        <w:rPr>
          <w:rFonts w:ascii="Times New Roman" w:hAnsi="Times New Roman" w:cs="Times New Roman" w:eastAsia="Times New Roman" w:hint="default"/>
          <w:spacing w:val="2"/>
        </w:rPr>
        <w:t>IBM</w:t>
      </w:r>
      <w:r>
        <w:rPr>
          <w:spacing w:val="2"/>
        </w:rPr>
        <w:t>等在内的世界</w:t>
      </w:r>
      <w:r>
        <w:rPr>
          <w:rFonts w:ascii="Times New Roman" w:hAnsi="Times New Roman" w:cs="Times New Roman" w:eastAsia="Times New Roman" w:hint="default"/>
          <w:spacing w:val="2"/>
        </w:rPr>
        <w:t>IT</w:t>
      </w:r>
      <w:r>
        <w:rPr>
          <w:spacing w:val="2"/>
        </w:rPr>
        <w:t>巨头都投入了大量的研究经费探索未来市场的技术趋势。若本</w:t>
      </w:r>
      <w:r>
        <w:rPr>
          <w:spacing w:val="-118"/>
        </w:rPr>
        <w:t> </w:t>
      </w:r>
      <w:r>
        <w:rPr>
          <w:spacing w:val="-118"/>
        </w:rPr>
      </w:r>
      <w:r>
        <w:rPr/>
        <w:t>公司不能正确判断、把握行业的市场动态和发展趋势，不能根据技术发展、行业标</w:t>
      </w:r>
      <w:r>
        <w:rPr>
          <w:spacing w:val="-77"/>
        </w:rPr>
        <w:t> </w:t>
      </w:r>
      <w:r>
        <w:rPr>
          <w:spacing w:val="-77"/>
        </w:rPr>
      </w:r>
      <w:r>
        <w:rPr/>
        <w:t>准和客户需求及时进行技术创新和业务模式创新，对行业关键技术的发展动态不能</w:t>
      </w:r>
      <w:r>
        <w:rPr>
          <w:spacing w:val="-73"/>
        </w:rPr>
        <w:t> </w:t>
      </w:r>
      <w:r>
        <w:rPr>
          <w:spacing w:val="-73"/>
        </w:rPr>
      </w:r>
      <w:r>
        <w:rPr/>
        <w:t>及时掌控，在新产品的研发方向、重要产品的方案制定等方面不能正确把握，将导</w:t>
      </w:r>
      <w:r>
        <w:rPr>
          <w:spacing w:val="-77"/>
        </w:rPr>
        <w:t> </w:t>
      </w:r>
      <w:r>
        <w:rPr>
          <w:spacing w:val="-77"/>
        </w:rPr>
      </w:r>
      <w:r>
        <w:rPr/>
        <w:t>致公司的市场竞争能力下降。则存在因竞争优势减弱而导致经营业绩不能达到预期</w:t>
      </w:r>
      <w:r>
        <w:rPr>
          <w:spacing w:val="-75"/>
        </w:rPr>
        <w:t> </w:t>
      </w:r>
      <w:r>
        <w:rPr>
          <w:spacing w:val="-75"/>
        </w:rPr>
      </w:r>
      <w:r>
        <w:rPr/>
        <w:t>目标的风险。</w:t>
      </w:r>
    </w:p>
    <w:p>
      <w:pPr>
        <w:spacing w:line="768" w:lineRule="exact" w:before="0"/>
        <w:ind w:left="620" w:right="147"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、业务外包导致的项目管理和毛利率波动风险</w:t>
      </w:r>
      <w:r>
        <w:rPr>
          <w:rFonts w:ascii="宋体" w:hAnsi="宋体" w:cs="宋体" w:eastAsia="宋体" w:hint="default"/>
          <w:b/>
          <w:bCs/>
          <w:w w:val="99"/>
          <w:sz w:val="24"/>
          <w:szCs w:val="24"/>
        </w:rPr>
        <w:t> </w:t>
      </w:r>
      <w:r>
        <w:rPr>
          <w:rFonts w:ascii="宋体" w:hAnsi="宋体" w:cs="宋体" w:eastAsia="宋体" w:hint="default"/>
          <w:spacing w:val="-3"/>
          <w:sz w:val="24"/>
          <w:szCs w:val="24"/>
        </w:rPr>
        <w:t>近年来，</w:t>
      </w:r>
      <w:r>
        <w:rPr>
          <w:rFonts w:ascii="Times New Roman" w:hAnsi="Times New Roman" w:cs="Times New Roman" w:eastAsia="Times New Roman" w:hint="default"/>
          <w:spacing w:val="-3"/>
          <w:sz w:val="24"/>
          <w:szCs w:val="24"/>
        </w:rPr>
        <w:t>GIS</w:t>
      </w:r>
      <w:r>
        <w:rPr>
          <w:rFonts w:ascii="宋体" w:hAnsi="宋体" w:cs="宋体" w:eastAsia="宋体" w:hint="default"/>
          <w:spacing w:val="-3"/>
          <w:sz w:val="24"/>
          <w:szCs w:val="24"/>
        </w:rPr>
        <w:t>应用工程呈现集成化趋势，用户为了更好地获得服务，往往将项目</w:t>
      </w:r>
    </w:p>
    <w:p>
      <w:pPr>
        <w:pStyle w:val="BodyText"/>
        <w:spacing w:line="357" w:lineRule="auto" w:before="34"/>
        <w:ind w:left="140" w:right="150"/>
        <w:jc w:val="both"/>
      </w:pPr>
      <w:r>
        <w:rPr/>
        <w:t>中涉及的各类工作均整合到一个项目中，通过招投标的方式确定一家承担单位，由</w:t>
      </w:r>
      <w:r>
        <w:rPr>
          <w:spacing w:val="-77"/>
        </w:rPr>
        <w:t> </w:t>
      </w:r>
      <w:r>
        <w:rPr>
          <w:spacing w:val="-77"/>
        </w:rPr>
      </w:r>
      <w:r>
        <w:rPr/>
        <w:t>这家承担单位总协调开展各类工作。在这种趋势下，本公司需要将开发服务中的一</w:t>
      </w:r>
      <w:r>
        <w:rPr>
          <w:spacing w:val="-73"/>
        </w:rPr>
        <w:t> </w:t>
      </w:r>
      <w:r>
        <w:rPr>
          <w:spacing w:val="-73"/>
        </w:rPr>
      </w:r>
      <w:r>
        <w:rPr/>
        <w:t>些业务部份外包给一些专业化公司，从而提高服务效率、降低成本。此外，随着本</w:t>
      </w:r>
      <w:r>
        <w:rPr>
          <w:spacing w:val="-73"/>
        </w:rPr>
        <w:t> </w:t>
      </w:r>
      <w:r>
        <w:rPr>
          <w:spacing w:val="-73"/>
        </w:rPr>
      </w:r>
      <w:r>
        <w:rPr/>
        <w:t>公司业务扩大，越来越多的项目是在北京以外的区域开展，为了降低实施成本，公</w:t>
      </w:r>
      <w:r>
        <w:rPr>
          <w:spacing w:val="-77"/>
        </w:rPr>
        <w:t> </w:t>
      </w:r>
      <w:r>
        <w:rPr>
          <w:spacing w:val="-77"/>
        </w:rPr>
      </w:r>
      <w:r>
        <w:rPr/>
        <w:t>司会在项目所在地寻找适合的合作伙伴协助承担具体的开发工作，以降低实施成本</w:t>
      </w:r>
      <w:r>
        <w:rPr>
          <w:spacing w:val="-77"/>
        </w:rPr>
        <w:t> </w:t>
      </w:r>
      <w:r>
        <w:rPr>
          <w:spacing w:val="-77"/>
        </w:rPr>
      </w:r>
      <w:r>
        <w:rPr/>
        <w:t>并提高本地化服务能力。</w:t>
      </w:r>
    </w:p>
    <w:p>
      <w:pPr>
        <w:pStyle w:val="BodyText"/>
        <w:spacing w:line="357" w:lineRule="auto" w:before="36"/>
        <w:ind w:left="140" w:right="151" w:firstLine="479"/>
        <w:jc w:val="both"/>
      </w:pPr>
      <w:r>
        <w:rPr/>
        <w:t>虽然本公司与外包商之间就此类业务外包签署合作协议，并监督外包商的业务 进度和质量，但如果外包商工作质量和效率与预期出现较大偏差，将影响本公司为</w:t>
      </w:r>
      <w:r>
        <w:rPr>
          <w:spacing w:val="-73"/>
        </w:rPr>
        <w:t> </w:t>
      </w:r>
      <w:r>
        <w:rPr>
          <w:spacing w:val="-73"/>
        </w:rPr>
      </w:r>
      <w:r>
        <w:rPr/>
        <w:t>用户提供技术开发服务的进度和质量。另外，定制软件开发项目存在实施周期长、</w:t>
      </w:r>
    </w:p>
    <w:p>
      <w:pPr>
        <w:spacing w:after="0" w:line="357" w:lineRule="auto"/>
        <w:jc w:val="both"/>
        <w:sectPr>
          <w:footerReference w:type="default" r:id="rId20"/>
          <w:pgSz w:w="11910" w:h="16840"/>
          <w:pgMar w:footer="1007" w:header="884" w:top="1140" w:bottom="1200" w:left="1660" w:right="1260"/>
          <w:pgNumType w:start="35"/>
        </w:sectPr>
      </w:pPr>
    </w:p>
    <w:p>
      <w:pPr>
        <w:spacing w:line="240" w:lineRule="auto" w:before="6"/>
        <w:rPr>
          <w:rFonts w:ascii="宋体" w:hAnsi="宋体" w:cs="宋体" w:eastAsia="宋体" w:hint="default"/>
          <w:sz w:val="22"/>
          <w:szCs w:val="22"/>
        </w:rPr>
      </w:pPr>
    </w:p>
    <w:p>
      <w:pPr>
        <w:pStyle w:val="BodyText"/>
        <w:spacing w:line="357" w:lineRule="auto" w:before="26"/>
        <w:ind w:left="140" w:right="153"/>
        <w:jc w:val="both"/>
      </w:pPr>
      <w:r>
        <w:rPr/>
        <w:t>个性化需求特点变更频繁的情况，如果项目经理无法有效掌控住项目的需求变更和</w:t>
      </w:r>
      <w:r>
        <w:rPr>
          <w:spacing w:val="-74"/>
        </w:rPr>
        <w:t> </w:t>
      </w:r>
      <w:r>
        <w:rPr>
          <w:spacing w:val="-74"/>
        </w:rPr>
      </w:r>
      <w:r>
        <w:rPr/>
        <w:t>实施进度，会导致项目过度延期，造成实施成本和费用大幅变动，从而造成公司的</w:t>
      </w:r>
      <w:r>
        <w:rPr>
          <w:spacing w:val="-75"/>
        </w:rPr>
        <w:t> </w:t>
      </w:r>
      <w:r>
        <w:rPr>
          <w:spacing w:val="-75"/>
        </w:rPr>
      </w:r>
      <w:r>
        <w:rPr/>
        <w:t>项目管理风险和毛利率波动风险。</w:t>
      </w:r>
    </w:p>
    <w:p>
      <w:pPr>
        <w:spacing w:line="240" w:lineRule="auto" w:before="2"/>
        <w:rPr>
          <w:rFonts w:ascii="宋体" w:hAnsi="宋体" w:cs="宋体" w:eastAsia="宋体" w:hint="default"/>
          <w:sz w:val="25"/>
          <w:szCs w:val="25"/>
        </w:rPr>
      </w:pPr>
    </w:p>
    <w:p>
      <w:pPr>
        <w:pStyle w:val="Heading5"/>
        <w:spacing w:line="240" w:lineRule="auto"/>
        <w:ind w:left="140" w:right="0"/>
        <w:jc w:val="both"/>
        <w:rPr>
          <w:b w:val="0"/>
          <w:bCs w:val="0"/>
        </w:rPr>
      </w:pPr>
      <w:r>
        <w:rPr>
          <w:rFonts w:ascii="Times New Roman" w:hAnsi="Times New Roman" w:cs="Times New Roman" w:eastAsia="Times New Roman" w:hint="default"/>
        </w:rPr>
        <w:t>4</w:t>
      </w:r>
      <w:r>
        <w:rPr/>
        <w:t>、应收账款资产减值风险</w:t>
      </w:r>
      <w:r>
        <w:rPr>
          <w:b w:val="0"/>
          <w:bCs w:val="0"/>
        </w:rPr>
      </w:r>
    </w:p>
    <w:p>
      <w:pPr>
        <w:spacing w:line="240" w:lineRule="auto" w:before="2"/>
        <w:rPr>
          <w:rFonts w:ascii="宋体" w:hAnsi="宋体" w:cs="宋体" w:eastAsia="宋体" w:hint="default"/>
          <w:b/>
          <w:bCs/>
          <w:sz w:val="33"/>
          <w:szCs w:val="33"/>
        </w:rPr>
      </w:pPr>
    </w:p>
    <w:p>
      <w:pPr>
        <w:pStyle w:val="BodyText"/>
        <w:spacing w:line="345" w:lineRule="auto"/>
        <w:ind w:left="140" w:right="148" w:firstLine="479"/>
        <w:jc w:val="both"/>
      </w:pPr>
      <w:r>
        <w:rPr>
          <w:spacing w:val="-2"/>
        </w:rPr>
        <w:t>截止报告期末，公司的应收账款约为</w:t>
      </w:r>
      <w:r>
        <w:rPr>
          <w:rFonts w:ascii="Times New Roman" w:hAnsi="Times New Roman" w:cs="Times New Roman" w:eastAsia="Times New Roman" w:hint="default"/>
          <w:spacing w:val="-2"/>
        </w:rPr>
        <w:t>1.3</w:t>
      </w:r>
      <w:r>
        <w:rPr>
          <w:spacing w:val="-2"/>
        </w:rPr>
        <w:t>亿，其他应收款约为</w:t>
      </w:r>
      <w:r>
        <w:rPr>
          <w:rFonts w:ascii="Times New Roman" w:hAnsi="Times New Roman" w:cs="Times New Roman" w:eastAsia="Times New Roman" w:hint="default"/>
          <w:spacing w:val="-2"/>
        </w:rPr>
        <w:t>1,200</w:t>
      </w:r>
      <w:r>
        <w:rPr>
          <w:spacing w:val="-2"/>
        </w:rPr>
        <w:t>万。本公司对</w:t>
      </w:r>
      <w:r>
        <w:rPr/>
        <w:t> </w:t>
      </w:r>
      <w:r>
        <w:rPr>
          <w:spacing w:val="-9"/>
        </w:rPr>
        <w:t>应收账款和其他应收款采用账龄分析法计提坏账准备，按照账龄分别为，</w:t>
      </w:r>
      <w:r>
        <w:rPr>
          <w:rFonts w:ascii="Times New Roman" w:hAnsi="Times New Roman" w:cs="Times New Roman" w:eastAsia="Times New Roman" w:hint="default"/>
          <w:spacing w:val="-9"/>
        </w:rPr>
        <w:t>1</w:t>
      </w:r>
      <w:r>
        <w:rPr>
          <w:spacing w:val="-9"/>
        </w:rPr>
        <w:t>年以内（含</w:t>
      </w:r>
      <w:r>
        <w:rPr>
          <w:spacing w:val="-88"/>
        </w:rPr>
        <w:t> </w:t>
      </w:r>
      <w:r>
        <w:rPr>
          <w:spacing w:val="-88"/>
        </w:rPr>
      </w:r>
      <w:r>
        <w:rPr>
          <w:rFonts w:ascii="Times New Roman" w:hAnsi="Times New Roman" w:cs="Times New Roman" w:eastAsia="Times New Roman" w:hint="default"/>
        </w:rPr>
        <w:t>1</w:t>
      </w:r>
      <w:r>
        <w:rPr/>
        <w:t>年）计提</w:t>
      </w:r>
      <w:r>
        <w:rPr>
          <w:rFonts w:ascii="Times New Roman" w:hAnsi="Times New Roman" w:cs="Times New Roman" w:eastAsia="Times New Roman" w:hint="default"/>
        </w:rPr>
        <w:t>5</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年计提</w:t>
      </w:r>
      <w:r>
        <w:rPr>
          <w:rFonts w:ascii="Times New Roman" w:hAnsi="Times New Roman" w:cs="Times New Roman" w:eastAsia="Times New Roman" w:hint="default"/>
        </w:rPr>
        <w:t>20</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年计提</w:t>
      </w:r>
      <w:r>
        <w:rPr>
          <w:rFonts w:ascii="Times New Roman" w:hAnsi="Times New Roman" w:cs="Times New Roman" w:eastAsia="Times New Roman" w:hint="default"/>
        </w:rPr>
        <w:t>50</w:t>
      </w:r>
      <w:r>
        <w:rPr/>
        <w:t>％、</w:t>
      </w:r>
      <w:r>
        <w:rPr>
          <w:rFonts w:ascii="Times New Roman" w:hAnsi="Times New Roman" w:cs="Times New Roman" w:eastAsia="Times New Roman" w:hint="default"/>
        </w:rPr>
        <w:t>3</w:t>
      </w:r>
      <w:r>
        <w:rPr/>
        <w:t>年以上计提</w:t>
      </w:r>
      <w:r>
        <w:rPr>
          <w:rFonts w:ascii="Times New Roman" w:hAnsi="Times New Roman" w:cs="Times New Roman" w:eastAsia="Times New Roman" w:hint="default"/>
        </w:rPr>
        <w:t>100</w:t>
      </w:r>
      <w:r>
        <w:rPr/>
        <w:t>％。本公司的</w:t>
      </w:r>
      <w:r>
        <w:rPr>
          <w:spacing w:val="-75"/>
        </w:rPr>
        <w:t> </w:t>
      </w:r>
      <w:r>
        <w:rPr>
          <w:spacing w:val="-75"/>
        </w:rPr>
      </w:r>
      <w:r>
        <w:rPr/>
        <w:t>客户大多为政府客户，如遇政府机构调整、人员变动等情况，可能出现应收账款催</w:t>
      </w:r>
      <w:r>
        <w:rPr>
          <w:spacing w:val="-77"/>
        </w:rPr>
        <w:t> </w:t>
      </w:r>
      <w:r>
        <w:rPr>
          <w:spacing w:val="-77"/>
        </w:rPr>
      </w:r>
      <w:r>
        <w:rPr/>
        <w:t>要困难问题。此外，由于种种原因，目前部份大型</w:t>
      </w:r>
      <w:r>
        <w:rPr>
          <w:rFonts w:ascii="Times New Roman" w:hAnsi="Times New Roman" w:cs="Times New Roman" w:eastAsia="Times New Roman" w:hint="default"/>
        </w:rPr>
        <w:t>IT</w:t>
      </w:r>
      <w:r>
        <w:rPr/>
        <w:t>信息化项目采取</w:t>
      </w:r>
      <w:r>
        <w:rPr>
          <w:rFonts w:ascii="Times New Roman" w:hAnsi="Times New Roman" w:cs="Times New Roman" w:eastAsia="Times New Roman" w:hint="default"/>
        </w:rPr>
        <w:t>BT</w:t>
      </w:r>
      <w:r>
        <w:rPr/>
        <w:t>或</w:t>
      </w:r>
      <w:r>
        <w:rPr>
          <w:rFonts w:ascii="Times New Roman" w:hAnsi="Times New Roman" w:cs="Times New Roman" w:eastAsia="Times New Roman" w:hint="default"/>
        </w:rPr>
        <w:t>BOT</w:t>
      </w:r>
      <w:r>
        <w:rPr/>
        <w:t>等模 式，由企业垫付前期资金，客户的款项将分期支付，存在账期过长催收难度增加的</w:t>
      </w:r>
      <w:r>
        <w:rPr>
          <w:spacing w:val="-72"/>
        </w:rPr>
        <w:t> </w:t>
      </w:r>
      <w:r>
        <w:rPr>
          <w:spacing w:val="-72"/>
        </w:rPr>
      </w:r>
      <w:r>
        <w:rPr/>
        <w:t>风险。</w:t>
      </w:r>
    </w:p>
    <w:p>
      <w:pPr>
        <w:spacing w:line="240" w:lineRule="auto" w:before="1"/>
        <w:rPr>
          <w:rFonts w:ascii="宋体" w:hAnsi="宋体" w:cs="宋体" w:eastAsia="宋体" w:hint="default"/>
          <w:sz w:val="26"/>
          <w:szCs w:val="26"/>
        </w:rPr>
      </w:pPr>
    </w:p>
    <w:p>
      <w:pPr>
        <w:pStyle w:val="Heading5"/>
        <w:spacing w:line="240" w:lineRule="auto"/>
        <w:ind w:left="140" w:right="0"/>
        <w:jc w:val="both"/>
        <w:rPr>
          <w:b w:val="0"/>
          <w:bCs w:val="0"/>
        </w:rPr>
      </w:pPr>
      <w:r>
        <w:rPr>
          <w:rFonts w:ascii="Times New Roman" w:hAnsi="Times New Roman" w:cs="Times New Roman" w:eastAsia="Times New Roman" w:hint="default"/>
        </w:rPr>
        <w:t>5</w:t>
      </w:r>
      <w:r>
        <w:rPr/>
        <w:t>、管理风险</w:t>
      </w:r>
      <w:r>
        <w:rPr>
          <w:b w:val="0"/>
          <w:bCs w:val="0"/>
        </w:rPr>
      </w:r>
    </w:p>
    <w:p>
      <w:pPr>
        <w:spacing w:line="240" w:lineRule="auto" w:before="2"/>
        <w:rPr>
          <w:rFonts w:ascii="宋体" w:hAnsi="宋体" w:cs="宋体" w:eastAsia="宋体" w:hint="default"/>
          <w:b/>
          <w:bCs/>
          <w:sz w:val="33"/>
          <w:szCs w:val="33"/>
        </w:rPr>
      </w:pPr>
    </w:p>
    <w:p>
      <w:pPr>
        <w:pStyle w:val="BodyText"/>
        <w:spacing w:line="357" w:lineRule="auto"/>
        <w:ind w:left="140" w:right="150" w:firstLine="479"/>
        <w:jc w:val="both"/>
      </w:pPr>
      <w:r>
        <w:rPr/>
        <w:t>近几年公司人员规模快速增长，公司的管理跨度和管理半径越来越大，这对公 司管理层的管理与协调能力，以及公司在文化融合、资源整合、技术开发、市场开</w:t>
      </w:r>
      <w:r>
        <w:rPr>
          <w:spacing w:val="-77"/>
        </w:rPr>
        <w:t> </w:t>
      </w:r>
      <w:r>
        <w:rPr>
          <w:spacing w:val="-77"/>
        </w:rPr>
      </w:r>
      <w:r>
        <w:rPr/>
        <w:t>拓等方面的能力提出了更高的要求。若公司的组织结构、管理模式和人才发展等未</w:t>
      </w:r>
      <w:r>
        <w:rPr>
          <w:spacing w:val="-71"/>
        </w:rPr>
        <w:t> </w:t>
      </w:r>
      <w:r>
        <w:rPr>
          <w:spacing w:val="-71"/>
        </w:rPr>
      </w:r>
      <w:r>
        <w:rPr/>
        <w:t>能跟上公司内外部环境的变化并及时进行调整、完善，将给公司未来的经营和发展</w:t>
      </w:r>
      <w:r>
        <w:rPr>
          <w:spacing w:val="-77"/>
        </w:rPr>
        <w:t> </w:t>
      </w:r>
      <w:r>
        <w:rPr>
          <w:spacing w:val="-77"/>
        </w:rPr>
      </w:r>
      <w:r>
        <w:rPr/>
        <w:t>带来一定的影响。</w:t>
      </w:r>
    </w:p>
    <w:p>
      <w:pPr>
        <w:spacing w:line="240" w:lineRule="auto" w:before="5"/>
        <w:rPr>
          <w:rFonts w:ascii="宋体" w:hAnsi="宋体" w:cs="宋体" w:eastAsia="宋体" w:hint="default"/>
          <w:sz w:val="26"/>
          <w:szCs w:val="26"/>
        </w:rPr>
      </w:pPr>
    </w:p>
    <w:p>
      <w:pPr>
        <w:pStyle w:val="Heading4"/>
        <w:spacing w:line="240" w:lineRule="auto"/>
        <w:ind w:left="140" w:right="0"/>
        <w:jc w:val="both"/>
        <w:rPr>
          <w:b w:val="0"/>
          <w:bCs w:val="0"/>
        </w:rPr>
      </w:pPr>
      <w:bookmarkStart w:name="_TOC_250074" w:id="14"/>
      <w:r>
        <w:rPr/>
        <w:t>（六）管理层所关注的公司发展机遇和挑战</w:t>
      </w:r>
      <w:bookmarkEnd w:id="14"/>
      <w:r>
        <w:rPr>
          <w:b w:val="0"/>
          <w:bCs w:val="0"/>
        </w:rPr>
      </w:r>
    </w:p>
    <w:p>
      <w:pPr>
        <w:spacing w:line="240" w:lineRule="auto" w:before="4"/>
        <w:rPr>
          <w:rFonts w:ascii="宋体" w:hAnsi="宋体" w:cs="宋体" w:eastAsia="宋体" w:hint="default"/>
          <w:b/>
          <w:bCs/>
          <w:sz w:val="38"/>
          <w:szCs w:val="38"/>
        </w:rPr>
      </w:pPr>
    </w:p>
    <w:p>
      <w:pPr>
        <w:pStyle w:val="Heading5"/>
        <w:spacing w:line="240" w:lineRule="auto"/>
        <w:ind w:left="140" w:right="0"/>
        <w:jc w:val="both"/>
        <w:rPr>
          <w:b w:val="0"/>
          <w:bCs w:val="0"/>
        </w:rPr>
      </w:pPr>
      <w:r>
        <w:rPr>
          <w:rFonts w:ascii="Times New Roman" w:hAnsi="Times New Roman" w:cs="Times New Roman" w:eastAsia="Times New Roman" w:hint="default"/>
        </w:rPr>
        <w:t>1</w:t>
      </w:r>
      <w:r>
        <w:rPr/>
        <w:t>、瞄准技术新方向，把握市场先机</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51" w:right="0"/>
        <w:jc w:val="left"/>
      </w:pPr>
      <w:r>
        <w:rPr/>
        <w:t>近年来</w:t>
      </w:r>
      <w:r>
        <w:rPr>
          <w:spacing w:val="-76"/>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18"/>
        </w:rPr>
        <w:t> </w:t>
      </w:r>
      <w:r>
        <w:rPr/>
        <w:t>技术快速变化，</w:t>
      </w:r>
      <w:r>
        <w:rPr>
          <w:rFonts w:ascii="Times New Roman" w:hAnsi="Times New Roman" w:cs="Times New Roman" w:eastAsia="Times New Roman" w:hint="default"/>
        </w:rPr>
        <w:t>GIS</w:t>
      </w:r>
      <w:r>
        <w:rPr>
          <w:rFonts w:ascii="Times New Roman" w:hAnsi="Times New Roman" w:cs="Times New Roman" w:eastAsia="Times New Roman" w:hint="default"/>
          <w:spacing w:val="-17"/>
        </w:rPr>
        <w:t> </w:t>
      </w:r>
      <w:r>
        <w:rPr/>
        <w:t>技术也将迎来一次技术变革。本公司认为，未来</w:t>
      </w:r>
    </w:p>
    <w:p>
      <w:pPr>
        <w:pStyle w:val="BodyText"/>
        <w:spacing w:line="240" w:lineRule="auto" w:before="135"/>
        <w:ind w:left="140" w:right="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10 </w:t>
      </w:r>
      <w:r>
        <w:rPr>
          <w:spacing w:val="-11"/>
        </w:rPr>
        <w:t>年，</w:t>
      </w:r>
      <w:r>
        <w:rPr>
          <w:rFonts w:ascii="Times New Roman" w:hAnsi="Times New Roman" w:cs="Times New Roman" w:eastAsia="Times New Roman" w:hint="default"/>
          <w:spacing w:val="-11"/>
        </w:rPr>
        <w:t>GIS</w:t>
      </w:r>
      <w:r>
        <w:rPr>
          <w:rFonts w:ascii="Times New Roman" w:hAnsi="Times New Roman" w:cs="Times New Roman" w:eastAsia="Times New Roman" w:hint="default"/>
          <w:spacing w:val="-45"/>
        </w:rPr>
        <w:t> </w:t>
      </w:r>
      <w:r>
        <w:rPr/>
        <w:t>的技术发展方向将主要体现在二三维一体化应用、移动应用和云计算</w:t>
      </w:r>
    </w:p>
    <w:p>
      <w:pPr>
        <w:pStyle w:val="BodyText"/>
        <w:spacing w:line="240" w:lineRule="auto" w:before="135"/>
        <w:ind w:left="140" w:right="0"/>
        <w:jc w:val="both"/>
      </w:pPr>
      <w:r>
        <w:rPr>
          <w:rFonts w:ascii="Times New Roman" w:hAnsi="Times New Roman" w:cs="Times New Roman" w:eastAsia="Times New Roman" w:hint="default"/>
        </w:rPr>
        <w:t>3 </w:t>
      </w:r>
      <w:r>
        <w:rPr/>
        <w:t>个领域。</w:t>
      </w:r>
    </w:p>
    <w:p>
      <w:pPr>
        <w:spacing w:line="240" w:lineRule="auto" w:before="4"/>
        <w:rPr>
          <w:rFonts w:ascii="宋体" w:hAnsi="宋体" w:cs="宋体" w:eastAsia="宋体" w:hint="default"/>
          <w:sz w:val="22"/>
          <w:szCs w:val="22"/>
        </w:rPr>
      </w:pPr>
    </w:p>
    <w:p>
      <w:pPr>
        <w:pStyle w:val="BodyText"/>
        <w:spacing w:line="338" w:lineRule="auto"/>
        <w:ind w:left="140" w:right="152" w:firstLine="511"/>
        <w:jc w:val="both"/>
      </w:pPr>
      <w:r>
        <w:rPr/>
        <w:t>传统的</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应用主要基于二维的地理空间描述和展示方式，随着计算机运算能 力和显示终端的发展，在城市规划、设施管理等领域，传统的二维</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应用方已经</w:t>
      </w:r>
    </w:p>
    <w:p>
      <w:pPr>
        <w:spacing w:after="0" w:line="338" w:lineRule="auto"/>
        <w:jc w:val="both"/>
        <w:sectPr>
          <w:pgSz w:w="11910" w:h="16840"/>
          <w:pgMar w:header="884" w:footer="1007" w:top="1140" w:bottom="1200" w:left="1660" w:right="1260"/>
        </w:sectPr>
      </w:pPr>
    </w:p>
    <w:p>
      <w:pPr>
        <w:spacing w:line="240" w:lineRule="auto" w:before="6"/>
        <w:rPr>
          <w:rFonts w:ascii="宋体" w:hAnsi="宋体" w:cs="宋体" w:eastAsia="宋体" w:hint="default"/>
          <w:sz w:val="22"/>
          <w:szCs w:val="22"/>
        </w:rPr>
      </w:pPr>
    </w:p>
    <w:p>
      <w:pPr>
        <w:pStyle w:val="BodyText"/>
        <w:spacing w:line="338" w:lineRule="auto" w:before="26"/>
        <w:ind w:left="140" w:right="154"/>
        <w:jc w:val="both"/>
      </w:pPr>
      <w:r>
        <w:rPr/>
        <w:t>不满足其需求，迫切需要基于二三维一体化的</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开发平台开发更为强大的</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应 用。因此，本公司将继续瞄准二三维一体化</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应用趋势，继续完善产品，提供具 备强大的管理和分析能力的三维基础软件平台。</w:t>
      </w:r>
    </w:p>
    <w:p>
      <w:pPr>
        <w:pStyle w:val="BodyText"/>
        <w:spacing w:line="343" w:lineRule="auto" w:before="211"/>
        <w:ind w:left="140" w:right="149" w:firstLine="511"/>
        <w:jc w:val="both"/>
      </w:pPr>
      <w:r>
        <w:rPr/>
        <w:t>随着近年来移动互联网技术的快速发展，基于</w:t>
      </w:r>
      <w:r>
        <w:rPr>
          <w:spacing w:val="-68"/>
        </w:rPr>
        <w:t> </w:t>
      </w:r>
      <w:r>
        <w:rPr>
          <w:rFonts w:ascii="Times New Roman" w:hAnsi="Times New Roman" w:cs="Times New Roman" w:eastAsia="Times New Roman" w:hint="default"/>
          <w:spacing w:val="-8"/>
        </w:rPr>
        <w:t>3G</w:t>
      </w:r>
      <w:r>
        <w:rPr>
          <w:spacing w:val="-8"/>
        </w:rPr>
        <w:t>、</w:t>
      </w:r>
      <w:r>
        <w:rPr>
          <w:rFonts w:ascii="Times New Roman" w:hAnsi="Times New Roman" w:cs="Times New Roman" w:eastAsia="Times New Roman" w:hint="default"/>
          <w:spacing w:val="-8"/>
        </w:rPr>
        <w:t>4G</w:t>
      </w:r>
      <w:r>
        <w:rPr>
          <w:rFonts w:ascii="Times New Roman" w:hAnsi="Times New Roman" w:cs="Times New Roman" w:eastAsia="Times New Roman" w:hint="default"/>
          <w:spacing w:val="-9"/>
        </w:rPr>
        <w:t> </w:t>
      </w:r>
      <w:r>
        <w:rPr/>
        <w:t>的移动终端的</w:t>
      </w:r>
      <w:r>
        <w:rPr>
          <w:spacing w:val="-66"/>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应用将 成为整个</w:t>
      </w:r>
      <w:r>
        <w:rPr>
          <w:spacing w:val="-66"/>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9"/>
        </w:rPr>
        <w:t> </w:t>
      </w:r>
      <w:r>
        <w:rPr/>
        <w:t>领域的发展趋势。</w:t>
      </w:r>
      <w:r>
        <w:rPr>
          <w:rFonts w:ascii="Times New Roman" w:hAnsi="Times New Roman" w:cs="Times New Roman" w:eastAsia="Times New Roman" w:hint="default"/>
        </w:rPr>
        <w:t>GIS</w:t>
      </w:r>
      <w:r>
        <w:rPr>
          <w:rFonts w:ascii="Times New Roman" w:hAnsi="Times New Roman" w:cs="Times New Roman" w:eastAsia="Times New Roman" w:hint="default"/>
          <w:spacing w:val="-7"/>
        </w:rPr>
        <w:t> </w:t>
      </w:r>
      <w:r>
        <w:rPr/>
        <w:t>技术的应用也将遵从这一不可逆转的潮流，除了 满足移动端位置导航服务，在更多的基于空间信息的新服务领域，例如基于位置的 商品信息推送服务、智能动态交通信息、个人金融服务等领域，移动</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将成为一 个基础应用技术，支持各个行业开展基于位置信息提供各类增值服务。</w:t>
      </w:r>
    </w:p>
    <w:p>
      <w:pPr>
        <w:pStyle w:val="BodyText"/>
        <w:spacing w:line="348" w:lineRule="auto" w:before="206"/>
        <w:ind w:left="140" w:right="153" w:firstLine="511"/>
        <w:jc w:val="both"/>
      </w:pPr>
      <w:r>
        <w:rPr/>
        <w:t>近年来，随着各单位业务的不断发展与开拓，基于各单位、各部门信息化独立 建设的</w:t>
      </w:r>
      <w:r>
        <w:rPr>
          <w:spacing w:val="-66"/>
        </w:rPr>
        <w:t> </w:t>
      </w:r>
      <w:r>
        <w:rPr>
          <w:rFonts w:ascii="Times New Roman" w:hAnsi="Times New Roman" w:cs="Times New Roman" w:eastAsia="Times New Roman" w:hint="default"/>
        </w:rPr>
        <w:t>Web</w:t>
      </w:r>
      <w:r>
        <w:rPr>
          <w:rFonts w:ascii="Times New Roman" w:hAnsi="Times New Roman" w:cs="Times New Roman" w:eastAsia="Times New Roman" w:hint="default"/>
          <w:spacing w:val="-5"/>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应用逐渐凸显其信息孤岛的瓶颈，跨部门、跨区域、面向全球模型 实现信息一体化共享的需求越来越强烈，如何构建能够整合跨区域、跨平台、跨部 门的</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服务器，实现多资源的应用整合，完成企业各类信息的互通互联成为</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应用系统建设的新难题。云计算的出现，为解决这一困难提供了技术基础。</w:t>
      </w:r>
    </w:p>
    <w:p>
      <w:pPr>
        <w:pStyle w:val="BodyText"/>
        <w:spacing w:line="338" w:lineRule="auto" w:before="202"/>
        <w:ind w:left="140" w:right="214" w:firstLine="511"/>
        <w:jc w:val="both"/>
      </w:pPr>
      <w:r>
        <w:rPr/>
        <w:t>基于上述理解，本公司将着力“二三维一体化</w:t>
      </w:r>
      <w:r>
        <w:rPr>
          <w:spacing w:val="-63"/>
        </w:rPr>
        <w:t> </w:t>
      </w:r>
      <w:r>
        <w:rPr>
          <w:rFonts w:ascii="Times New Roman" w:hAnsi="Times New Roman" w:cs="Times New Roman" w:eastAsia="Times New Roman" w:hint="default"/>
        </w:rPr>
        <w:t>GIS</w:t>
      </w:r>
      <w:r>
        <w:rPr/>
        <w:t>、移动</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和云</w:t>
      </w:r>
      <w:r>
        <w:rPr>
          <w:spacing w:val="-60"/>
        </w:rPr>
        <w:t> </w:t>
      </w:r>
      <w:r>
        <w:rPr>
          <w:rFonts w:ascii="Times New Roman" w:hAnsi="Times New Roman" w:cs="Times New Roman" w:eastAsia="Times New Roman" w:hint="default"/>
        </w:rPr>
        <w:t>GIS</w:t>
      </w:r>
      <w:r>
        <w:rPr/>
        <w:t>”的关 键技术解决和相关产品的研发，提升公司核心竞争力，抢占高端市场。</w:t>
      </w:r>
    </w:p>
    <w:p>
      <w:pPr>
        <w:spacing w:line="766" w:lineRule="exact" w:before="16"/>
        <w:ind w:left="651" w:right="155" w:hanging="51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、深化政府部门的应用，拓展企业应用</w:t>
      </w:r>
      <w:r>
        <w:rPr>
          <w:rFonts w:ascii="宋体" w:hAnsi="宋体" w:cs="宋体" w:eastAsia="宋体" w:hint="default"/>
          <w:b/>
          <w:bCs/>
          <w:w w:val="99"/>
          <w:sz w:val="24"/>
          <w:szCs w:val="24"/>
        </w:rPr>
        <w:t> </w:t>
      </w:r>
      <w:r>
        <w:rPr>
          <w:rFonts w:ascii="宋体" w:hAnsi="宋体" w:cs="宋体" w:eastAsia="宋体" w:hint="default"/>
          <w:sz w:val="24"/>
          <w:szCs w:val="24"/>
        </w:rPr>
        <w:t>近年来，我国很多行业主管部门都加大了所管辖领域行业资源的盘点、建库等</w:t>
      </w:r>
    </w:p>
    <w:p>
      <w:pPr>
        <w:pStyle w:val="BodyText"/>
        <w:spacing w:line="357" w:lineRule="auto" w:before="34"/>
        <w:ind w:left="140" w:right="204"/>
        <w:jc w:val="both"/>
      </w:pPr>
      <w:r>
        <w:rPr/>
        <w:t>基础性信息化工作，基础建库工作完成后，行业客户将基于基础信息开展各类专业 应用。因此公司将加大行业应用研究工作，提炼行业应用共性，开发行业应用平台 软件，提高产品的复用性和适应度，进一步拓展政府用户市场。</w:t>
      </w:r>
    </w:p>
    <w:p>
      <w:pPr>
        <w:pStyle w:val="BodyText"/>
        <w:spacing w:line="343" w:lineRule="auto" w:before="192"/>
        <w:ind w:left="140" w:right="152" w:firstLine="511"/>
        <w:jc w:val="both"/>
      </w:pPr>
      <w:r>
        <w:rPr/>
        <w:t>企业应用是</w:t>
      </w:r>
      <w:r>
        <w:rPr>
          <w:spacing w:val="-57"/>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spacing w:val="-3"/>
        </w:rPr>
        <w:t>的蓝海，在过去的</w:t>
      </w:r>
      <w:r>
        <w:rPr>
          <w:spacing w:val="-57"/>
        </w:rPr>
        <w:t> </w:t>
      </w:r>
      <w:r>
        <w:rPr>
          <w:rFonts w:ascii="Times New Roman" w:hAnsi="Times New Roman" w:cs="Times New Roman" w:eastAsia="Times New Roman" w:hint="default"/>
          <w:spacing w:val="-4"/>
        </w:rPr>
        <w:t>20</w:t>
      </w:r>
      <w:r>
        <w:rPr>
          <w:spacing w:val="-4"/>
        </w:rPr>
        <w:t>、</w:t>
      </w:r>
      <w:r>
        <w:rPr>
          <w:rFonts w:ascii="Times New Roman" w:hAnsi="Times New Roman" w:cs="Times New Roman" w:eastAsia="Times New Roman" w:hint="default"/>
          <w:spacing w:val="-4"/>
        </w:rPr>
        <w:t>30</w:t>
      </w:r>
      <w:r>
        <w:rPr>
          <w:rFonts w:ascii="Times New Roman" w:hAnsi="Times New Roman" w:cs="Times New Roman" w:eastAsia="Times New Roman" w:hint="default"/>
          <w:spacing w:val="3"/>
        </w:rPr>
        <w:t> </w:t>
      </w:r>
      <w:r>
        <w:rPr>
          <w:spacing w:val="-5"/>
        </w:rPr>
        <w:t>年里，</w:t>
      </w:r>
      <w:r>
        <w:rPr>
          <w:rFonts w:ascii="Times New Roman" w:hAnsi="Times New Roman" w:cs="Times New Roman" w:eastAsia="Times New Roman" w:hint="default"/>
          <w:spacing w:val="-5"/>
        </w:rPr>
        <w:t>GIS</w:t>
      </w:r>
      <w:r>
        <w:rPr>
          <w:rFonts w:ascii="Times New Roman" w:hAnsi="Times New Roman" w:cs="Times New Roman" w:eastAsia="Times New Roman" w:hint="default"/>
          <w:spacing w:val="4"/>
        </w:rPr>
        <w:t> </w:t>
      </w:r>
      <w:r>
        <w:rPr>
          <w:spacing w:val="-4"/>
        </w:rPr>
        <w:t>作为一种“奢侈”化信息</w:t>
      </w:r>
      <w:r>
        <w:rPr/>
        <w:t> 化建设投资，很难被客户所用。随着近年来地理信息数据使用成本的下降、获取渠 道丰富，越来越的企业希望使用</w:t>
      </w:r>
      <w:r>
        <w:rPr>
          <w:spacing w:val="-61"/>
        </w:rPr>
        <w:t> </w:t>
      </w:r>
      <w:r>
        <w:rPr>
          <w:rFonts w:ascii="Times New Roman" w:hAnsi="Times New Roman" w:cs="Times New Roman" w:eastAsia="Times New Roman" w:hint="default"/>
        </w:rPr>
        <w:t>GIS </w:t>
      </w:r>
      <w:r>
        <w:rPr/>
        <w:t>为其资源管理、分配和布局提供支持决策。因 此，企业市场拓展是公司的发展重点。本公司将基于云</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技术架构，为部份企业 提供在线地理信息服务，以满足企业客户的一些基础性地理信息需求。</w:t>
      </w:r>
    </w:p>
    <w:p>
      <w:pPr>
        <w:spacing w:after="0" w:line="343" w:lineRule="auto"/>
        <w:jc w:val="both"/>
        <w:sectPr>
          <w:pgSz w:w="11910" w:h="16840"/>
          <w:pgMar w:header="884" w:footer="1007" w:top="1140" w:bottom="1200" w:left="1660" w:right="1260"/>
        </w:sectPr>
      </w:pPr>
    </w:p>
    <w:p>
      <w:pPr>
        <w:spacing w:line="240" w:lineRule="auto" w:before="5"/>
        <w:rPr>
          <w:rFonts w:ascii="宋体" w:hAnsi="宋体" w:cs="宋体" w:eastAsia="宋体" w:hint="default"/>
          <w:sz w:val="23"/>
          <w:szCs w:val="23"/>
        </w:rPr>
      </w:pPr>
    </w:p>
    <w:p>
      <w:pPr>
        <w:pStyle w:val="Heading5"/>
        <w:spacing w:line="240" w:lineRule="auto" w:before="26"/>
        <w:ind w:left="140" w:right="0"/>
        <w:jc w:val="both"/>
        <w:rPr>
          <w:b w:val="0"/>
          <w:bCs w:val="0"/>
        </w:rPr>
      </w:pPr>
      <w:r>
        <w:rPr>
          <w:rFonts w:ascii="Times New Roman" w:hAnsi="Times New Roman" w:cs="Times New Roman" w:eastAsia="Times New Roman" w:hint="default"/>
        </w:rPr>
        <w:t>3</w:t>
      </w:r>
      <w:r>
        <w:rPr/>
        <w:t>、挑战</w:t>
      </w:r>
      <w:r>
        <w:rPr>
          <w:b w:val="0"/>
          <w:bCs w:val="0"/>
        </w:rPr>
      </w:r>
    </w:p>
    <w:p>
      <w:pPr>
        <w:spacing w:line="750" w:lineRule="atLeast" w:before="27"/>
        <w:ind w:left="620" w:right="100"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）员工技能及工作效率尚待提高</w:t>
      </w:r>
      <w:r>
        <w:rPr>
          <w:rFonts w:ascii="宋体" w:hAnsi="宋体" w:cs="宋体" w:eastAsia="宋体" w:hint="default"/>
          <w:b/>
          <w:bCs/>
          <w:w w:val="99"/>
          <w:sz w:val="24"/>
          <w:szCs w:val="24"/>
        </w:rPr>
        <w:t> </w:t>
      </w:r>
      <w:r>
        <w:rPr>
          <w:rFonts w:ascii="宋体" w:hAnsi="宋体" w:cs="宋体" w:eastAsia="宋体" w:hint="default"/>
          <w:sz w:val="24"/>
          <w:szCs w:val="24"/>
        </w:rPr>
        <w:t>作为一个从事软件和信息服务业的公司，人才是最大的生产力和创新源泉，因</w:t>
      </w:r>
    </w:p>
    <w:p>
      <w:pPr>
        <w:pStyle w:val="BodyText"/>
        <w:spacing w:line="357" w:lineRule="auto" w:before="154"/>
        <w:ind w:left="140" w:right="230"/>
        <w:jc w:val="both"/>
      </w:pPr>
      <w:r>
        <w:rPr/>
        <w:t>此，员工职业技能的提升，将成为影响公司未来发展的重要因素之一。此外随着公</w:t>
      </w:r>
      <w:r>
        <w:rPr>
          <w:spacing w:val="-72"/>
        </w:rPr>
        <w:t> </w:t>
      </w:r>
      <w:r>
        <w:rPr>
          <w:spacing w:val="-72"/>
        </w:rPr>
      </w:r>
      <w:r>
        <w:rPr/>
        <w:t>司人员规模的急速扩张，员工的工作效率、工作有效性成为了影响公司业务拓展和</w:t>
      </w:r>
      <w:r>
        <w:rPr>
          <w:spacing w:val="-77"/>
        </w:rPr>
        <w:t> </w:t>
      </w:r>
      <w:r>
        <w:rPr>
          <w:spacing w:val="-77"/>
        </w:rPr>
      </w:r>
      <w:r>
        <w:rPr/>
        <w:t>利润增长的最重要因素。</w:t>
      </w:r>
    </w:p>
    <w:p>
      <w:pPr>
        <w:pStyle w:val="BodyText"/>
        <w:spacing w:line="357" w:lineRule="auto" w:before="37"/>
        <w:ind w:left="140" w:right="229" w:firstLine="479"/>
        <w:jc w:val="both"/>
      </w:pPr>
      <w:r>
        <w:rPr/>
        <w:t>为此公司需要尽快建立有效的激励机制和考核体系，加强员工职业素质和技能</w:t>
      </w:r>
      <w:r>
        <w:rPr>
          <w:spacing w:val="2"/>
        </w:rPr>
        <w:t> </w:t>
      </w:r>
      <w:r>
        <w:rPr/>
        <w:t>培训，加强管理，提高员工的工作积极性和有效性。</w:t>
      </w:r>
    </w:p>
    <w:p>
      <w:pPr>
        <w:spacing w:line="240" w:lineRule="auto" w:before="2"/>
        <w:rPr>
          <w:rFonts w:ascii="宋体" w:hAnsi="宋体" w:cs="宋体" w:eastAsia="宋体" w:hint="default"/>
          <w:sz w:val="25"/>
          <w:szCs w:val="25"/>
        </w:rPr>
      </w:pPr>
    </w:p>
    <w:p>
      <w:pPr>
        <w:pStyle w:val="Heading5"/>
        <w:spacing w:line="240" w:lineRule="auto"/>
        <w:ind w:left="140" w:right="0"/>
        <w:jc w:val="both"/>
        <w:rPr>
          <w:b w:val="0"/>
          <w:bCs w:val="0"/>
        </w:rPr>
      </w:pPr>
      <w:r>
        <w:rPr/>
        <w:t>（</w:t>
      </w:r>
      <w:r>
        <w:rPr>
          <w:rFonts w:ascii="Times New Roman" w:hAnsi="Times New Roman" w:cs="Times New Roman" w:eastAsia="Times New Roman" w:hint="default"/>
        </w:rPr>
        <w:t>2</w:t>
      </w:r>
      <w:r>
        <w:rPr/>
        <w:t>）需要进一步提高业务模式和应用模式创新</w:t>
      </w:r>
      <w:r>
        <w:rPr>
          <w:b w:val="0"/>
          <w:bCs w:val="0"/>
        </w:rPr>
      </w:r>
    </w:p>
    <w:p>
      <w:pPr>
        <w:spacing w:line="240" w:lineRule="auto" w:before="2"/>
        <w:rPr>
          <w:rFonts w:ascii="宋体" w:hAnsi="宋体" w:cs="宋体" w:eastAsia="宋体" w:hint="default"/>
          <w:b/>
          <w:bCs/>
          <w:sz w:val="33"/>
          <w:szCs w:val="33"/>
        </w:rPr>
      </w:pPr>
    </w:p>
    <w:p>
      <w:pPr>
        <w:pStyle w:val="BodyText"/>
        <w:spacing w:line="348" w:lineRule="auto"/>
        <w:ind w:left="140" w:right="232" w:firstLine="479"/>
        <w:jc w:val="both"/>
      </w:pPr>
      <w:r>
        <w:rPr>
          <w:spacing w:val="-3"/>
        </w:rPr>
        <w:t>公司长期以来重视技术创新，随着</w:t>
      </w:r>
      <w:r>
        <w:rPr>
          <w:rFonts w:ascii="Times New Roman" w:hAnsi="Times New Roman" w:cs="Times New Roman" w:eastAsia="Times New Roman" w:hint="default"/>
          <w:spacing w:val="-3"/>
        </w:rPr>
        <w:t>GIS</w:t>
      </w:r>
      <w:r>
        <w:rPr>
          <w:spacing w:val="-3"/>
        </w:rPr>
        <w:t>技术与</w:t>
      </w:r>
      <w:r>
        <w:rPr>
          <w:rFonts w:ascii="Times New Roman" w:hAnsi="Times New Roman" w:cs="Times New Roman" w:eastAsia="Times New Roman" w:hint="default"/>
          <w:spacing w:val="-3"/>
        </w:rPr>
        <w:t>IT</w:t>
      </w:r>
      <w:r>
        <w:rPr>
          <w:spacing w:val="-3"/>
        </w:rPr>
        <w:t>主流技术的融合，公司在重视技</w:t>
      </w:r>
      <w:r>
        <w:rPr/>
        <w:t> 术创新的同时，还需要同时加强应用模式创新和业务模式创新的探索，创造出引领</w:t>
      </w:r>
      <w:r>
        <w:rPr>
          <w:spacing w:val="-77"/>
        </w:rPr>
        <w:t> </w:t>
      </w:r>
      <w:r>
        <w:rPr>
          <w:spacing w:val="-77"/>
        </w:rPr>
      </w:r>
      <w:r>
        <w:rPr/>
        <w:t>地理信息应用的新模式。</w:t>
      </w:r>
    </w:p>
    <w:p>
      <w:pPr>
        <w:pStyle w:val="BodyText"/>
        <w:spacing w:line="348" w:lineRule="auto" w:before="46"/>
        <w:ind w:left="140" w:right="102" w:firstLine="479"/>
        <w:jc w:val="left"/>
      </w:pPr>
      <w:r>
        <w:rPr>
          <w:spacing w:val="-6"/>
          <w:w w:val="99"/>
        </w:rPr>
        <w:t>目前公司增设了一个云事业部，研究基于云</w:t>
      </w:r>
      <w:r>
        <w:rPr>
          <w:rFonts w:ascii="Times New Roman" w:hAnsi="Times New Roman" w:cs="Times New Roman" w:eastAsia="Times New Roman" w:hint="default"/>
          <w:spacing w:val="-6"/>
          <w:w w:val="99"/>
        </w:rPr>
        <w:t>GIS</w:t>
      </w:r>
      <w:r>
        <w:rPr>
          <w:spacing w:val="-6"/>
          <w:w w:val="99"/>
        </w:rPr>
        <w:t>的新服务业态。但这还远远不够，</w:t>
      </w:r>
      <w:r>
        <w:rPr/>
        <w:t> 我们的所有行业事业部，都需要深入到行业中，了解行业的需求趋势，将其需求结</w:t>
      </w:r>
      <w:r>
        <w:rPr>
          <w:spacing w:val="-77"/>
        </w:rPr>
        <w:t> </w:t>
      </w:r>
      <w:r>
        <w:rPr>
          <w:spacing w:val="-77"/>
        </w:rPr>
      </w:r>
      <w:r>
        <w:rPr/>
        <w:t>合</w:t>
      </w:r>
      <w:r>
        <w:rPr>
          <w:rFonts w:ascii="Times New Roman" w:hAnsi="Times New Roman" w:cs="Times New Roman" w:eastAsia="Times New Roman" w:hint="default"/>
        </w:rPr>
        <w:t>IT</w:t>
      </w:r>
      <w:r>
        <w:rPr/>
        <w:t>主流技术的发展创新出更有价值的应用，提高产品市场占有率。</w:t>
      </w:r>
    </w:p>
    <w:p>
      <w:pPr>
        <w:spacing w:line="240" w:lineRule="auto" w:before="11"/>
        <w:rPr>
          <w:rFonts w:ascii="宋体" w:hAnsi="宋体" w:cs="宋体" w:eastAsia="宋体" w:hint="default"/>
          <w:sz w:val="24"/>
          <w:szCs w:val="24"/>
        </w:rPr>
      </w:pPr>
    </w:p>
    <w:p>
      <w:pPr>
        <w:pStyle w:val="Heading4"/>
        <w:spacing w:line="240" w:lineRule="auto"/>
        <w:ind w:left="140" w:right="0"/>
        <w:jc w:val="both"/>
        <w:rPr>
          <w:b w:val="0"/>
          <w:bCs w:val="0"/>
        </w:rPr>
      </w:pPr>
      <w:bookmarkStart w:name="_TOC_250073" w:id="15"/>
      <w:r>
        <w:rPr/>
        <w:t>（七）实现未来发展战略所需资金的计划</w:t>
      </w:r>
      <w:bookmarkEnd w:id="15"/>
      <w:r>
        <w:rPr>
          <w:b w:val="0"/>
          <w:bCs w:val="0"/>
        </w:rPr>
      </w:r>
    </w:p>
    <w:p>
      <w:pPr>
        <w:spacing w:line="240" w:lineRule="auto" w:before="12"/>
        <w:rPr>
          <w:rFonts w:ascii="宋体" w:hAnsi="宋体" w:cs="宋体" w:eastAsia="宋体" w:hint="default"/>
          <w:b/>
          <w:bCs/>
          <w:sz w:val="35"/>
          <w:szCs w:val="35"/>
        </w:rPr>
      </w:pPr>
    </w:p>
    <w:p>
      <w:pPr>
        <w:pStyle w:val="BodyText"/>
        <w:spacing w:line="338" w:lineRule="auto"/>
        <w:ind w:left="140" w:right="232" w:firstLine="479"/>
        <w:jc w:val="both"/>
      </w:pPr>
      <w:r>
        <w:rPr>
          <w:spacing w:val="2"/>
        </w:rPr>
        <w:t>公司</w:t>
      </w:r>
      <w:r>
        <w:rPr>
          <w:rFonts w:ascii="Times New Roman" w:hAnsi="Times New Roman" w:cs="Times New Roman" w:eastAsia="Times New Roman" w:hint="default"/>
          <w:spacing w:val="2"/>
        </w:rPr>
        <w:t>2009</w:t>
      </w:r>
      <w:r>
        <w:rPr>
          <w:spacing w:val="2"/>
        </w:rPr>
        <w:t>年底公开发行</w:t>
      </w:r>
      <w:r>
        <w:rPr>
          <w:rFonts w:ascii="Times New Roman" w:hAnsi="Times New Roman" w:cs="Times New Roman" w:eastAsia="Times New Roman" w:hint="default"/>
          <w:spacing w:val="2"/>
        </w:rPr>
        <w:t>A</w:t>
      </w:r>
      <w:r>
        <w:rPr>
          <w:spacing w:val="2"/>
        </w:rPr>
        <w:t>股募集资金，截止报告期末尚余超募资金约</w:t>
      </w:r>
      <w:r>
        <w:rPr>
          <w:rFonts w:ascii="Times New Roman" w:hAnsi="Times New Roman" w:cs="Times New Roman" w:eastAsia="Times New Roman" w:hint="default"/>
          <w:spacing w:val="2"/>
        </w:rPr>
        <w:t>20,506.16</w:t>
      </w:r>
      <w:r>
        <w:rPr>
          <w:rFonts w:ascii="Times New Roman" w:hAnsi="Times New Roman" w:cs="Times New Roman" w:eastAsia="Times New Roman" w:hint="default"/>
        </w:rPr>
        <w:t> </w:t>
      </w:r>
      <w:r>
        <w:rPr/>
        <w:t>万元。目前，公司发展资金较为充足，基本保证公司现有业务的发展需求。</w:t>
      </w:r>
    </w:p>
    <w:p>
      <w:pPr>
        <w:pStyle w:val="BodyText"/>
        <w:spacing w:line="348" w:lineRule="auto" w:before="55"/>
        <w:ind w:left="140" w:right="227" w:firstLine="479"/>
        <w:jc w:val="both"/>
      </w:pPr>
      <w:r>
        <w:rPr>
          <w:rFonts w:ascii="Times New Roman" w:hAnsi="Times New Roman" w:cs="Times New Roman" w:eastAsia="Times New Roman" w:hint="default"/>
        </w:rPr>
        <w:t>2012</w:t>
      </w:r>
      <w:r>
        <w:rPr/>
        <w:t>年，公司将严格按照中国证监会和深圳证券交易所的各项规定，规范、有 效的使用募集资金和超募资金。公司将积极推进各超募项目建设，努力提高超募资</w:t>
      </w:r>
      <w:r>
        <w:rPr>
          <w:spacing w:val="-69"/>
        </w:rPr>
        <w:t> </w:t>
      </w:r>
      <w:r>
        <w:rPr>
          <w:spacing w:val="-69"/>
        </w:rPr>
      </w:r>
      <w:r>
        <w:rPr>
          <w:spacing w:val="-2"/>
        </w:rPr>
        <w:t>金使用效率，尽快使超募投项目产生效益。同时，对于尚无使用计划的</w:t>
      </w:r>
      <w:r>
        <w:rPr>
          <w:rFonts w:ascii="Times New Roman" w:hAnsi="Times New Roman" w:cs="Times New Roman" w:eastAsia="Times New Roman" w:hint="default"/>
          <w:spacing w:val="-2"/>
        </w:rPr>
        <w:t>6,047.77</w:t>
      </w:r>
      <w:r>
        <w:rPr>
          <w:spacing w:val="-2"/>
        </w:rPr>
        <w:t>万元</w:t>
      </w:r>
      <w:r>
        <w:rPr>
          <w:spacing w:val="-110"/>
        </w:rPr>
        <w:t> </w:t>
      </w:r>
      <w:r>
        <w:rPr/>
        <w:t>超募资金，公司也正在围绕公司发展战略，积极开展项目调研和论证，争取尽快制</w:t>
      </w:r>
      <w:r>
        <w:rPr>
          <w:spacing w:val="-77"/>
        </w:rPr>
        <w:t> </w:t>
      </w:r>
      <w:r>
        <w:rPr>
          <w:spacing w:val="-77"/>
        </w:rPr>
      </w:r>
      <w:r>
        <w:rPr/>
        <w:t>定使用计划。</w:t>
      </w:r>
    </w:p>
    <w:p>
      <w:pPr>
        <w:spacing w:after="0" w:line="348" w:lineRule="auto"/>
        <w:jc w:val="both"/>
        <w:sectPr>
          <w:pgSz w:w="11910" w:h="16840"/>
          <w:pgMar w:header="884" w:footer="1007" w:top="1140" w:bottom="1200" w:left="1660" w:right="1180"/>
        </w:sectPr>
      </w:pPr>
    </w:p>
    <w:p>
      <w:pPr>
        <w:spacing w:line="240" w:lineRule="auto" w:before="3"/>
        <w:rPr>
          <w:rFonts w:ascii="宋体" w:hAnsi="宋体" w:cs="宋体" w:eastAsia="宋体" w:hint="default"/>
          <w:sz w:val="26"/>
          <w:szCs w:val="26"/>
        </w:rPr>
      </w:pPr>
    </w:p>
    <w:p>
      <w:pPr>
        <w:pStyle w:val="Heading3"/>
        <w:spacing w:line="240" w:lineRule="auto" w:before="7"/>
        <w:ind w:left="140" w:right="0"/>
        <w:jc w:val="both"/>
        <w:rPr>
          <w:b w:val="0"/>
          <w:bCs w:val="0"/>
        </w:rPr>
      </w:pPr>
      <w:bookmarkStart w:name="_TOC_250072" w:id="16"/>
      <w:r>
        <w:rPr/>
        <w:t>三、报告期内公司投资情况</w:t>
      </w:r>
      <w:bookmarkEnd w:id="16"/>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left="140" w:right="0"/>
        <w:jc w:val="both"/>
        <w:rPr>
          <w:b w:val="0"/>
          <w:bCs w:val="0"/>
        </w:rPr>
      </w:pPr>
      <w:bookmarkStart w:name="_TOC_250071" w:id="17"/>
      <w:r>
        <w:rPr/>
        <w:t>（一）报告期内募集资金使用情况</w:t>
      </w:r>
      <w:bookmarkEnd w:id="17"/>
      <w:r>
        <w:rPr>
          <w:b w:val="0"/>
          <w:bCs w:val="0"/>
        </w:rPr>
      </w:r>
    </w:p>
    <w:p>
      <w:pPr>
        <w:spacing w:line="760" w:lineRule="atLeast" w:before="73"/>
        <w:ind w:left="620" w:right="137"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、实际募集资金金额、资金到位时间</w:t>
      </w:r>
      <w:r>
        <w:rPr>
          <w:rFonts w:ascii="宋体" w:hAnsi="宋体" w:cs="宋体" w:eastAsia="宋体" w:hint="default"/>
          <w:b/>
          <w:bCs/>
          <w:w w:val="99"/>
          <w:sz w:val="24"/>
          <w:szCs w:val="24"/>
        </w:rPr>
        <w:t> </w:t>
      </w:r>
      <w:r>
        <w:rPr>
          <w:rFonts w:ascii="宋体" w:hAnsi="宋体" w:cs="宋体" w:eastAsia="宋体" w:hint="default"/>
          <w:sz w:val="24"/>
          <w:szCs w:val="24"/>
        </w:rPr>
        <w:t>公司于</w:t>
      </w:r>
      <w:r>
        <w:rPr>
          <w:rFonts w:ascii="Times New Roman" w:hAnsi="Times New Roman" w:cs="Times New Roman" w:eastAsia="Times New Roman" w:hint="default"/>
          <w:sz w:val="24"/>
          <w:szCs w:val="24"/>
        </w:rPr>
        <w:t>2009</w:t>
      </w:r>
      <w:r>
        <w:rPr>
          <w:rFonts w:ascii="宋体" w:hAnsi="宋体" w:cs="宋体" w:eastAsia="宋体" w:hint="default"/>
          <w:sz w:val="24"/>
          <w:szCs w:val="24"/>
        </w:rPr>
        <w:t>年年底向社会公众公开发行了人民币普通股（</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40"/>
          <w:sz w:val="24"/>
          <w:szCs w:val="24"/>
        </w:rPr>
        <w:t> </w:t>
      </w:r>
      <w:r>
        <w:rPr>
          <w:rFonts w:ascii="宋体" w:hAnsi="宋体" w:cs="宋体" w:eastAsia="宋体" w:hint="default"/>
          <w:spacing w:val="-4"/>
          <w:sz w:val="24"/>
          <w:szCs w:val="24"/>
        </w:rPr>
        <w:t>股）</w:t>
      </w:r>
      <w:r>
        <w:rPr>
          <w:rFonts w:ascii="Times New Roman" w:hAnsi="Times New Roman" w:cs="Times New Roman" w:eastAsia="Times New Roman" w:hint="default"/>
          <w:spacing w:val="-4"/>
          <w:sz w:val="24"/>
          <w:szCs w:val="24"/>
        </w:rPr>
        <w:t>1,900</w:t>
      </w:r>
      <w:r>
        <w:rPr>
          <w:rFonts w:ascii="宋体" w:hAnsi="宋体" w:cs="宋体" w:eastAsia="宋体" w:hint="default"/>
          <w:spacing w:val="-4"/>
          <w:sz w:val="24"/>
          <w:szCs w:val="24"/>
        </w:rPr>
        <w:t>万股，发</w:t>
      </w:r>
    </w:p>
    <w:p>
      <w:pPr>
        <w:pStyle w:val="BodyText"/>
        <w:spacing w:line="338" w:lineRule="auto" w:before="135"/>
        <w:ind w:left="140" w:right="151"/>
        <w:jc w:val="both"/>
      </w:pPr>
      <w:r>
        <w:rPr/>
        <w:t>行价为每股人民币</w:t>
      </w:r>
      <w:r>
        <w:rPr>
          <w:rFonts w:ascii="Times New Roman" w:hAnsi="Times New Roman" w:cs="Times New Roman" w:eastAsia="Times New Roman" w:hint="default"/>
        </w:rPr>
        <w:t>19.6</w:t>
      </w:r>
      <w:r>
        <w:rPr/>
        <w:t>元，共募集资金人民币</w:t>
      </w:r>
      <w:r>
        <w:rPr>
          <w:rFonts w:ascii="Times New Roman" w:hAnsi="Times New Roman" w:cs="Times New Roman" w:eastAsia="Times New Roman" w:hint="default"/>
        </w:rPr>
        <w:t>352,780,000.00</w:t>
      </w:r>
      <w:r>
        <w:rPr/>
        <w:t>元，扣除发行费用后，</w:t>
      </w:r>
      <w:r>
        <w:rPr>
          <w:spacing w:val="-74"/>
        </w:rPr>
        <w:t> </w:t>
      </w:r>
      <w:r>
        <w:rPr>
          <w:spacing w:val="-74"/>
        </w:rPr>
      </w:r>
      <w:r>
        <w:rPr/>
        <w:t>募集资金净额为人民币</w:t>
      </w:r>
      <w:r>
        <w:rPr>
          <w:rFonts w:ascii="Times New Roman" w:hAnsi="Times New Roman" w:cs="Times New Roman" w:eastAsia="Times New Roman" w:hint="default"/>
        </w:rPr>
        <w:t>342,573,700.00</w:t>
      </w:r>
      <w:r>
        <w:rPr/>
        <w:t>元。</w:t>
      </w:r>
    </w:p>
    <w:p>
      <w:pPr>
        <w:spacing w:line="240" w:lineRule="auto" w:before="6"/>
        <w:rPr>
          <w:rFonts w:ascii="宋体" w:hAnsi="宋体" w:cs="宋体" w:eastAsia="宋体" w:hint="default"/>
          <w:sz w:val="24"/>
          <w:szCs w:val="24"/>
        </w:rPr>
      </w:pPr>
    </w:p>
    <w:p>
      <w:pPr>
        <w:pStyle w:val="Heading5"/>
        <w:spacing w:line="240" w:lineRule="auto"/>
        <w:ind w:left="140" w:right="0"/>
        <w:jc w:val="both"/>
        <w:rPr>
          <w:b w:val="0"/>
          <w:bCs w:val="0"/>
        </w:rPr>
      </w:pPr>
      <w:r>
        <w:rPr>
          <w:rFonts w:ascii="Times New Roman" w:hAnsi="Times New Roman" w:cs="Times New Roman" w:eastAsia="Times New Roman" w:hint="default"/>
        </w:rPr>
        <w:t>2</w:t>
      </w:r>
      <w:r>
        <w:rPr/>
        <w:t>、募集资金使用及结余情况</w:t>
      </w:r>
      <w:r>
        <w:rPr>
          <w:b w:val="0"/>
          <w:bCs w:val="0"/>
        </w:rPr>
      </w:r>
    </w:p>
    <w:p>
      <w:pPr>
        <w:spacing w:line="240" w:lineRule="auto" w:before="4"/>
        <w:rPr>
          <w:rFonts w:ascii="宋体" w:hAnsi="宋体" w:cs="宋体" w:eastAsia="宋体" w:hint="default"/>
          <w:b/>
          <w:bCs/>
          <w:sz w:val="33"/>
          <w:szCs w:val="33"/>
        </w:rPr>
      </w:pPr>
    </w:p>
    <w:p>
      <w:pPr>
        <w:pStyle w:val="BodyText"/>
        <w:spacing w:line="338" w:lineRule="auto"/>
        <w:ind w:left="140" w:right="154" w:firstLine="479"/>
        <w:jc w:val="both"/>
      </w:pPr>
      <w:r>
        <w:rPr/>
        <w:t>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日，本公司募集资金累计投入募投项目</w:t>
      </w:r>
      <w:r>
        <w:rPr>
          <w:rFonts w:ascii="Times New Roman" w:hAnsi="Times New Roman" w:cs="Times New Roman" w:eastAsia="Times New Roman" w:hint="default"/>
        </w:rPr>
        <w:t>12,880.00</w:t>
      </w:r>
      <w:r>
        <w:rPr/>
        <w:t>万元，其中 </w:t>
      </w:r>
      <w:r>
        <w:rPr>
          <w:rFonts w:ascii="Times New Roman" w:hAnsi="Times New Roman" w:cs="Times New Roman" w:eastAsia="Times New Roman" w:hint="default"/>
        </w:rPr>
        <w:t>GIS</w:t>
      </w:r>
      <w:r>
        <w:rPr/>
        <w:t>基础平台研发升级项目累积投入</w:t>
      </w:r>
      <w:r>
        <w:rPr>
          <w:rFonts w:ascii="Times New Roman" w:hAnsi="Times New Roman" w:cs="Times New Roman" w:eastAsia="Times New Roman" w:hint="default"/>
        </w:rPr>
        <w:t>7,057.82</w:t>
      </w:r>
      <w:r>
        <w:rPr/>
        <w:t>万元、</w:t>
      </w:r>
      <w:r>
        <w:rPr>
          <w:rFonts w:ascii="Times New Roman" w:hAnsi="Times New Roman" w:cs="Times New Roman" w:eastAsia="Times New Roman" w:hint="default"/>
        </w:rPr>
        <w:t>GIS</w:t>
      </w:r>
      <w:r>
        <w:rPr/>
        <w:t>应用平台软件系列研发升级 项目累积投入</w:t>
      </w:r>
      <w:r>
        <w:rPr>
          <w:rFonts w:ascii="Times New Roman" w:hAnsi="Times New Roman" w:cs="Times New Roman" w:eastAsia="Times New Roman" w:hint="default"/>
        </w:rPr>
        <w:t>3,843.00</w:t>
      </w:r>
      <w:r>
        <w:rPr/>
        <w:t>万元、日本超图株式会社的部份股权收入累积投入</w:t>
      </w:r>
      <w:r>
        <w:rPr>
          <w:rFonts w:ascii="Times New Roman" w:hAnsi="Times New Roman" w:cs="Times New Roman" w:eastAsia="Times New Roman" w:hint="default"/>
        </w:rPr>
        <w:t>1,710.21</w:t>
      </w:r>
      <w:r>
        <w:rPr/>
        <w:t>万 </w:t>
      </w:r>
      <w:r>
        <w:rPr>
          <w:spacing w:val="-1"/>
        </w:rPr>
        <w:t>元、成都技术中心建设投入</w:t>
      </w:r>
      <w:r>
        <w:rPr>
          <w:rFonts w:ascii="Times New Roman" w:hAnsi="Times New Roman" w:cs="Times New Roman" w:eastAsia="Times New Roman" w:hint="default"/>
          <w:spacing w:val="-1"/>
        </w:rPr>
        <w:t>74.21</w:t>
      </w:r>
      <w:r>
        <w:rPr>
          <w:spacing w:val="-1"/>
        </w:rPr>
        <w:t>万元、承接西安市数字化“城市管理”信息系统建</w:t>
      </w:r>
      <w:r>
        <w:rPr>
          <w:spacing w:val="-93"/>
        </w:rPr>
        <w:t> </w:t>
      </w:r>
      <w:r>
        <w:rPr>
          <w:spacing w:val="-93"/>
        </w:rPr>
      </w:r>
      <w:r>
        <w:rPr/>
        <w:t>设项目累积投入</w:t>
      </w:r>
      <w:r>
        <w:rPr>
          <w:rFonts w:ascii="Times New Roman" w:hAnsi="Times New Roman" w:cs="Times New Roman" w:eastAsia="Times New Roman" w:hint="default"/>
        </w:rPr>
        <w:t>194.76</w:t>
      </w:r>
      <w:r>
        <w:rPr/>
        <w:t>万元，购置总部研发办公大楼款项未支付。</w:t>
      </w:r>
    </w:p>
    <w:p>
      <w:pPr>
        <w:pStyle w:val="BodyText"/>
        <w:spacing w:line="338" w:lineRule="auto" w:before="183"/>
        <w:ind w:left="140" w:right="142" w:firstLine="479"/>
        <w:jc w:val="both"/>
      </w:pPr>
      <w:r>
        <w:rPr/>
        <w:t>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日，公司实际尚未使用的募集资金金额为</w:t>
      </w:r>
      <w:r>
        <w:rPr>
          <w:rFonts w:ascii="Times New Roman" w:hAnsi="Times New Roman" w:cs="Times New Roman" w:eastAsia="Times New Roman" w:hint="default"/>
        </w:rPr>
        <w:t>221,266,850.36</w:t>
      </w:r>
      <w:r>
        <w:rPr/>
        <w:t>元。 </w:t>
      </w:r>
      <w:r>
        <w:rPr>
          <w:spacing w:val="-2"/>
        </w:rPr>
        <w:t>公司募集资金银行专户余额</w:t>
      </w:r>
      <w:r>
        <w:rPr>
          <w:rFonts w:ascii="Times New Roman" w:hAnsi="Times New Roman" w:cs="Times New Roman" w:eastAsia="Times New Roman" w:hint="default"/>
          <w:spacing w:val="-2"/>
        </w:rPr>
        <w:t>221,266,850.36</w:t>
      </w:r>
      <w:r>
        <w:rPr>
          <w:spacing w:val="-2"/>
        </w:rPr>
        <w:t>元，其中含有利息收入</w:t>
      </w:r>
      <w:r>
        <w:rPr>
          <w:rFonts w:ascii="Times New Roman" w:hAnsi="Times New Roman" w:cs="Times New Roman" w:eastAsia="Times New Roman" w:hint="default"/>
          <w:spacing w:val="-2"/>
        </w:rPr>
        <w:t>6,865,629.27</w:t>
      </w:r>
      <w:r>
        <w:rPr>
          <w:spacing w:val="-2"/>
        </w:rPr>
        <w:t>元、应</w:t>
      </w:r>
      <w:r>
        <w:rPr>
          <w:spacing w:val="-90"/>
        </w:rPr>
        <w:t> </w:t>
      </w:r>
      <w:r>
        <w:rPr>
          <w:spacing w:val="-90"/>
        </w:rPr>
      </w:r>
      <w:r>
        <w:rPr/>
        <w:t>付但未付的基础平台软件升级项目人工成本（具体为应付基础平台项目人员的</w:t>
      </w:r>
      <w:r>
        <w:rPr>
          <w:rFonts w:ascii="Times New Roman" w:hAnsi="Times New Roman" w:cs="Times New Roman" w:eastAsia="Times New Roman" w:hint="default"/>
        </w:rPr>
        <w:t>2011 </w:t>
      </w:r>
      <w:r>
        <w:rPr/>
        <w:t>年度年终奖金）</w:t>
      </w:r>
      <w:r>
        <w:rPr>
          <w:rFonts w:ascii="Times New Roman" w:hAnsi="Times New Roman" w:cs="Times New Roman" w:eastAsia="Times New Roman" w:hint="default"/>
        </w:rPr>
        <w:t>6,392,605.61</w:t>
      </w:r>
      <w:r>
        <w:rPr/>
        <w:t>元。</w:t>
      </w:r>
    </w:p>
    <w:p>
      <w:pPr>
        <w:spacing w:line="240" w:lineRule="auto" w:before="6"/>
        <w:rPr>
          <w:rFonts w:ascii="宋体" w:hAnsi="宋体" w:cs="宋体" w:eastAsia="宋体" w:hint="default"/>
          <w:sz w:val="24"/>
          <w:szCs w:val="24"/>
        </w:rPr>
      </w:pPr>
    </w:p>
    <w:p>
      <w:pPr>
        <w:pStyle w:val="Heading5"/>
        <w:spacing w:line="240" w:lineRule="auto"/>
        <w:ind w:left="140" w:right="0"/>
        <w:jc w:val="both"/>
        <w:rPr>
          <w:b w:val="0"/>
          <w:bCs w:val="0"/>
        </w:rPr>
      </w:pPr>
      <w:r>
        <w:rPr>
          <w:rFonts w:ascii="Times New Roman" w:hAnsi="Times New Roman" w:cs="Times New Roman" w:eastAsia="Times New Roman" w:hint="default"/>
        </w:rPr>
        <w:t>3</w:t>
      </w:r>
      <w:r>
        <w:rPr/>
        <w:t>、募集资金的管理情况</w:t>
      </w:r>
      <w:r>
        <w:rPr>
          <w:b w:val="0"/>
          <w:bCs w:val="0"/>
        </w:rPr>
      </w:r>
    </w:p>
    <w:p>
      <w:pPr>
        <w:spacing w:line="240" w:lineRule="auto" w:before="2"/>
        <w:rPr>
          <w:rFonts w:ascii="宋体" w:hAnsi="宋体" w:cs="宋体" w:eastAsia="宋体" w:hint="default"/>
          <w:b/>
          <w:bCs/>
          <w:sz w:val="33"/>
          <w:szCs w:val="33"/>
        </w:rPr>
      </w:pPr>
    </w:p>
    <w:p>
      <w:pPr>
        <w:pStyle w:val="BodyText"/>
        <w:spacing w:line="338" w:lineRule="auto"/>
        <w:ind w:left="620" w:right="0"/>
        <w:jc w:val="left"/>
      </w:pPr>
      <w:r>
        <w:rPr/>
        <w:t>（</w:t>
      </w:r>
      <w:r>
        <w:rPr>
          <w:rFonts w:ascii="Times New Roman" w:hAnsi="Times New Roman" w:cs="Times New Roman" w:eastAsia="Times New Roman" w:hint="default"/>
        </w:rPr>
        <w:t>1</w:t>
      </w:r>
      <w:r>
        <w:rPr/>
        <w:t>）募集资金的管理情况 为了规范募集资金的管理和使用，保护投资者权益，本公司依照《深圳证券交</w:t>
      </w:r>
    </w:p>
    <w:p>
      <w:pPr>
        <w:pStyle w:val="BodyText"/>
        <w:spacing w:line="357" w:lineRule="auto" w:before="55"/>
        <w:ind w:left="140" w:right="151"/>
        <w:jc w:val="both"/>
      </w:pPr>
      <w:r>
        <w:rPr/>
        <w:t>易所创业板股票上市规则》、《深圳证券交易所创业板上市公司规范运作指引》等</w:t>
      </w:r>
      <w:r>
        <w:rPr>
          <w:spacing w:val="-77"/>
        </w:rPr>
        <w:t> </w:t>
      </w:r>
      <w:r>
        <w:rPr>
          <w:spacing w:val="-77"/>
        </w:rPr>
      </w:r>
      <w:r>
        <w:rPr/>
        <w:t>的规定，结合本公司实际情况，制定了《北京超图软件股份有限公司募集资金管理</w:t>
      </w:r>
      <w:r>
        <w:rPr>
          <w:spacing w:val="-74"/>
        </w:rPr>
        <w:t> </w:t>
      </w:r>
      <w:r>
        <w:rPr>
          <w:spacing w:val="-74"/>
        </w:rPr>
      </w:r>
      <w:r>
        <w:rPr/>
        <w:t>办法》（以下简称管理办法）。</w:t>
      </w:r>
    </w:p>
    <w:p>
      <w:pPr>
        <w:pStyle w:val="BodyText"/>
        <w:spacing w:line="338" w:lineRule="auto" w:before="36"/>
        <w:ind w:left="140" w:right="149" w:firstLine="479"/>
        <w:jc w:val="both"/>
      </w:pPr>
      <w:r>
        <w:rPr/>
        <w:t>根据管理办法并结合经营需要，本公司从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月起对募集资金实行专户存 储，在银行设立募集资金使用专户，并与开户银行、保荐机构签订了《募集资金三</w:t>
      </w:r>
    </w:p>
    <w:p>
      <w:pPr>
        <w:spacing w:after="0" w:line="338" w:lineRule="auto"/>
        <w:jc w:val="both"/>
        <w:sectPr>
          <w:pgSz w:w="11910" w:h="16840"/>
          <w:pgMar w:header="884" w:footer="1007" w:top="1140" w:bottom="1200" w:left="1660" w:right="1260"/>
        </w:sectPr>
      </w:pPr>
    </w:p>
    <w:p>
      <w:pPr>
        <w:spacing w:line="240" w:lineRule="auto" w:before="6"/>
        <w:rPr>
          <w:rFonts w:ascii="宋体" w:hAnsi="宋体" w:cs="宋体" w:eastAsia="宋体" w:hint="default"/>
          <w:sz w:val="22"/>
          <w:szCs w:val="22"/>
        </w:rPr>
      </w:pPr>
    </w:p>
    <w:p>
      <w:pPr>
        <w:pStyle w:val="BodyText"/>
        <w:spacing w:line="338" w:lineRule="auto" w:before="26"/>
        <w:ind w:left="240" w:right="252"/>
        <w:jc w:val="both"/>
      </w:pPr>
      <w:r>
        <w:rPr/>
        <w:t>方监管协议》，对募集资金的使用实施严格审批，以保证专款专用。截至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31</w:t>
      </w:r>
      <w:r>
        <w:rPr/>
        <w:t>日，本公司均严格按照该《募集资金三方监管协议》的规定，存放和使用募集</w:t>
      </w:r>
      <w:r>
        <w:rPr>
          <w:spacing w:val="-74"/>
        </w:rPr>
        <w:t> </w:t>
      </w:r>
      <w:r>
        <w:rPr>
          <w:spacing w:val="-74"/>
        </w:rPr>
      </w:r>
      <w:r>
        <w:rPr/>
        <w:t>资金。</w:t>
      </w:r>
    </w:p>
    <w:p>
      <w:pPr>
        <w:pStyle w:val="BodyText"/>
        <w:spacing w:line="357" w:lineRule="auto" w:before="55"/>
        <w:ind w:left="240" w:right="252" w:firstLine="479"/>
        <w:jc w:val="both"/>
      </w:pPr>
      <w:r>
        <w:rPr/>
        <w:t>为维护股东和公司利益，根据项目进展情况及资金使用需求情况，公司将部分 募集资金以银行定期存单方式存储于专户下，存单到期后将自动转放相应的募集资</w:t>
      </w:r>
      <w:r>
        <w:rPr>
          <w:spacing w:val="-73"/>
        </w:rPr>
        <w:t> </w:t>
      </w:r>
      <w:r>
        <w:rPr>
          <w:spacing w:val="-73"/>
        </w:rPr>
      </w:r>
      <w:r>
        <w:rPr/>
        <w:t>金专户中。</w:t>
      </w:r>
    </w:p>
    <w:p>
      <w:pPr>
        <w:pStyle w:val="BodyText"/>
        <w:spacing w:line="338" w:lineRule="auto" w:before="36"/>
        <w:ind w:left="720" w:right="2926"/>
        <w:jc w:val="left"/>
      </w:pPr>
      <w:r>
        <w:rPr/>
        <w:t>（</w:t>
      </w:r>
      <w:r>
        <w:rPr>
          <w:rFonts w:ascii="Times New Roman" w:hAnsi="Times New Roman" w:cs="Times New Roman" w:eastAsia="Times New Roman" w:hint="default"/>
        </w:rPr>
        <w:t>2</w:t>
      </w:r>
      <w:r>
        <w:rPr/>
        <w:t>）募集资金专户存储情况 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日，募集资金具体存放情况如下：</w:t>
      </w:r>
    </w:p>
    <w:p>
      <w:pPr>
        <w:spacing w:before="208"/>
        <w:ind w:left="0" w:right="249"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21"/>
          <w:szCs w:val="21"/>
        </w:rPr>
      </w:pPr>
    </w:p>
    <w:tbl>
      <w:tblPr>
        <w:tblW w:w="0" w:type="auto"/>
        <w:jc w:val="left"/>
        <w:tblInd w:w="118" w:type="dxa"/>
        <w:tblLayout w:type="fixed"/>
        <w:tblCellMar>
          <w:top w:w="0" w:type="dxa"/>
          <w:left w:w="0" w:type="dxa"/>
          <w:bottom w:w="0" w:type="dxa"/>
          <w:right w:w="0" w:type="dxa"/>
        </w:tblCellMar>
        <w:tblLook w:val="01E0"/>
      </w:tblPr>
      <w:tblGrid>
        <w:gridCol w:w="2377"/>
        <w:gridCol w:w="3262"/>
        <w:gridCol w:w="1212"/>
        <w:gridCol w:w="2057"/>
      </w:tblGrid>
      <w:tr>
        <w:trPr>
          <w:trHeight w:val="490" w:hRule="exact"/>
        </w:trPr>
        <w:tc>
          <w:tcPr>
            <w:tcW w:w="237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b/>
                <w:bCs/>
                <w:sz w:val="21"/>
                <w:szCs w:val="21"/>
              </w:rPr>
              <w:t>开户银行</w:t>
            </w:r>
            <w:r>
              <w:rPr>
                <w:rFonts w:ascii="宋体" w:hAnsi="宋体" w:cs="宋体" w:eastAsia="宋体" w:hint="default"/>
                <w:sz w:val="21"/>
                <w:szCs w:val="21"/>
              </w:rPr>
            </w:r>
          </w:p>
        </w:tc>
        <w:tc>
          <w:tcPr>
            <w:tcW w:w="32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b/>
                <w:bCs/>
                <w:sz w:val="21"/>
                <w:szCs w:val="21"/>
              </w:rPr>
              <w:t>银行帐号</w:t>
            </w:r>
            <w:r>
              <w:rPr>
                <w:rFonts w:ascii="宋体" w:hAnsi="宋体" w:cs="宋体" w:eastAsia="宋体" w:hint="default"/>
                <w:sz w:val="21"/>
                <w:szCs w:val="21"/>
              </w:rPr>
            </w:r>
          </w:p>
        </w:tc>
        <w:tc>
          <w:tcPr>
            <w:tcW w:w="121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b/>
                <w:bCs/>
                <w:sz w:val="21"/>
                <w:szCs w:val="21"/>
              </w:rPr>
              <w:t>帐户类别</w:t>
            </w:r>
            <w:r>
              <w:rPr>
                <w:rFonts w:ascii="宋体" w:hAnsi="宋体" w:cs="宋体" w:eastAsia="宋体" w:hint="default"/>
                <w:sz w:val="21"/>
                <w:szCs w:val="21"/>
              </w:rPr>
            </w:r>
          </w:p>
        </w:tc>
        <w:tc>
          <w:tcPr>
            <w:tcW w:w="20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4"/>
              <w:ind w:left="600" w:right="0"/>
              <w:jc w:val="left"/>
              <w:rPr>
                <w:rFonts w:ascii="宋体" w:hAnsi="宋体" w:cs="宋体" w:eastAsia="宋体" w:hint="default"/>
                <w:sz w:val="21"/>
                <w:szCs w:val="21"/>
              </w:rPr>
            </w:pPr>
            <w:r>
              <w:rPr>
                <w:rFonts w:ascii="宋体" w:hAnsi="宋体" w:cs="宋体" w:eastAsia="宋体" w:hint="default"/>
                <w:b/>
                <w:bCs/>
                <w:sz w:val="21"/>
                <w:szCs w:val="21"/>
              </w:rPr>
              <w:t>存款余额</w:t>
            </w:r>
            <w:r>
              <w:rPr>
                <w:rFonts w:ascii="宋体" w:hAnsi="宋体" w:cs="宋体" w:eastAsia="宋体" w:hint="default"/>
                <w:sz w:val="21"/>
                <w:szCs w:val="21"/>
              </w:rPr>
            </w:r>
          </w:p>
        </w:tc>
      </w:tr>
      <w:tr>
        <w:trPr>
          <w:trHeight w:val="485" w:hRule="exact"/>
        </w:trPr>
        <w:tc>
          <w:tcPr>
            <w:tcW w:w="8908"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0" w:lineRule="auto" w:before="66"/>
              <w:ind w:left="93" w:right="0"/>
              <w:jc w:val="left"/>
              <w:rPr>
                <w:rFonts w:ascii="宋体" w:hAnsi="宋体" w:cs="宋体" w:eastAsia="宋体" w:hint="default"/>
                <w:sz w:val="21"/>
                <w:szCs w:val="21"/>
              </w:rPr>
            </w:pPr>
            <w:r>
              <w:rPr>
                <w:rFonts w:ascii="宋体" w:hAnsi="宋体" w:cs="宋体" w:eastAsia="宋体" w:hint="default"/>
                <w:b/>
                <w:bCs/>
                <w:sz w:val="21"/>
                <w:szCs w:val="21"/>
              </w:rPr>
              <w:t>本公司在北京银行中关村科技园区支行募集资金专户存储情况</w:t>
            </w:r>
            <w:r>
              <w:rPr>
                <w:rFonts w:ascii="宋体" w:hAnsi="宋体" w:cs="宋体" w:eastAsia="宋体" w:hint="default"/>
                <w:sz w:val="21"/>
                <w:szCs w:val="21"/>
              </w:rPr>
            </w:r>
          </w:p>
        </w:tc>
      </w:tr>
      <w:tr>
        <w:trPr>
          <w:trHeight w:val="950"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64"/>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0" w:right="0"/>
              <w:jc w:val="center"/>
              <w:rPr>
                <w:rFonts w:ascii="Times New Roman" w:hAnsi="Times New Roman" w:cs="Times New Roman" w:eastAsia="Times New Roman" w:hint="default"/>
                <w:sz w:val="24"/>
                <w:szCs w:val="24"/>
              </w:rPr>
            </w:pPr>
            <w:r>
              <w:rPr>
                <w:rFonts w:ascii="Times New Roman"/>
                <w:sz w:val="24"/>
              </w:rPr>
              <w:t>01090879400120501093944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24"/>
                <w:szCs w:val="24"/>
              </w:rPr>
            </w:pPr>
            <w:r>
              <w:rPr>
                <w:rFonts w:ascii="Times New Roman"/>
                <w:sz w:val="24"/>
              </w:rPr>
              <w:t>50,000,000.00</w:t>
            </w:r>
          </w:p>
        </w:tc>
      </w:tr>
      <w:tr>
        <w:trPr>
          <w:trHeight w:val="951"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64"/>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40" w:right="0"/>
              <w:jc w:val="center"/>
              <w:rPr>
                <w:rFonts w:ascii="Times New Roman" w:hAnsi="Times New Roman" w:cs="Times New Roman" w:eastAsia="Times New Roman" w:hint="default"/>
                <w:sz w:val="24"/>
                <w:szCs w:val="24"/>
              </w:rPr>
            </w:pPr>
            <w:r>
              <w:rPr>
                <w:rFonts w:ascii="Times New Roman"/>
                <w:sz w:val="24"/>
              </w:rPr>
              <w:t>01090879400120501093944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3"/>
              <w:ind w:right="91"/>
              <w:jc w:val="right"/>
              <w:rPr>
                <w:rFonts w:ascii="Times New Roman" w:hAnsi="Times New Roman" w:cs="Times New Roman" w:eastAsia="Times New Roman" w:hint="default"/>
                <w:sz w:val="24"/>
                <w:szCs w:val="24"/>
              </w:rPr>
            </w:pPr>
            <w:r>
              <w:rPr>
                <w:rFonts w:ascii="Times New Roman"/>
                <w:sz w:val="24"/>
              </w:rPr>
              <w:t>50,000,000.00</w:t>
            </w:r>
          </w:p>
        </w:tc>
      </w:tr>
      <w:tr>
        <w:trPr>
          <w:trHeight w:val="950"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64"/>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0" w:right="0"/>
              <w:jc w:val="center"/>
              <w:rPr>
                <w:rFonts w:ascii="Times New Roman" w:hAnsi="Times New Roman" w:cs="Times New Roman" w:eastAsia="Times New Roman" w:hint="default"/>
                <w:sz w:val="24"/>
                <w:szCs w:val="24"/>
              </w:rPr>
            </w:pPr>
            <w:r>
              <w:rPr>
                <w:rFonts w:ascii="Times New Roman"/>
                <w:sz w:val="24"/>
              </w:rPr>
              <w:t>01090879400120501093944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24"/>
                <w:szCs w:val="24"/>
              </w:rPr>
            </w:pPr>
            <w:r>
              <w:rPr>
                <w:rFonts w:ascii="Times New Roman"/>
                <w:sz w:val="24"/>
              </w:rPr>
              <w:t>50,000,000.00</w:t>
            </w:r>
          </w:p>
        </w:tc>
      </w:tr>
      <w:tr>
        <w:trPr>
          <w:trHeight w:val="953"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66"/>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0" w:right="0"/>
              <w:jc w:val="center"/>
              <w:rPr>
                <w:rFonts w:ascii="Times New Roman" w:hAnsi="Times New Roman" w:cs="Times New Roman" w:eastAsia="Times New Roman" w:hint="default"/>
                <w:sz w:val="24"/>
                <w:szCs w:val="24"/>
              </w:rPr>
            </w:pPr>
            <w:r>
              <w:rPr>
                <w:rFonts w:ascii="Times New Roman"/>
                <w:sz w:val="24"/>
              </w:rPr>
              <w:t>01090879400120501093944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91"/>
              <w:jc w:val="right"/>
              <w:rPr>
                <w:rFonts w:ascii="Times New Roman" w:hAnsi="Times New Roman" w:cs="Times New Roman" w:eastAsia="Times New Roman" w:hint="default"/>
                <w:sz w:val="24"/>
                <w:szCs w:val="24"/>
              </w:rPr>
            </w:pPr>
            <w:r>
              <w:rPr>
                <w:rFonts w:ascii="Times New Roman"/>
                <w:sz w:val="24"/>
              </w:rPr>
              <w:t>20,000,000.00</w:t>
            </w:r>
          </w:p>
        </w:tc>
      </w:tr>
      <w:tr>
        <w:trPr>
          <w:trHeight w:val="951"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410" w:lineRule="auto" w:before="64"/>
              <w:ind w:left="856" w:right="127" w:hanging="735"/>
              <w:jc w:val="left"/>
              <w:rPr>
                <w:rFonts w:ascii="宋体" w:hAnsi="宋体" w:cs="宋体" w:eastAsia="宋体" w:hint="default"/>
                <w:sz w:val="21"/>
                <w:szCs w:val="21"/>
              </w:rPr>
            </w:pPr>
            <w:r>
              <w:rPr>
                <w:rFonts w:ascii="宋体" w:hAnsi="宋体" w:cs="宋体" w:eastAsia="宋体" w:hint="default"/>
                <w:sz w:val="21"/>
                <w:szCs w:val="21"/>
              </w:rPr>
              <w:t>北京银行中关村科技园</w:t>
            </w:r>
            <w:r>
              <w:rPr>
                <w:rFonts w:ascii="宋体" w:hAnsi="宋体" w:cs="宋体" w:eastAsia="宋体" w:hint="default"/>
                <w:w w:val="100"/>
                <w:sz w:val="21"/>
                <w:szCs w:val="21"/>
              </w:rPr>
              <w:t> </w:t>
            </w:r>
            <w:r>
              <w:rPr>
                <w:rFonts w:ascii="宋体" w:hAnsi="宋体" w:cs="宋体" w:eastAsia="宋体" w:hint="default"/>
                <w:sz w:val="21"/>
                <w:szCs w:val="21"/>
              </w:rPr>
              <w:t>区支行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0" w:right="0"/>
              <w:jc w:val="center"/>
              <w:rPr>
                <w:rFonts w:ascii="Times New Roman" w:hAnsi="Times New Roman" w:cs="Times New Roman" w:eastAsia="Times New Roman" w:hint="default"/>
                <w:sz w:val="24"/>
                <w:szCs w:val="24"/>
              </w:rPr>
            </w:pPr>
            <w:r>
              <w:rPr>
                <w:rFonts w:ascii="Times New Roman"/>
                <w:sz w:val="24"/>
              </w:rPr>
              <w:t>01090879400120109075374</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活期</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24"/>
                <w:szCs w:val="24"/>
              </w:rPr>
            </w:pPr>
            <w:r>
              <w:rPr>
                <w:rFonts w:ascii="Times New Roman"/>
                <w:sz w:val="24"/>
              </w:rPr>
              <w:t>8,912,505.52</w:t>
            </w:r>
          </w:p>
        </w:tc>
      </w:tr>
      <w:tr>
        <w:trPr>
          <w:trHeight w:val="482"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小计</w:t>
            </w:r>
          </w:p>
        </w:tc>
        <w:tc>
          <w:tcPr>
            <w:tcW w:w="3262"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24"/>
                <w:szCs w:val="24"/>
              </w:rPr>
            </w:pPr>
            <w:r>
              <w:rPr>
                <w:rFonts w:ascii="Times New Roman"/>
                <w:sz w:val="24"/>
              </w:rPr>
              <w:t>178,912,505.52</w:t>
            </w:r>
          </w:p>
        </w:tc>
      </w:tr>
      <w:tr>
        <w:trPr>
          <w:trHeight w:val="482" w:hRule="exact"/>
        </w:trPr>
        <w:tc>
          <w:tcPr>
            <w:tcW w:w="8908" w:type="dxa"/>
            <w:gridSpan w:val="4"/>
            <w:tcBorders>
              <w:top w:val="single" w:sz="6" w:space="0" w:color="000000"/>
              <w:left w:val="single" w:sz="12" w:space="0" w:color="000000"/>
              <w:bottom w:val="single" w:sz="6" w:space="0" w:color="000000"/>
              <w:right w:val="single" w:sz="12" w:space="0" w:color="000000"/>
            </w:tcBorders>
          </w:tcPr>
          <w:p>
            <w:pPr>
              <w:pStyle w:val="TableParagraph"/>
              <w:spacing w:line="240" w:lineRule="auto" w:before="64"/>
              <w:ind w:left="93" w:right="0"/>
              <w:jc w:val="left"/>
              <w:rPr>
                <w:rFonts w:ascii="宋体" w:hAnsi="宋体" w:cs="宋体" w:eastAsia="宋体" w:hint="default"/>
                <w:sz w:val="21"/>
                <w:szCs w:val="21"/>
              </w:rPr>
            </w:pPr>
            <w:r>
              <w:rPr>
                <w:rFonts w:ascii="宋体" w:hAnsi="宋体" w:cs="宋体" w:eastAsia="宋体" w:hint="default"/>
                <w:b/>
                <w:bCs/>
                <w:sz w:val="21"/>
                <w:szCs w:val="21"/>
              </w:rPr>
              <w:t>本公司在招商银行北京望京支行募集资金专户存储情况</w:t>
            </w:r>
            <w:r>
              <w:rPr>
                <w:rFonts w:ascii="宋体" w:hAnsi="宋体" w:cs="宋体" w:eastAsia="宋体" w:hint="default"/>
                <w:sz w:val="21"/>
                <w:szCs w:val="21"/>
              </w:rPr>
            </w:r>
          </w:p>
        </w:tc>
      </w:tr>
      <w:tr>
        <w:trPr>
          <w:trHeight w:val="485"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招商银行北京望京支行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40" w:right="0"/>
              <w:jc w:val="center"/>
              <w:rPr>
                <w:rFonts w:ascii="Times New Roman" w:hAnsi="Times New Roman" w:cs="Times New Roman" w:eastAsia="Times New Roman" w:hint="default"/>
                <w:sz w:val="24"/>
                <w:szCs w:val="24"/>
              </w:rPr>
            </w:pPr>
            <w:r>
              <w:rPr>
                <w:rFonts w:ascii="Times New Roman"/>
                <w:sz w:val="24"/>
              </w:rPr>
              <w:t>11090209768000032</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5"/>
              <w:ind w:right="91"/>
              <w:jc w:val="right"/>
              <w:rPr>
                <w:rFonts w:ascii="Times New Roman" w:hAnsi="Times New Roman" w:cs="Times New Roman" w:eastAsia="Times New Roman" w:hint="default"/>
                <w:sz w:val="24"/>
                <w:szCs w:val="24"/>
              </w:rPr>
            </w:pPr>
            <w:r>
              <w:rPr>
                <w:rFonts w:ascii="Times New Roman"/>
                <w:sz w:val="24"/>
              </w:rPr>
              <w:t>25,562,500.00</w:t>
            </w:r>
          </w:p>
        </w:tc>
      </w:tr>
      <w:tr>
        <w:trPr>
          <w:trHeight w:val="482"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招商银行北京望京支行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0" w:right="0"/>
              <w:jc w:val="center"/>
              <w:rPr>
                <w:rFonts w:ascii="Times New Roman" w:hAnsi="Times New Roman" w:cs="Times New Roman" w:eastAsia="Times New Roman" w:hint="default"/>
                <w:sz w:val="24"/>
                <w:szCs w:val="24"/>
              </w:rPr>
            </w:pPr>
            <w:r>
              <w:rPr>
                <w:rFonts w:ascii="Times New Roman"/>
                <w:sz w:val="24"/>
              </w:rPr>
              <w:t>11090209768000046</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定期存单</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24"/>
                <w:szCs w:val="24"/>
              </w:rPr>
            </w:pPr>
            <w:r>
              <w:rPr>
                <w:rFonts w:ascii="Times New Roman"/>
                <w:sz w:val="24"/>
              </w:rPr>
              <w:t>12,495,000.00</w:t>
            </w:r>
          </w:p>
        </w:tc>
      </w:tr>
      <w:tr>
        <w:trPr>
          <w:trHeight w:val="482"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招商银行北京望京支行</w:t>
            </w:r>
          </w:p>
        </w:tc>
        <w:tc>
          <w:tcPr>
            <w:tcW w:w="3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0" w:right="0"/>
              <w:jc w:val="center"/>
              <w:rPr>
                <w:rFonts w:ascii="Times New Roman" w:hAnsi="Times New Roman" w:cs="Times New Roman" w:eastAsia="Times New Roman" w:hint="default"/>
                <w:sz w:val="24"/>
                <w:szCs w:val="24"/>
              </w:rPr>
            </w:pPr>
            <w:r>
              <w:rPr>
                <w:rFonts w:ascii="Times New Roman"/>
                <w:sz w:val="24"/>
              </w:rPr>
              <w:t>110902097610101</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活期</w:t>
            </w: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24"/>
                <w:szCs w:val="24"/>
              </w:rPr>
            </w:pPr>
            <w:r>
              <w:rPr>
                <w:rFonts w:ascii="Times New Roman"/>
                <w:sz w:val="24"/>
              </w:rPr>
              <w:t>4,296,844.84</w:t>
            </w:r>
          </w:p>
        </w:tc>
      </w:tr>
      <w:tr>
        <w:trPr>
          <w:trHeight w:val="482" w:hRule="exact"/>
        </w:trPr>
        <w:tc>
          <w:tcPr>
            <w:tcW w:w="237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4"/>
              <w:ind w:right="5"/>
              <w:jc w:val="center"/>
              <w:rPr>
                <w:rFonts w:ascii="宋体" w:hAnsi="宋体" w:cs="宋体" w:eastAsia="宋体" w:hint="default"/>
                <w:sz w:val="21"/>
                <w:szCs w:val="21"/>
              </w:rPr>
            </w:pPr>
            <w:r>
              <w:rPr>
                <w:rFonts w:ascii="宋体" w:hAnsi="宋体" w:cs="宋体" w:eastAsia="宋体" w:hint="default"/>
                <w:sz w:val="21"/>
                <w:szCs w:val="21"/>
              </w:rPr>
              <w:t>小计</w:t>
            </w:r>
          </w:p>
        </w:tc>
        <w:tc>
          <w:tcPr>
            <w:tcW w:w="3262" w:type="dxa"/>
            <w:tcBorders>
              <w:top w:val="single" w:sz="6" w:space="0" w:color="000000"/>
              <w:left w:val="single" w:sz="6" w:space="0" w:color="000000"/>
              <w:bottom w:val="single" w:sz="6" w:space="0" w:color="000000"/>
              <w:right w:val="single" w:sz="6" w:space="0" w:color="000000"/>
            </w:tcBorders>
          </w:tcPr>
          <w:p>
            <w:pPr/>
          </w:p>
        </w:tc>
        <w:tc>
          <w:tcPr>
            <w:tcW w:w="1212" w:type="dxa"/>
            <w:tcBorders>
              <w:top w:val="single" w:sz="6" w:space="0" w:color="000000"/>
              <w:left w:val="single" w:sz="6" w:space="0" w:color="000000"/>
              <w:bottom w:val="single" w:sz="6" w:space="0" w:color="000000"/>
              <w:right w:val="single" w:sz="6" w:space="0" w:color="000000"/>
            </w:tcBorders>
          </w:tcPr>
          <w:p>
            <w:pPr/>
          </w:p>
        </w:tc>
        <w:tc>
          <w:tcPr>
            <w:tcW w:w="20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2"/>
              <w:ind w:right="91"/>
              <w:jc w:val="right"/>
              <w:rPr>
                <w:rFonts w:ascii="Times New Roman" w:hAnsi="Times New Roman" w:cs="Times New Roman" w:eastAsia="Times New Roman" w:hint="default"/>
                <w:sz w:val="24"/>
                <w:szCs w:val="24"/>
              </w:rPr>
            </w:pPr>
            <w:r>
              <w:rPr>
                <w:rFonts w:ascii="Times New Roman"/>
                <w:sz w:val="24"/>
              </w:rPr>
              <w:t>42,354,344.84</w:t>
            </w:r>
          </w:p>
        </w:tc>
      </w:tr>
      <w:tr>
        <w:trPr>
          <w:trHeight w:val="492" w:hRule="exact"/>
        </w:trPr>
        <w:tc>
          <w:tcPr>
            <w:tcW w:w="237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7"/>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62" w:type="dxa"/>
            <w:tcBorders>
              <w:top w:val="single" w:sz="6" w:space="0" w:color="000000"/>
              <w:left w:val="single" w:sz="6" w:space="0" w:color="000000"/>
              <w:bottom w:val="single" w:sz="12" w:space="0" w:color="000000"/>
              <w:right w:val="single" w:sz="6" w:space="0" w:color="000000"/>
            </w:tcBorders>
          </w:tcPr>
          <w:p>
            <w:pPr/>
          </w:p>
        </w:tc>
        <w:tc>
          <w:tcPr>
            <w:tcW w:w="1212" w:type="dxa"/>
            <w:tcBorders>
              <w:top w:val="single" w:sz="6" w:space="0" w:color="000000"/>
              <w:left w:val="single" w:sz="6" w:space="0" w:color="000000"/>
              <w:bottom w:val="single" w:sz="12" w:space="0" w:color="000000"/>
              <w:right w:val="single" w:sz="6" w:space="0" w:color="000000"/>
            </w:tcBorders>
          </w:tcPr>
          <w:p>
            <w:pPr/>
          </w:p>
        </w:tc>
        <w:tc>
          <w:tcPr>
            <w:tcW w:w="20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5"/>
              <w:ind w:right="91"/>
              <w:jc w:val="right"/>
              <w:rPr>
                <w:rFonts w:ascii="Times New Roman" w:hAnsi="Times New Roman" w:cs="Times New Roman" w:eastAsia="Times New Roman" w:hint="default"/>
                <w:sz w:val="24"/>
                <w:szCs w:val="24"/>
              </w:rPr>
            </w:pPr>
            <w:r>
              <w:rPr>
                <w:rFonts w:ascii="Times New Roman"/>
                <w:sz w:val="24"/>
              </w:rPr>
              <w:t>221,266,850.36</w:t>
            </w:r>
          </w:p>
        </w:tc>
      </w:tr>
    </w:tbl>
    <w:p>
      <w:pPr>
        <w:spacing w:after="0" w:line="240" w:lineRule="auto"/>
        <w:jc w:val="right"/>
        <w:rPr>
          <w:rFonts w:ascii="Times New Roman" w:hAnsi="Times New Roman" w:cs="Times New Roman" w:eastAsia="Times New Roman" w:hint="default"/>
          <w:sz w:val="24"/>
          <w:szCs w:val="24"/>
        </w:rPr>
        <w:sectPr>
          <w:footerReference w:type="default" r:id="rId21"/>
          <w:pgSz w:w="11910" w:h="16840"/>
          <w:pgMar w:footer="1007" w:header="884" w:top="1140" w:bottom="1200" w:left="1560" w:right="1160"/>
        </w:sectPr>
      </w:pPr>
    </w:p>
    <w:p>
      <w:pPr>
        <w:spacing w:line="240" w:lineRule="auto" w:before="6"/>
        <w:rPr>
          <w:rFonts w:ascii="宋体" w:hAnsi="宋体" w:cs="宋体" w:eastAsia="宋体" w:hint="default"/>
          <w:sz w:val="22"/>
          <w:szCs w:val="22"/>
        </w:rPr>
      </w:pPr>
    </w:p>
    <w:p>
      <w:pPr>
        <w:pStyle w:val="BodyText"/>
        <w:spacing w:line="338" w:lineRule="auto" w:before="26"/>
        <w:ind w:left="140" w:right="152" w:firstLine="479"/>
        <w:jc w:val="both"/>
      </w:pPr>
      <w:r>
        <w:rPr>
          <w:spacing w:val="-1"/>
        </w:rPr>
        <w:t>上述存款余额中，已计入募集资金专户利息收入</w:t>
      </w:r>
      <w:r>
        <w:rPr>
          <w:rFonts w:ascii="Times New Roman" w:hAnsi="Times New Roman" w:cs="Times New Roman" w:eastAsia="Times New Roman" w:hint="default"/>
          <w:spacing w:val="-1"/>
        </w:rPr>
        <w:t>7,493,262.30</w:t>
      </w:r>
      <w:r>
        <w:rPr>
          <w:spacing w:val="-1"/>
        </w:rPr>
        <w:t>元（其中</w:t>
      </w:r>
      <w:r>
        <w:rPr>
          <w:rFonts w:ascii="Times New Roman" w:hAnsi="Times New Roman" w:cs="Times New Roman" w:eastAsia="Times New Roman" w:hint="default"/>
          <w:spacing w:val="-1"/>
        </w:rPr>
        <w:t>2011</w:t>
      </w:r>
      <w:r>
        <w:rPr>
          <w:spacing w:val="-1"/>
        </w:rPr>
        <w:t>年度</w:t>
      </w:r>
      <w:r>
        <w:rPr/>
        <w:t> </w:t>
      </w:r>
      <w:r>
        <w:rPr>
          <w:spacing w:val="-3"/>
        </w:rPr>
        <w:t>利息收入</w:t>
      </w:r>
      <w:r>
        <w:rPr>
          <w:rFonts w:ascii="Times New Roman" w:hAnsi="Times New Roman" w:cs="Times New Roman" w:eastAsia="Times New Roman" w:hint="default"/>
          <w:spacing w:val="-3"/>
        </w:rPr>
        <w:t>6,865,629.27</w:t>
      </w:r>
      <w:r>
        <w:rPr>
          <w:spacing w:val="-3"/>
        </w:rPr>
        <w:t>元），已扣除手续费</w:t>
      </w:r>
      <w:r>
        <w:rPr>
          <w:rFonts w:ascii="Times New Roman" w:hAnsi="Times New Roman" w:cs="Times New Roman" w:eastAsia="Times New Roman" w:hint="default"/>
          <w:spacing w:val="-3"/>
        </w:rPr>
        <w:t>13,320.89</w:t>
      </w:r>
      <w:r>
        <w:rPr>
          <w:spacing w:val="-3"/>
        </w:rPr>
        <w:t>元（其中</w:t>
      </w:r>
      <w:r>
        <w:rPr>
          <w:rFonts w:ascii="Times New Roman" w:hAnsi="Times New Roman" w:cs="Times New Roman" w:eastAsia="Times New Roman" w:hint="default"/>
          <w:spacing w:val="-3"/>
        </w:rPr>
        <w:t>2011</w:t>
      </w:r>
      <w:r>
        <w:rPr>
          <w:spacing w:val="-3"/>
        </w:rPr>
        <w:t>年度手续费</w:t>
      </w:r>
      <w:r>
        <w:rPr>
          <w:rFonts w:ascii="Times New Roman" w:hAnsi="Times New Roman" w:cs="Times New Roman" w:eastAsia="Times New Roman" w:hint="default"/>
          <w:spacing w:val="-3"/>
        </w:rPr>
        <w:t>1,117.69</w:t>
      </w:r>
      <w:r>
        <w:rPr>
          <w:rFonts w:ascii="Times New Roman" w:hAnsi="Times New Roman" w:cs="Times New Roman" w:eastAsia="Times New Roman" w:hint="default"/>
          <w:spacing w:val="-28"/>
        </w:rPr>
        <w:t> </w:t>
      </w:r>
      <w:r>
        <w:rPr/>
        <w:t>元）。</w:t>
      </w:r>
    </w:p>
    <w:p>
      <w:pPr>
        <w:spacing w:line="240" w:lineRule="auto" w:before="8"/>
        <w:rPr>
          <w:rFonts w:ascii="宋体" w:hAnsi="宋体" w:cs="宋体" w:eastAsia="宋体" w:hint="default"/>
          <w:sz w:val="26"/>
          <w:szCs w:val="26"/>
        </w:rPr>
      </w:pPr>
    </w:p>
    <w:p>
      <w:pPr>
        <w:pStyle w:val="Heading5"/>
        <w:spacing w:line="240" w:lineRule="auto"/>
        <w:ind w:left="140" w:right="0"/>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0"/>
        <w:rPr>
          <w:rFonts w:ascii="宋体" w:hAnsi="宋体" w:cs="宋体" w:eastAsia="宋体" w:hint="default"/>
          <w:b/>
          <w:bCs/>
          <w:sz w:val="34"/>
          <w:szCs w:val="34"/>
        </w:rPr>
      </w:pPr>
    </w:p>
    <w:p>
      <w:pPr>
        <w:spacing w:before="0"/>
        <w:ind w:left="140"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）募集资金使用情况</w:t>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default" r:id="rId22"/>
          <w:pgSz w:w="11910" w:h="16840"/>
          <w:pgMar w:footer="1007" w:header="884" w:top="1140" w:bottom="1200" w:left="1660" w:right="1260"/>
        </w:sectPr>
      </w:pPr>
    </w:p>
    <w:p>
      <w:pPr>
        <w:pStyle w:val="Heading5"/>
        <w:spacing w:line="240" w:lineRule="auto" w:before="1"/>
        <w:ind w:left="0" w:right="0"/>
        <w:jc w:val="right"/>
        <w:rPr>
          <w:b w:val="0"/>
          <w:bCs w:val="0"/>
        </w:rPr>
      </w:pPr>
      <w:r>
        <w:rPr/>
        <w:pict>
          <v:group style="position:absolute;margin-left:41.16pt;margin-top:1.685652pt;width:759.85pt;height:.1pt;mso-position-horizontal-relative:page;mso-position-vertical-relative:paragraph;z-index:-765856" coordorigin="823,34" coordsize="15197,2">
            <v:shape style="position:absolute;left:823;top:34;width:15197;height:2" coordorigin="823,34" coordsize="15197,0" path="m823,34l16020,34e" filled="false" stroked="true" strokeweight=".72pt" strokecolor="#000000">
              <v:path arrowok="t"/>
            </v:shape>
            <w10:wrap type="none"/>
          </v:group>
        </w:pict>
      </w:r>
      <w:r>
        <w:rPr>
          <w:w w:val="95"/>
        </w:rPr>
        <w:t>募集资金使用情况对照表</w:t>
      </w:r>
      <w:r>
        <w:rPr>
          <w:b w:val="0"/>
          <w:bCs w:val="0"/>
        </w:rPr>
      </w:r>
    </w:p>
    <w:p>
      <w:pPr>
        <w:spacing w:line="240" w:lineRule="auto" w:before="3"/>
        <w:rPr>
          <w:rFonts w:ascii="宋体" w:hAnsi="宋体" w:cs="宋体" w:eastAsia="宋体" w:hint="default"/>
          <w:b/>
          <w:bCs/>
          <w:sz w:val="24"/>
          <w:szCs w:val="24"/>
        </w:rPr>
      </w:pPr>
      <w:r>
        <w:rPr/>
        <w:br w:type="column"/>
      </w:r>
      <w:r>
        <w:rPr>
          <w:rFonts w:ascii="宋体"/>
          <w:b/>
          <w:sz w:val="24"/>
        </w:rPr>
      </w:r>
    </w:p>
    <w:p>
      <w:pPr>
        <w:spacing w:before="0"/>
        <w:ind w:left="0" w:right="668" w:firstLine="0"/>
        <w:jc w:val="right"/>
        <w:rPr>
          <w:rFonts w:ascii="宋体" w:hAnsi="宋体" w:cs="宋体" w:eastAsia="宋体" w:hint="default"/>
          <w:sz w:val="21"/>
          <w:szCs w:val="21"/>
        </w:rPr>
      </w:pPr>
      <w:r>
        <w:rPr>
          <w:rFonts w:ascii="宋体" w:hAnsi="宋体" w:cs="宋体" w:eastAsia="宋体" w:hint="default"/>
          <w:b/>
          <w:bCs/>
          <w:sz w:val="21"/>
          <w:szCs w:val="21"/>
        </w:rPr>
        <w:t>单位：万元</w:t>
      </w:r>
      <w:r>
        <w:rPr>
          <w:rFonts w:ascii="宋体" w:hAnsi="宋体" w:cs="宋体" w:eastAsia="宋体" w:hint="default"/>
          <w:sz w:val="21"/>
          <w:szCs w:val="21"/>
        </w:rPr>
      </w:r>
    </w:p>
    <w:p>
      <w:pPr>
        <w:spacing w:after="0"/>
        <w:jc w:val="right"/>
        <w:rPr>
          <w:rFonts w:ascii="宋体" w:hAnsi="宋体" w:cs="宋体" w:eastAsia="宋体" w:hint="default"/>
          <w:sz w:val="21"/>
          <w:szCs w:val="21"/>
        </w:rPr>
        <w:sectPr>
          <w:headerReference w:type="default" r:id="rId23"/>
          <w:footerReference w:type="default" r:id="rId24"/>
          <w:pgSz w:w="16840" w:h="11910" w:orient="landscape"/>
          <w:pgMar w:header="884" w:footer="1008" w:top="1100" w:bottom="1200" w:left="700" w:right="700"/>
          <w:pgNumType w:start="42"/>
          <w:cols w:num="2" w:equalWidth="0">
            <w:col w:w="9046" w:space="40"/>
            <w:col w:w="6354"/>
          </w:cols>
        </w:sectPr>
      </w:pPr>
    </w:p>
    <w:p>
      <w:pPr>
        <w:spacing w:line="240" w:lineRule="auto" w:before="8"/>
        <w:rPr>
          <w:rFonts w:ascii="宋体" w:hAnsi="宋体" w:cs="宋体" w:eastAsia="宋体" w:hint="default"/>
          <w:b/>
          <w:bCs/>
          <w:sz w:val="23"/>
          <w:szCs w:val="23"/>
        </w:rPr>
      </w:pPr>
    </w:p>
    <w:tbl>
      <w:tblPr>
        <w:tblW w:w="0" w:type="auto"/>
        <w:jc w:val="left"/>
        <w:tblInd w:w="118" w:type="dxa"/>
        <w:tblLayout w:type="fixed"/>
        <w:tblCellMar>
          <w:top w:w="0" w:type="dxa"/>
          <w:left w:w="0" w:type="dxa"/>
          <w:bottom w:w="0" w:type="dxa"/>
          <w:right w:w="0" w:type="dxa"/>
        </w:tblCellMar>
        <w:tblLook w:val="01E0"/>
      </w:tblPr>
      <w:tblGrid>
        <w:gridCol w:w="1868"/>
        <w:gridCol w:w="708"/>
        <w:gridCol w:w="142"/>
        <w:gridCol w:w="852"/>
        <w:gridCol w:w="992"/>
        <w:gridCol w:w="852"/>
        <w:gridCol w:w="1109"/>
        <w:gridCol w:w="166"/>
        <w:gridCol w:w="1560"/>
        <w:gridCol w:w="1841"/>
        <w:gridCol w:w="970"/>
        <w:gridCol w:w="307"/>
        <w:gridCol w:w="852"/>
        <w:gridCol w:w="2408"/>
      </w:tblGrid>
      <w:tr>
        <w:trPr>
          <w:trHeight w:val="281" w:hRule="exact"/>
        </w:trPr>
        <w:tc>
          <w:tcPr>
            <w:tcW w:w="35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2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34,257.37</w:t>
            </w:r>
          </w:p>
        </w:tc>
        <w:tc>
          <w:tcPr>
            <w:tcW w:w="4537" w:type="dxa"/>
            <w:gridSpan w:val="4"/>
            <w:vMerge w:val="restart"/>
            <w:tcBorders>
              <w:top w:val="single" w:sz="4" w:space="0" w:color="000000"/>
              <w:left w:val="single" w:sz="4" w:space="0" w:color="000000"/>
              <w:right w:val="single" w:sz="4" w:space="0" w:color="000000"/>
            </w:tcBorders>
          </w:tcPr>
          <w:p>
            <w:pPr>
              <w:pStyle w:val="TableParagraph"/>
              <w:spacing w:line="240" w:lineRule="auto" w:before="107"/>
              <w:ind w:left="1109"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3567" w:type="dxa"/>
            <w:gridSpan w:val="3"/>
            <w:vMerge w:val="restart"/>
            <w:tcBorders>
              <w:top w:val="single" w:sz="4" w:space="0" w:color="000000"/>
              <w:left w:val="single" w:sz="4" w:space="0" w:color="000000"/>
              <w:right w:val="single" w:sz="4" w:space="0" w:color="000000"/>
            </w:tcBorders>
          </w:tcPr>
          <w:p>
            <w:pPr>
              <w:pStyle w:val="TableParagraph"/>
              <w:spacing w:line="240" w:lineRule="auto" w:before="149"/>
              <w:ind w:right="17"/>
              <w:jc w:val="right"/>
              <w:rPr>
                <w:rFonts w:ascii="Times New Roman" w:hAnsi="Times New Roman" w:cs="Times New Roman" w:eastAsia="Times New Roman" w:hint="default"/>
                <w:sz w:val="21"/>
                <w:szCs w:val="21"/>
              </w:rPr>
            </w:pPr>
            <w:r>
              <w:rPr>
                <w:rFonts w:ascii="Times New Roman"/>
                <w:spacing w:val="-1"/>
                <w:sz w:val="21"/>
              </w:rPr>
              <w:t>5,830.96</w:t>
            </w:r>
          </w:p>
        </w:tc>
      </w:tr>
      <w:tr>
        <w:trPr>
          <w:trHeight w:val="283" w:hRule="exact"/>
        </w:trPr>
        <w:tc>
          <w:tcPr>
            <w:tcW w:w="35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4"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2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4537" w:type="dxa"/>
            <w:gridSpan w:val="4"/>
            <w:vMerge/>
            <w:tcBorders>
              <w:left w:val="single" w:sz="4" w:space="0" w:color="000000"/>
              <w:bottom w:val="single" w:sz="4" w:space="0" w:color="000000"/>
              <w:right w:val="single" w:sz="4" w:space="0" w:color="000000"/>
            </w:tcBorders>
          </w:tcPr>
          <w:p>
            <w:pPr/>
          </w:p>
        </w:tc>
        <w:tc>
          <w:tcPr>
            <w:tcW w:w="3567" w:type="dxa"/>
            <w:gridSpan w:val="3"/>
            <w:vMerge/>
            <w:tcBorders>
              <w:left w:val="single" w:sz="4" w:space="0" w:color="000000"/>
              <w:bottom w:val="single" w:sz="4" w:space="0" w:color="000000"/>
              <w:right w:val="single" w:sz="4" w:space="0" w:color="000000"/>
            </w:tcBorders>
          </w:tcPr>
          <w:p>
            <w:pPr/>
          </w:p>
        </w:tc>
      </w:tr>
      <w:tr>
        <w:trPr>
          <w:trHeight w:val="283" w:hRule="exact"/>
        </w:trPr>
        <w:tc>
          <w:tcPr>
            <w:tcW w:w="35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2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4537" w:type="dxa"/>
            <w:gridSpan w:val="4"/>
            <w:vMerge w:val="restart"/>
            <w:tcBorders>
              <w:top w:val="single" w:sz="4" w:space="0" w:color="000000"/>
              <w:left w:val="single" w:sz="4" w:space="0" w:color="000000"/>
              <w:right w:val="single" w:sz="4" w:space="0" w:color="000000"/>
            </w:tcBorders>
          </w:tcPr>
          <w:p>
            <w:pPr>
              <w:pStyle w:val="TableParagraph"/>
              <w:spacing w:line="240" w:lineRule="auto" w:before="107"/>
              <w:ind w:left="1109"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3567" w:type="dxa"/>
            <w:gridSpan w:val="3"/>
            <w:vMerge w:val="restart"/>
            <w:tcBorders>
              <w:top w:val="single" w:sz="4" w:space="0" w:color="000000"/>
              <w:left w:val="single" w:sz="4" w:space="0" w:color="000000"/>
              <w:right w:val="single" w:sz="4" w:space="0" w:color="000000"/>
            </w:tcBorders>
          </w:tcPr>
          <w:p>
            <w:pPr>
              <w:pStyle w:val="TableParagraph"/>
              <w:spacing w:line="240" w:lineRule="auto" w:before="152"/>
              <w:ind w:right="17"/>
              <w:jc w:val="right"/>
              <w:rPr>
                <w:rFonts w:ascii="Times New Roman" w:hAnsi="Times New Roman" w:cs="Times New Roman" w:eastAsia="Times New Roman" w:hint="default"/>
                <w:sz w:val="21"/>
                <w:szCs w:val="21"/>
              </w:rPr>
            </w:pPr>
            <w:r>
              <w:rPr>
                <w:rFonts w:ascii="Times New Roman"/>
                <w:spacing w:val="-1"/>
                <w:sz w:val="21"/>
              </w:rPr>
              <w:t>12,880.00</w:t>
            </w:r>
          </w:p>
        </w:tc>
      </w:tr>
      <w:tr>
        <w:trPr>
          <w:trHeight w:val="281" w:hRule="exact"/>
        </w:trPr>
        <w:tc>
          <w:tcPr>
            <w:tcW w:w="35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2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0.00%</w:t>
            </w:r>
          </w:p>
        </w:tc>
        <w:tc>
          <w:tcPr>
            <w:tcW w:w="4537" w:type="dxa"/>
            <w:gridSpan w:val="4"/>
            <w:vMerge/>
            <w:tcBorders>
              <w:left w:val="single" w:sz="4" w:space="0" w:color="000000"/>
              <w:bottom w:val="single" w:sz="4" w:space="0" w:color="000000"/>
              <w:right w:val="single" w:sz="4" w:space="0" w:color="000000"/>
            </w:tcBorders>
          </w:tcPr>
          <w:p>
            <w:pPr/>
          </w:p>
        </w:tc>
        <w:tc>
          <w:tcPr>
            <w:tcW w:w="3567" w:type="dxa"/>
            <w:gridSpan w:val="3"/>
            <w:vMerge/>
            <w:tcBorders>
              <w:left w:val="single" w:sz="4" w:space="0" w:color="000000"/>
              <w:bottom w:val="single" w:sz="4" w:space="0" w:color="000000"/>
              <w:right w:val="single" w:sz="4" w:space="0" w:color="000000"/>
            </w:tcBorders>
          </w:tcPr>
          <w:p>
            <w:pPr/>
          </w:p>
        </w:tc>
      </w:tr>
      <w:tr>
        <w:trPr>
          <w:trHeight w:val="1100"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403" w:right="84"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是否已</w:t>
            </w:r>
          </w:p>
          <w:p>
            <w:pPr>
              <w:pStyle w:val="TableParagraph"/>
              <w:spacing w:line="232" w:lineRule="auto" w:before="5"/>
              <w:ind w:left="67" w:right="66" w:firstLine="36"/>
              <w:jc w:val="both"/>
              <w:rPr>
                <w:rFonts w:ascii="Times New Roman" w:hAnsi="Times New Roman" w:cs="Times New Roman" w:eastAsia="Times New Roman" w:hint="default"/>
                <w:sz w:val="21"/>
                <w:szCs w:val="21"/>
              </w:rPr>
            </w:pP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含部</w:t>
            </w:r>
            <w:r>
              <w:rPr>
                <w:rFonts w:ascii="宋体" w:hAnsi="宋体" w:cs="宋体" w:eastAsia="宋体" w:hint="default"/>
                <w:spacing w:val="-102"/>
                <w:sz w:val="21"/>
                <w:szCs w:val="21"/>
              </w:rPr>
              <w:t> </w:t>
            </w:r>
            <w:r>
              <w:rPr>
                <w:rFonts w:ascii="宋体" w:hAnsi="宋体" w:cs="宋体" w:eastAsia="宋体" w:hint="default"/>
                <w:sz w:val="21"/>
                <w:szCs w:val="21"/>
              </w:rPr>
              <w:t>分变更</w:t>
            </w:r>
            <w:r>
              <w:rPr>
                <w:rFonts w:ascii="Times New Roman" w:hAnsi="Times New Roman" w:cs="Times New Roman" w:eastAsia="Times New Roman" w:hint="default"/>
                <w:sz w:val="21"/>
                <w:szCs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募集资</w:t>
            </w:r>
          </w:p>
          <w:p>
            <w:pPr>
              <w:pStyle w:val="TableParagraph"/>
              <w:spacing w:line="237" w:lineRule="auto"/>
              <w:ind w:left="103" w:right="103"/>
              <w:jc w:val="center"/>
              <w:rPr>
                <w:rFonts w:ascii="宋体" w:hAnsi="宋体" w:cs="宋体" w:eastAsia="宋体" w:hint="default"/>
                <w:sz w:val="21"/>
                <w:szCs w:val="21"/>
              </w:rPr>
            </w:pP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50" w:right="52" w:firstLine="19"/>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调整后投</w:t>
            </w:r>
            <w:r>
              <w:rPr>
                <w:rFonts w:ascii="宋体" w:hAnsi="宋体" w:cs="宋体" w:eastAsia="宋体" w:hint="default"/>
                <w:w w:val="100"/>
                <w:sz w:val="21"/>
                <w:szCs w:val="21"/>
              </w:rPr>
              <w:t> </w:t>
            </w:r>
            <w:r>
              <w:rPr>
                <w:rFonts w:ascii="宋体" w:hAnsi="宋体" w:cs="宋体" w:eastAsia="宋体" w:hint="default"/>
                <w:sz w:val="21"/>
                <w:szCs w:val="21"/>
              </w:rPr>
              <w:t>资总额</w:t>
            </w:r>
            <w:r>
              <w:rPr>
                <w:rFonts w:ascii="Times New Roman" w:hAnsi="Times New Roman" w:cs="Times New Roman" w:eastAsia="Times New Roman" w:hint="default"/>
                <w:sz w:val="21"/>
                <w:szCs w:val="21"/>
              </w:rPr>
              <w:t>(1)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3"/>
              <w:jc w:val="center"/>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w w:val="100"/>
                <w:sz w:val="21"/>
                <w:szCs w:val="21"/>
              </w:rPr>
              <w:t> </w:t>
            </w:r>
            <w:r>
              <w:rPr>
                <w:rFonts w:ascii="宋体" w:hAnsi="宋体" w:cs="宋体" w:eastAsia="宋体" w:hint="default"/>
                <w:sz w:val="21"/>
                <w:szCs w:val="21"/>
              </w:rPr>
              <w:t>投入金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9" w:lineRule="auto" w:before="119"/>
              <w:ind w:left="105" w:right="103"/>
              <w:jc w:val="center"/>
              <w:rPr>
                <w:rFonts w:ascii="Times New Roman" w:hAnsi="Times New Roman" w:cs="Times New Roman" w:eastAsia="Times New Roman" w:hint="default"/>
                <w:sz w:val="21"/>
                <w:szCs w:val="21"/>
              </w:rPr>
            </w:pPr>
            <w:r>
              <w:rPr>
                <w:rFonts w:ascii="宋体" w:hAnsi="宋体" w:cs="宋体" w:eastAsia="宋体" w:hint="default"/>
                <w:sz w:val="21"/>
                <w:szCs w:val="21"/>
              </w:rPr>
              <w:t>截至期末累</w:t>
            </w:r>
            <w:r>
              <w:rPr>
                <w:rFonts w:ascii="宋体" w:hAnsi="宋体" w:cs="宋体" w:eastAsia="宋体" w:hint="default"/>
                <w:w w:val="100"/>
                <w:sz w:val="21"/>
                <w:szCs w:val="21"/>
              </w:rPr>
              <w:t> </w:t>
            </w:r>
            <w:r>
              <w:rPr>
                <w:rFonts w:ascii="宋体" w:hAnsi="宋体" w:cs="宋体" w:eastAsia="宋体" w:hint="default"/>
                <w:sz w:val="21"/>
                <w:szCs w:val="21"/>
              </w:rPr>
              <w:t>计投入金额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7"/>
              <w:ind w:left="38" w:right="36"/>
              <w:jc w:val="center"/>
              <w:rPr>
                <w:rFonts w:ascii="宋体" w:hAnsi="宋体" w:cs="宋体" w:eastAsia="宋体" w:hint="default"/>
                <w:sz w:val="21"/>
                <w:szCs w:val="21"/>
              </w:rPr>
            </w:pPr>
            <w:r>
              <w:rPr>
                <w:rFonts w:ascii="宋体" w:hAnsi="宋体" w:cs="宋体" w:eastAsia="宋体" w:hint="default"/>
                <w:spacing w:val="-1"/>
                <w:sz w:val="21"/>
                <w:szCs w:val="21"/>
              </w:rPr>
              <w:t>截至期末投资进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度</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40" w:lineRule="auto" w:before="2"/>
              <w:ind w:right="2"/>
              <w:jc w:val="center"/>
              <w:rPr>
                <w:rFonts w:ascii="Times New Roman" w:hAnsi="Times New Roman" w:cs="Times New Roman" w:eastAsia="Times New Roman" w:hint="default"/>
                <w:sz w:val="21"/>
                <w:szCs w:val="21"/>
              </w:rPr>
            </w:pPr>
            <w:r>
              <w:rPr>
                <w:rFonts w:ascii="Times New Roman"/>
                <w:sz w:val="21"/>
              </w:rPr>
              <w:t>(2)/(1)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388" w:right="72" w:hanging="315"/>
              <w:jc w:val="left"/>
              <w:rPr>
                <w:rFonts w:ascii="宋体" w:hAnsi="宋体" w:cs="宋体" w:eastAsia="宋体" w:hint="default"/>
                <w:sz w:val="21"/>
                <w:szCs w:val="21"/>
              </w:rPr>
            </w:pPr>
            <w:r>
              <w:rPr>
                <w:rFonts w:ascii="宋体" w:hAnsi="宋体" w:cs="宋体" w:eastAsia="宋体" w:hint="default"/>
                <w:sz w:val="21"/>
                <w:szCs w:val="21"/>
              </w:rPr>
              <w:t>项目达到预定可使</w:t>
            </w:r>
            <w:r>
              <w:rPr>
                <w:rFonts w:ascii="宋体" w:hAnsi="宋体" w:cs="宋体" w:eastAsia="宋体" w:hint="default"/>
                <w:w w:val="100"/>
                <w:sz w:val="21"/>
                <w:szCs w:val="21"/>
              </w:rPr>
              <w:t> </w:t>
            </w:r>
            <w:r>
              <w:rPr>
                <w:rFonts w:ascii="宋体" w:hAnsi="宋体" w:cs="宋体" w:eastAsia="宋体" w:hint="default"/>
                <w:sz w:val="21"/>
                <w:szCs w:val="21"/>
              </w:rPr>
              <w:t>用状态日期</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本年度实现</w:t>
            </w:r>
          </w:p>
          <w:p>
            <w:pPr>
              <w:pStyle w:val="TableParagraph"/>
              <w:spacing w:line="237" w:lineRule="auto"/>
              <w:ind w:left="21" w:right="22"/>
              <w:jc w:val="center"/>
              <w:rPr>
                <w:rFonts w:ascii="宋体" w:hAnsi="宋体" w:cs="宋体" w:eastAsia="宋体" w:hint="default"/>
                <w:sz w:val="21"/>
                <w:szCs w:val="21"/>
              </w:rPr>
            </w:pPr>
            <w:r>
              <w:rPr>
                <w:rFonts w:ascii="宋体" w:hAnsi="宋体" w:cs="宋体" w:eastAsia="宋体" w:hint="default"/>
                <w:spacing w:val="-8"/>
                <w:sz w:val="21"/>
                <w:szCs w:val="21"/>
              </w:rPr>
              <w:t>的效益（指贡</w:t>
            </w:r>
            <w:r>
              <w:rPr>
                <w:rFonts w:ascii="宋体" w:hAnsi="宋体" w:cs="宋体" w:eastAsia="宋体" w:hint="default"/>
                <w:w w:val="100"/>
                <w:sz w:val="21"/>
                <w:szCs w:val="21"/>
              </w:rPr>
              <w:t> </w:t>
            </w:r>
            <w:r>
              <w:rPr>
                <w:rFonts w:ascii="宋体" w:hAnsi="宋体" w:cs="宋体" w:eastAsia="宋体" w:hint="default"/>
                <w:sz w:val="21"/>
                <w:szCs w:val="21"/>
              </w:rPr>
              <w:t>献的营业收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3"/>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986" w:right="41" w:hanging="946"/>
              <w:jc w:val="left"/>
              <w:rPr>
                <w:rFonts w:ascii="宋体" w:hAnsi="宋体" w:cs="宋体" w:eastAsia="宋体" w:hint="default"/>
                <w:sz w:val="21"/>
                <w:szCs w:val="21"/>
              </w:rPr>
            </w:pPr>
            <w:r>
              <w:rPr>
                <w:rFonts w:ascii="宋体" w:hAnsi="宋体" w:cs="宋体" w:eastAsia="宋体" w:hint="default"/>
                <w:spacing w:val="-2"/>
                <w:sz w:val="21"/>
                <w:szCs w:val="21"/>
              </w:rPr>
              <w:t>项目可行性是否发生重大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变化</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承诺投资项目</w:t>
            </w:r>
          </w:p>
        </w:tc>
        <w:tc>
          <w:tcPr>
            <w:tcW w:w="12758" w:type="dxa"/>
            <w:gridSpan w:val="13"/>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基础平台软件</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系列研发升级项目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5" w:right="0"/>
              <w:jc w:val="left"/>
              <w:rPr>
                <w:rFonts w:ascii="Times New Roman" w:hAnsi="Times New Roman" w:cs="Times New Roman" w:eastAsia="Times New Roman" w:hint="default"/>
                <w:sz w:val="21"/>
                <w:szCs w:val="21"/>
              </w:rPr>
            </w:pPr>
            <w:r>
              <w:rPr>
                <w:rFonts w:ascii="Times New Roman"/>
                <w:sz w:val="21"/>
              </w:rPr>
              <w:t>8,198.00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21"/>
                <w:szCs w:val="21"/>
              </w:rPr>
            </w:pPr>
            <w:r>
              <w:rPr>
                <w:rFonts w:ascii="Times New Roman"/>
                <w:spacing w:val="-1"/>
                <w:sz w:val="21"/>
              </w:rPr>
              <w:t>8,198.00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4"/>
              <w:jc w:val="right"/>
              <w:rPr>
                <w:rFonts w:ascii="Times New Roman" w:hAnsi="Times New Roman" w:cs="Times New Roman" w:eastAsia="Times New Roman" w:hint="default"/>
                <w:sz w:val="21"/>
                <w:szCs w:val="21"/>
              </w:rPr>
            </w:pPr>
            <w:r>
              <w:rPr>
                <w:rFonts w:ascii="Times New Roman"/>
                <w:spacing w:val="-1"/>
                <w:sz w:val="21"/>
              </w:rPr>
              <w:t>3,510.46</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03" w:right="0"/>
              <w:jc w:val="left"/>
              <w:rPr>
                <w:rFonts w:ascii="Times New Roman" w:hAnsi="Times New Roman" w:cs="Times New Roman" w:eastAsia="Times New Roman" w:hint="default"/>
                <w:sz w:val="21"/>
                <w:szCs w:val="21"/>
              </w:rPr>
            </w:pPr>
            <w:r>
              <w:rPr>
                <w:rFonts w:ascii="Times New Roman"/>
                <w:sz w:val="21"/>
              </w:rPr>
              <w:t>7,057.82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8"/>
              <w:jc w:val="right"/>
              <w:rPr>
                <w:rFonts w:ascii="Times New Roman" w:hAnsi="Times New Roman" w:cs="Times New Roman" w:eastAsia="Times New Roman" w:hint="default"/>
                <w:sz w:val="21"/>
                <w:szCs w:val="21"/>
              </w:rPr>
            </w:pPr>
            <w:r>
              <w:rPr>
                <w:rFonts w:ascii="Times New Roman"/>
                <w:sz w:val="21"/>
              </w:rPr>
              <w:t>86.09%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06" w:right="0"/>
              <w:jc w:val="left"/>
              <w:rPr>
                <w:rFonts w:ascii="Times New Roman" w:hAnsi="Times New Roman" w:cs="Times New Roman" w:eastAsia="Times New Roman" w:hint="default"/>
                <w:sz w:val="21"/>
                <w:szCs w:val="21"/>
              </w:rPr>
            </w:pPr>
            <w:r>
              <w:rPr>
                <w:rFonts w:ascii="Times New Roman"/>
                <w:sz w:val="21"/>
              </w:rPr>
              <w:t>7,098.43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应用平台软件</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系列研发升级项目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25" w:right="0"/>
              <w:jc w:val="left"/>
              <w:rPr>
                <w:rFonts w:ascii="Times New Roman" w:hAnsi="Times New Roman" w:cs="Times New Roman" w:eastAsia="Times New Roman" w:hint="default"/>
                <w:sz w:val="21"/>
                <w:szCs w:val="21"/>
              </w:rPr>
            </w:pPr>
            <w:r>
              <w:rPr>
                <w:rFonts w:ascii="Times New Roman"/>
                <w:sz w:val="21"/>
              </w:rPr>
              <w:t>3,843.00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3,843.00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2,051.53</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06" w:right="0"/>
              <w:jc w:val="left"/>
              <w:rPr>
                <w:rFonts w:ascii="Times New Roman" w:hAnsi="Times New Roman" w:cs="Times New Roman" w:eastAsia="Times New Roman" w:hint="default"/>
                <w:sz w:val="21"/>
                <w:szCs w:val="21"/>
              </w:rPr>
            </w:pPr>
            <w:r>
              <w:rPr>
                <w:rFonts w:ascii="Times New Roman"/>
                <w:sz w:val="21"/>
              </w:rPr>
              <w:t>3,843.00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8"/>
              <w:jc w:val="right"/>
              <w:rPr>
                <w:rFonts w:ascii="Times New Roman" w:hAnsi="Times New Roman" w:cs="Times New Roman" w:eastAsia="Times New Roman" w:hint="default"/>
                <w:sz w:val="21"/>
                <w:szCs w:val="21"/>
              </w:rPr>
            </w:pPr>
            <w:r>
              <w:rPr>
                <w:rFonts w:ascii="Times New Roman"/>
                <w:sz w:val="21"/>
              </w:rPr>
              <w:t>100.00%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06" w:right="0"/>
              <w:jc w:val="left"/>
              <w:rPr>
                <w:rFonts w:ascii="Times New Roman" w:hAnsi="Times New Roman" w:cs="Times New Roman" w:eastAsia="Times New Roman" w:hint="default"/>
                <w:sz w:val="21"/>
                <w:szCs w:val="21"/>
              </w:rPr>
            </w:pPr>
            <w:r>
              <w:rPr>
                <w:rFonts w:ascii="Times New Roman"/>
                <w:sz w:val="21"/>
              </w:rPr>
              <w:t>6,712.64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承诺投资项目小计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4"/>
              <w:jc w:val="right"/>
              <w:rPr>
                <w:rFonts w:ascii="Times New Roman" w:hAnsi="Times New Roman" w:cs="Times New Roman" w:eastAsia="Times New Roman" w:hint="default"/>
                <w:sz w:val="21"/>
                <w:szCs w:val="21"/>
              </w:rPr>
            </w:pPr>
            <w:r>
              <w:rPr>
                <w:rFonts w:ascii="Times New Roman"/>
                <w:w w:val="100"/>
                <w:sz w:val="21"/>
              </w:rPr>
              <w:t>-</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9" w:right="0"/>
              <w:jc w:val="left"/>
              <w:rPr>
                <w:rFonts w:ascii="Times New Roman" w:hAnsi="Times New Roman" w:cs="Times New Roman" w:eastAsia="Times New Roman" w:hint="default"/>
                <w:sz w:val="21"/>
                <w:szCs w:val="21"/>
              </w:rPr>
            </w:pPr>
            <w:r>
              <w:rPr>
                <w:rFonts w:ascii="Times New Roman"/>
                <w:sz w:val="21"/>
              </w:rPr>
              <w:t>12,041.00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12,041.00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4"/>
              <w:jc w:val="right"/>
              <w:rPr>
                <w:rFonts w:ascii="Times New Roman" w:hAnsi="Times New Roman" w:cs="Times New Roman" w:eastAsia="Times New Roman" w:hint="default"/>
                <w:sz w:val="21"/>
                <w:szCs w:val="21"/>
              </w:rPr>
            </w:pPr>
            <w:r>
              <w:rPr>
                <w:rFonts w:ascii="Times New Roman"/>
                <w:spacing w:val="-1"/>
                <w:sz w:val="21"/>
              </w:rPr>
              <w:t>5,561.99</w:t>
            </w:r>
            <w:r>
              <w:rPr>
                <w:rFonts w:ascii="Times New Roman"/>
                <w:sz w:val="21"/>
              </w:rPr>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Times New Roman" w:hAnsi="Times New Roman" w:cs="Times New Roman" w:eastAsia="Times New Roman" w:hint="default"/>
                <w:sz w:val="21"/>
                <w:szCs w:val="21"/>
              </w:rPr>
            </w:pPr>
            <w:r>
              <w:rPr>
                <w:rFonts w:ascii="Times New Roman"/>
                <w:sz w:val="21"/>
              </w:rPr>
              <w:t>10,900.82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9" w:right="0"/>
              <w:jc w:val="left"/>
              <w:rPr>
                <w:rFonts w:ascii="Times New Roman" w:hAnsi="Times New Roman" w:cs="Times New Roman" w:eastAsia="Times New Roman" w:hint="default"/>
                <w:sz w:val="21"/>
                <w:szCs w:val="21"/>
              </w:rPr>
            </w:pPr>
            <w:r>
              <w:rPr>
                <w:rFonts w:ascii="Times New Roman"/>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7" w:right="0"/>
              <w:jc w:val="left"/>
              <w:rPr>
                <w:rFonts w:ascii="Times New Roman" w:hAnsi="Times New Roman" w:cs="Times New Roman" w:eastAsia="Times New Roman" w:hint="default"/>
                <w:sz w:val="21"/>
                <w:szCs w:val="21"/>
              </w:rPr>
            </w:pPr>
            <w:r>
              <w:rPr>
                <w:rFonts w:ascii="Times New Roman"/>
                <w:sz w:val="21"/>
              </w:rPr>
              <w:t>13,811.07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64"/>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超募资金投向</w:t>
            </w:r>
          </w:p>
        </w:tc>
        <w:tc>
          <w:tcPr>
            <w:tcW w:w="12758" w:type="dxa"/>
            <w:gridSpan w:val="13"/>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的部分股权收购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25" w:right="0"/>
              <w:jc w:val="left"/>
              <w:rPr>
                <w:rFonts w:ascii="Times New Roman" w:hAnsi="Times New Roman" w:cs="Times New Roman" w:eastAsia="Times New Roman" w:hint="default"/>
                <w:sz w:val="21"/>
                <w:szCs w:val="21"/>
              </w:rPr>
            </w:pPr>
            <w:r>
              <w:rPr>
                <w:rFonts w:ascii="Times New Roman"/>
                <w:sz w:val="21"/>
              </w:rPr>
              <w:t>1,568.49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21"/>
                <w:szCs w:val="21"/>
              </w:rPr>
            </w:pPr>
            <w:r>
              <w:rPr>
                <w:rFonts w:ascii="Times New Roman"/>
                <w:spacing w:val="-1"/>
                <w:sz w:val="21"/>
              </w:rPr>
              <w:t>1,710.21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3"/>
              <w:jc w:val="right"/>
              <w:rPr>
                <w:rFonts w:ascii="Times New Roman" w:hAnsi="Times New Roman" w:cs="Times New Roman" w:eastAsia="Times New Roman" w:hint="default"/>
                <w:sz w:val="21"/>
                <w:szCs w:val="21"/>
              </w:rPr>
            </w:pPr>
            <w:r>
              <w:rPr>
                <w:rFonts w:ascii="Times New Roman"/>
                <w:sz w:val="21"/>
              </w:rPr>
              <w:t>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06" w:right="0"/>
              <w:jc w:val="left"/>
              <w:rPr>
                <w:rFonts w:ascii="Times New Roman" w:hAnsi="Times New Roman" w:cs="Times New Roman" w:eastAsia="Times New Roman" w:hint="default"/>
                <w:sz w:val="21"/>
                <w:szCs w:val="21"/>
              </w:rPr>
            </w:pPr>
            <w:r>
              <w:rPr>
                <w:rFonts w:ascii="Times New Roman"/>
                <w:sz w:val="21"/>
              </w:rPr>
              <w:t>1,710.21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8"/>
              <w:jc w:val="right"/>
              <w:rPr>
                <w:rFonts w:ascii="Times New Roman" w:hAnsi="Times New Roman" w:cs="Times New Roman" w:eastAsia="Times New Roman" w:hint="default"/>
                <w:sz w:val="21"/>
                <w:szCs w:val="21"/>
              </w:rPr>
            </w:pPr>
            <w:r>
              <w:rPr>
                <w:rFonts w:ascii="Times New Roman"/>
                <w:sz w:val="21"/>
              </w:rPr>
              <w:t>100.00%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506" w:right="0"/>
              <w:jc w:val="left"/>
              <w:rPr>
                <w:rFonts w:ascii="Times New Roman" w:hAnsi="Times New Roman" w:cs="Times New Roman" w:eastAsia="Times New Roman" w:hint="default"/>
                <w:sz w:val="21"/>
                <w:szCs w:val="21"/>
              </w:rPr>
            </w:pPr>
            <w:r>
              <w:rPr>
                <w:rFonts w:ascii="Times New Roman"/>
                <w:sz w:val="21"/>
              </w:rPr>
              <w:t>1,873.72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center"/>
              <w:rPr>
                <w:rFonts w:ascii="宋体" w:hAnsi="宋体" w:cs="宋体" w:eastAsia="宋体" w:hint="default"/>
                <w:sz w:val="21"/>
                <w:szCs w:val="21"/>
              </w:rPr>
            </w:pPr>
            <w:r>
              <w:rPr>
                <w:rFonts w:ascii="宋体" w:hAnsi="宋体" w:cs="宋体" w:eastAsia="宋体" w:hint="default"/>
                <w:sz w:val="21"/>
                <w:szCs w:val="21"/>
              </w:rPr>
              <w:t>购置研发办公用房</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5" w:right="0"/>
              <w:jc w:val="left"/>
              <w:rPr>
                <w:rFonts w:ascii="Times New Roman" w:hAnsi="Times New Roman" w:cs="Times New Roman" w:eastAsia="Times New Roman" w:hint="default"/>
                <w:sz w:val="21"/>
                <w:szCs w:val="21"/>
              </w:rPr>
            </w:pPr>
            <w:r>
              <w:rPr>
                <w:rFonts w:ascii="Times New Roman"/>
                <w:sz w:val="21"/>
              </w:rPr>
              <w:t>8,000.00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8,000.00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82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承接西安市数字化</w:t>
            </w:r>
          </w:p>
          <w:p>
            <w:pPr>
              <w:pStyle w:val="TableParagraph"/>
              <w:spacing w:line="272" w:lineRule="exact" w:before="26"/>
              <w:ind w:left="24" w:right="19"/>
              <w:jc w:val="left"/>
              <w:rPr>
                <w:rFonts w:ascii="宋体" w:hAnsi="宋体" w:cs="宋体" w:eastAsia="宋体" w:hint="default"/>
                <w:sz w:val="21"/>
                <w:szCs w:val="21"/>
              </w:rPr>
            </w:pPr>
            <w:r>
              <w:rPr>
                <w:rFonts w:ascii="宋体" w:hAnsi="宋体" w:cs="宋体" w:eastAsia="宋体" w:hint="default"/>
                <w:spacing w:val="-11"/>
                <w:sz w:val="21"/>
                <w:szCs w:val="21"/>
              </w:rPr>
              <w:t>“城市管理”信息系</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统建设项目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2,305.89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2,305.89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194.76</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662" w:right="0"/>
              <w:jc w:val="left"/>
              <w:rPr>
                <w:rFonts w:ascii="Times New Roman" w:hAnsi="Times New Roman" w:cs="Times New Roman" w:eastAsia="Times New Roman" w:hint="default"/>
                <w:sz w:val="21"/>
                <w:szCs w:val="21"/>
              </w:rPr>
            </w:pPr>
            <w:r>
              <w:rPr>
                <w:rFonts w:ascii="Times New Roman"/>
                <w:sz w:val="21"/>
              </w:rPr>
              <w:t>194.76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8.45%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506" w:right="0"/>
              <w:jc w:val="left"/>
              <w:rPr>
                <w:rFonts w:ascii="Times New Roman" w:hAnsi="Times New Roman" w:cs="Times New Roman" w:eastAsia="Times New Roman" w:hint="default"/>
                <w:sz w:val="21"/>
                <w:szCs w:val="21"/>
              </w:rPr>
            </w:pPr>
            <w:r>
              <w:rPr>
                <w:rFonts w:ascii="Times New Roman"/>
                <w:sz w:val="21"/>
              </w:rPr>
              <w:t>2,625.84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
              <w:jc w:val="center"/>
              <w:rPr>
                <w:rFonts w:ascii="宋体" w:hAnsi="宋体" w:cs="宋体" w:eastAsia="宋体" w:hint="default"/>
                <w:sz w:val="21"/>
                <w:szCs w:val="21"/>
              </w:rPr>
            </w:pPr>
            <w:r>
              <w:rPr>
                <w:rFonts w:ascii="宋体" w:hAnsi="宋体" w:cs="宋体" w:eastAsia="宋体" w:hint="default"/>
                <w:sz w:val="21"/>
                <w:szCs w:val="21"/>
              </w:rPr>
              <w:t>建设成都技术中心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5" w:right="0"/>
              <w:jc w:val="left"/>
              <w:rPr>
                <w:rFonts w:ascii="Times New Roman" w:hAnsi="Times New Roman" w:cs="Times New Roman" w:eastAsia="Times New Roman" w:hint="default"/>
                <w:sz w:val="21"/>
                <w:szCs w:val="21"/>
              </w:rPr>
            </w:pPr>
            <w:r>
              <w:rPr>
                <w:rFonts w:ascii="Times New Roman"/>
                <w:sz w:val="21"/>
              </w:rPr>
              <w:t>4,152.50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4,152.50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74.21</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67" w:right="0"/>
              <w:jc w:val="left"/>
              <w:rPr>
                <w:rFonts w:ascii="Times New Roman" w:hAnsi="Times New Roman" w:cs="Times New Roman" w:eastAsia="Times New Roman" w:hint="default"/>
                <w:sz w:val="21"/>
                <w:szCs w:val="21"/>
              </w:rPr>
            </w:pPr>
            <w:r>
              <w:rPr>
                <w:rFonts w:ascii="Times New Roman"/>
                <w:sz w:val="21"/>
              </w:rPr>
              <w:t>74.21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1.79%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z w:val="21"/>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归还银行贷款（如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14"/>
              <w:jc w:val="right"/>
              <w:rPr>
                <w:rFonts w:ascii="Times New Roman" w:hAnsi="Times New Roman" w:cs="Times New Roman" w:eastAsia="Times New Roman" w:hint="default"/>
                <w:sz w:val="21"/>
                <w:szCs w:val="21"/>
              </w:rPr>
            </w:pPr>
            <w:r>
              <w:rPr>
                <w:rFonts w:ascii="Times New Roman"/>
                <w:w w:val="100"/>
                <w:sz w:val="21"/>
              </w:rPr>
              <w:t>-</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21"/>
                <w:szCs w:val="21"/>
              </w:rPr>
            </w:pPr>
            <w:r>
              <w:rPr>
                <w:rFonts w:ascii="Times New Roman"/>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w w:val="100"/>
                <w:sz w:val="21"/>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164"/>
              <w:jc w:val="right"/>
              <w:rPr>
                <w:rFonts w:ascii="Times New Roman" w:hAnsi="Times New Roman" w:cs="Times New Roman" w:eastAsia="Times New Roman" w:hint="default"/>
                <w:sz w:val="21"/>
                <w:szCs w:val="21"/>
              </w:rPr>
            </w:pPr>
            <w:r>
              <w:rPr>
                <w:rFonts w:ascii="Times New Roman"/>
                <w:w w:val="100"/>
                <w:sz w:val="21"/>
              </w:rPr>
              <w:t>-</w:t>
            </w:r>
          </w:p>
        </w:tc>
      </w:tr>
      <w:tr>
        <w:trPr>
          <w:trHeight w:val="55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补充流动资金（如</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14"/>
              <w:jc w:val="right"/>
              <w:rPr>
                <w:rFonts w:ascii="Times New Roman" w:hAnsi="Times New Roman" w:cs="Times New Roman" w:eastAsia="Times New Roman" w:hint="default"/>
                <w:sz w:val="21"/>
                <w:szCs w:val="21"/>
              </w:rPr>
            </w:pPr>
            <w:r>
              <w:rPr>
                <w:rFonts w:ascii="Times New Roman"/>
                <w:w w:val="100"/>
                <w:sz w:val="21"/>
              </w:rPr>
              <w:t>-</w:t>
            </w:r>
          </w:p>
        </w:tc>
        <w:tc>
          <w:tcPr>
            <w:tcW w:w="994" w:type="dxa"/>
            <w:gridSpan w:val="2"/>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center"/>
              <w:rPr>
                <w:rFonts w:ascii="Times New Roman" w:hAnsi="Times New Roman" w:cs="Times New Roman" w:eastAsia="Times New Roman" w:hint="default"/>
                <w:sz w:val="21"/>
                <w:szCs w:val="21"/>
              </w:rPr>
            </w:pPr>
            <w:r>
              <w:rPr>
                <w:rFonts w:ascii="Times New Roman"/>
                <w:w w:val="100"/>
                <w:sz w:val="21"/>
              </w:rPr>
              <w:t>-</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
              <w:jc w:val="center"/>
              <w:rPr>
                <w:rFonts w:ascii="Times New Roman" w:hAnsi="Times New Roman" w:cs="Times New Roman" w:eastAsia="Times New Roman" w:hint="default"/>
                <w:sz w:val="21"/>
                <w:szCs w:val="21"/>
              </w:rPr>
            </w:pPr>
            <w:r>
              <w:rPr>
                <w:rFonts w:ascii="Times New Roman"/>
                <w:w w:val="100"/>
                <w:sz w:val="21"/>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2"/>
              <w:jc w:val="center"/>
              <w:rPr>
                <w:rFonts w:ascii="Times New Roman" w:hAnsi="Times New Roman" w:cs="Times New Roman" w:eastAsia="Times New Roman" w:hint="default"/>
                <w:sz w:val="21"/>
                <w:szCs w:val="21"/>
              </w:rPr>
            </w:pPr>
            <w:r>
              <w:rPr>
                <w:rFonts w:ascii="Times New Roman"/>
                <w:w w:val="100"/>
                <w:sz w:val="21"/>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164"/>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超募资金投向小计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14"/>
              <w:jc w:val="right"/>
              <w:rPr>
                <w:rFonts w:ascii="Times New Roman" w:hAnsi="Times New Roman" w:cs="Times New Roman" w:eastAsia="Times New Roman" w:hint="default"/>
                <w:sz w:val="21"/>
                <w:szCs w:val="21"/>
              </w:rPr>
            </w:pPr>
            <w:r>
              <w:rPr>
                <w:rFonts w:ascii="Times New Roman"/>
                <w:w w:val="100"/>
                <w:sz w:val="21"/>
              </w:rPr>
              <w:t>-</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9" w:right="0"/>
              <w:jc w:val="left"/>
              <w:rPr>
                <w:rFonts w:ascii="Times New Roman" w:hAnsi="Times New Roman" w:cs="Times New Roman" w:eastAsia="Times New Roman" w:hint="default"/>
                <w:sz w:val="21"/>
                <w:szCs w:val="21"/>
              </w:rPr>
            </w:pPr>
            <w:r>
              <w:rPr>
                <w:rFonts w:ascii="Times New Roman"/>
                <w:sz w:val="21"/>
              </w:rPr>
              <w:t>16,026.88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16,168.60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sz w:val="21"/>
              </w:rPr>
              <w:t>268.97</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6" w:right="0"/>
              <w:jc w:val="left"/>
              <w:rPr>
                <w:rFonts w:ascii="Times New Roman" w:hAnsi="Times New Roman" w:cs="Times New Roman" w:eastAsia="Times New Roman" w:hint="default"/>
                <w:sz w:val="21"/>
                <w:szCs w:val="21"/>
              </w:rPr>
            </w:pPr>
            <w:r>
              <w:rPr>
                <w:rFonts w:ascii="Times New Roman"/>
                <w:sz w:val="21"/>
              </w:rPr>
              <w:t>1,979.18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9" w:right="0"/>
              <w:jc w:val="left"/>
              <w:rPr>
                <w:rFonts w:ascii="Times New Roman" w:hAnsi="Times New Roman" w:cs="Times New Roman" w:eastAsia="Times New Roman" w:hint="default"/>
                <w:sz w:val="21"/>
                <w:szCs w:val="21"/>
              </w:rPr>
            </w:pPr>
            <w:r>
              <w:rPr>
                <w:rFonts w:ascii="Times New Roman"/>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06" w:right="0"/>
              <w:jc w:val="left"/>
              <w:rPr>
                <w:rFonts w:ascii="Times New Roman" w:hAnsi="Times New Roman" w:cs="Times New Roman" w:eastAsia="Times New Roman" w:hint="default"/>
                <w:sz w:val="21"/>
                <w:szCs w:val="21"/>
              </w:rPr>
            </w:pPr>
            <w:r>
              <w:rPr>
                <w:rFonts w:ascii="Times New Roman"/>
                <w:sz w:val="21"/>
              </w:rPr>
              <w:t>4,499.56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w w:val="100"/>
                <w:sz w:val="21"/>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64"/>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14"/>
              <w:jc w:val="right"/>
              <w:rPr>
                <w:rFonts w:ascii="Times New Roman" w:hAnsi="Times New Roman" w:cs="Times New Roman" w:eastAsia="Times New Roman" w:hint="default"/>
                <w:sz w:val="21"/>
                <w:szCs w:val="21"/>
              </w:rPr>
            </w:pPr>
            <w:r>
              <w:rPr>
                <w:rFonts w:ascii="Times New Roman"/>
                <w:w w:val="100"/>
                <w:sz w:val="21"/>
              </w:rPr>
              <w:t>-</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19" w:right="0"/>
              <w:jc w:val="left"/>
              <w:rPr>
                <w:rFonts w:ascii="Times New Roman" w:hAnsi="Times New Roman" w:cs="Times New Roman" w:eastAsia="Times New Roman" w:hint="default"/>
                <w:sz w:val="21"/>
                <w:szCs w:val="21"/>
              </w:rPr>
            </w:pPr>
            <w:r>
              <w:rPr>
                <w:rFonts w:ascii="Times New Roman"/>
                <w:sz w:val="21"/>
              </w:rPr>
              <w:t>28,067.88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28,209.60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5,830.96</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Times New Roman" w:hAnsi="Times New Roman" w:cs="Times New Roman" w:eastAsia="Times New Roman" w:hint="default"/>
                <w:sz w:val="21"/>
                <w:szCs w:val="21"/>
              </w:rPr>
            </w:pPr>
            <w:r>
              <w:rPr>
                <w:rFonts w:ascii="Times New Roman"/>
                <w:sz w:val="21"/>
              </w:rPr>
              <w:t>12,880.00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9" w:right="0"/>
              <w:jc w:val="left"/>
              <w:rPr>
                <w:rFonts w:ascii="Times New Roman" w:hAnsi="Times New Roman" w:cs="Times New Roman" w:eastAsia="Times New Roman" w:hint="default"/>
                <w:sz w:val="21"/>
                <w:szCs w:val="21"/>
              </w:rPr>
            </w:pPr>
            <w:r>
              <w:rPr>
                <w:rFonts w:ascii="Times New Roman"/>
                <w:w w:val="100"/>
                <w:sz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Times New Roman" w:hAnsi="Times New Roman" w:cs="Times New Roman" w:eastAsia="Times New Roman" w:hint="default"/>
                <w:sz w:val="21"/>
                <w:szCs w:val="21"/>
              </w:rPr>
            </w:pPr>
            <w:r>
              <w:rPr>
                <w:rFonts w:ascii="Times New Roman"/>
                <w:sz w:val="21"/>
              </w:rPr>
              <w:t>18,310.63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64"/>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未达到计划进度或</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预计收益的情况和</w:t>
            </w:r>
          </w:p>
        </w:tc>
        <w:tc>
          <w:tcPr>
            <w:tcW w:w="1275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基础平台软件系列研发升级项目和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应用平台软件系列研发升级项目已经结束，以上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个项目的收益达到</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预期收益。其中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基础平台软件系列研发升级项目原计划使用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8198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万元，截止</w:t>
            </w:r>
            <w:r>
              <w:rPr>
                <w:rFonts w:ascii="宋体" w:hAnsi="宋体" w:cs="宋体" w:eastAsia="宋体" w:hint="default"/>
                <w:spacing w:val="-54"/>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日实际使用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7,057.82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万元，尚有应付但</w:t>
            </w:r>
          </w:p>
        </w:tc>
      </w:tr>
    </w:tbl>
    <w:p>
      <w:pPr>
        <w:spacing w:after="0" w:line="282" w:lineRule="exact"/>
        <w:jc w:val="left"/>
        <w:rPr>
          <w:rFonts w:ascii="宋体" w:hAnsi="宋体" w:cs="宋体" w:eastAsia="宋体" w:hint="default"/>
          <w:sz w:val="21"/>
          <w:szCs w:val="21"/>
        </w:rPr>
        <w:sectPr>
          <w:type w:val="continuous"/>
          <w:pgSz w:w="16840" w:h="11910" w:orient="landscape"/>
          <w:pgMar w:top="440" w:bottom="280" w:left="700" w:right="700"/>
        </w:sectPr>
      </w:pPr>
    </w:p>
    <w:p>
      <w:pPr>
        <w:spacing w:line="240" w:lineRule="auto" w:before="3"/>
        <w:rPr>
          <w:rFonts w:ascii="Times New Roman" w:hAnsi="Times New Roman" w:cs="Times New Roman" w:eastAsia="Times New Roman" w:hint="default"/>
          <w:sz w:val="2"/>
          <w:szCs w:val="2"/>
        </w:rPr>
      </w:pPr>
      <w:r>
        <w:rPr/>
        <w:pict>
          <v:shape style="position:absolute;margin-left:126.615364pt;margin-top:58.436008pt;width:644.4pt;height:13.6pt;mso-position-horizontal-relative:page;mso-position-vertical-relative:page;z-index:-765832" type="#_x0000_t202" filled="false" stroked="false">
            <v:textbox inset="0,0,0,0">
              <w:txbxContent>
                <w:p>
                  <w:pPr>
                    <w:spacing w:line="24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135.860001pt;margin-top:58.436008pt;width:635.15pt;height:13.6pt;mso-position-horizontal-relative:page;mso-position-vertical-relative:page;z-index:-765808" coordorigin="2717,1169" coordsize="12703,272">
            <v:shape style="position:absolute;left:2717;top:1169;width:12703;height:272" coordorigin="2717,1169" coordsize="12703,272" path="m2717,1440l15420,1440,15420,1169,2717,1169,2717,1440xe" filled="true" fillcolor="#ffffff" stroked="false">
              <v:path arrowok="t"/>
              <v:fill type="solid"/>
            </v:shape>
            <w10:wrap type="none"/>
          </v:group>
        </w:pict>
      </w:r>
    </w:p>
    <w:tbl>
      <w:tblPr>
        <w:tblW w:w="0" w:type="auto"/>
        <w:jc w:val="left"/>
        <w:tblInd w:w="118" w:type="dxa"/>
        <w:tblLayout w:type="fixed"/>
        <w:tblCellMar>
          <w:top w:w="0" w:type="dxa"/>
          <w:left w:w="0" w:type="dxa"/>
          <w:bottom w:w="0" w:type="dxa"/>
          <w:right w:w="0" w:type="dxa"/>
        </w:tblCellMar>
        <w:tblLook w:val="01E0"/>
      </w:tblPr>
      <w:tblGrid>
        <w:gridCol w:w="1868"/>
        <w:gridCol w:w="12758"/>
        <w:gridCol w:w="571"/>
      </w:tblGrid>
      <w:tr>
        <w:trPr>
          <w:trHeight w:val="288" w:hRule="exact"/>
        </w:trPr>
        <w:tc>
          <w:tcPr>
            <w:tcW w:w="1868" w:type="dxa"/>
            <w:tcBorders>
              <w:top w:val="single" w:sz="10" w:space="0" w:color="000000"/>
              <w:left w:val="single" w:sz="4" w:space="0" w:color="000000"/>
              <w:bottom w:val="single" w:sz="4" w:space="0" w:color="000000"/>
              <w:right w:val="single" w:sz="10" w:space="0" w:color="FFFFFF"/>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原因（分具体项目</w:t>
            </w:r>
          </w:p>
        </w:tc>
        <w:tc>
          <w:tcPr>
            <w:tcW w:w="12758" w:type="dxa"/>
            <w:tcBorders>
              <w:top w:val="single" w:sz="10" w:space="0" w:color="000000"/>
              <w:left w:val="single" w:sz="10" w:space="0" w:color="FFFFFF"/>
              <w:bottom w:val="single" w:sz="4" w:space="0" w:color="000000"/>
              <w:right w:val="single" w:sz="4" w:space="0" w:color="000000"/>
            </w:tcBorders>
          </w:tcPr>
          <w:p>
            <w:pPr>
              <w:pStyle w:val="TableParagraph"/>
              <w:spacing w:line="257" w:lineRule="exact"/>
              <w:ind w:left="14" w:right="0"/>
              <w:jc w:val="left"/>
              <w:rPr>
                <w:rFonts w:ascii="宋体" w:hAnsi="宋体" w:cs="宋体" w:eastAsia="宋体" w:hint="default"/>
                <w:sz w:val="21"/>
                <w:szCs w:val="21"/>
              </w:rPr>
            </w:pPr>
            <w:r>
              <w:rPr>
                <w:rFonts w:ascii="宋体" w:hAnsi="宋体" w:cs="宋体" w:eastAsia="宋体" w:hint="default"/>
                <w:w w:val="100"/>
                <w:sz w:val="21"/>
                <w:szCs w:val="21"/>
              </w:rPr>
              <w:t>未付</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39.</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万</w:t>
            </w:r>
            <w:r>
              <w:rPr>
                <w:rFonts w:ascii="宋体" w:hAnsi="宋体" w:cs="宋体" w:eastAsia="宋体" w:hint="default"/>
                <w:w w:val="100"/>
                <w:sz w:val="21"/>
                <w:szCs w:val="21"/>
              </w:rPr>
              <w:t>元</w:t>
            </w:r>
            <w:r>
              <w:rPr>
                <w:rFonts w:ascii="宋体" w:hAnsi="宋体" w:cs="宋体" w:eastAsia="宋体" w:hint="default"/>
                <w:spacing w:val="-3"/>
                <w:w w:val="100"/>
                <w:sz w:val="21"/>
                <w:szCs w:val="21"/>
              </w:rPr>
              <w:t>人</w:t>
            </w:r>
            <w:r>
              <w:rPr>
                <w:rFonts w:ascii="宋体" w:hAnsi="宋体" w:cs="宋体" w:eastAsia="宋体" w:hint="default"/>
                <w:w w:val="100"/>
                <w:sz w:val="21"/>
                <w:szCs w:val="21"/>
              </w:rPr>
              <w:t>工</w:t>
            </w:r>
            <w:r>
              <w:rPr>
                <w:rFonts w:ascii="宋体" w:hAnsi="宋体" w:cs="宋体" w:eastAsia="宋体" w:hint="default"/>
                <w:spacing w:val="-3"/>
                <w:w w:val="100"/>
                <w:sz w:val="21"/>
                <w:szCs w:val="21"/>
              </w:rPr>
              <w:t>成本</w:t>
            </w:r>
            <w:r>
              <w:rPr>
                <w:rFonts w:ascii="宋体" w:hAnsi="宋体" w:cs="宋体" w:eastAsia="宋体" w:hint="default"/>
                <w:w w:val="100"/>
                <w:sz w:val="21"/>
                <w:szCs w:val="21"/>
              </w:rPr>
              <w:t>（主</w:t>
            </w:r>
            <w:r>
              <w:rPr>
                <w:rFonts w:ascii="宋体" w:hAnsi="宋体" w:cs="宋体" w:eastAsia="宋体" w:hint="default"/>
                <w:spacing w:val="-3"/>
                <w:w w:val="100"/>
                <w:sz w:val="21"/>
                <w:szCs w:val="21"/>
              </w:rPr>
              <w:t>要</w:t>
            </w:r>
            <w:r>
              <w:rPr>
                <w:rFonts w:ascii="宋体" w:hAnsi="宋体" w:cs="宋体" w:eastAsia="宋体" w:hint="default"/>
                <w:w w:val="100"/>
                <w:sz w:val="21"/>
                <w:szCs w:val="21"/>
              </w:rPr>
              <w:t>为</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该</w:t>
            </w:r>
            <w:r>
              <w:rPr>
                <w:rFonts w:ascii="宋体" w:hAnsi="宋体" w:cs="宋体" w:eastAsia="宋体" w:hint="default"/>
                <w:spacing w:val="-3"/>
                <w:w w:val="100"/>
                <w:sz w:val="21"/>
                <w:szCs w:val="21"/>
              </w:rPr>
              <w:t>项目</w:t>
            </w:r>
            <w:r>
              <w:rPr>
                <w:rFonts w:ascii="宋体" w:hAnsi="宋体" w:cs="宋体" w:eastAsia="宋体" w:hint="default"/>
                <w:w w:val="100"/>
                <w:sz w:val="21"/>
                <w:szCs w:val="21"/>
              </w:rPr>
              <w:t>组成</w:t>
            </w:r>
            <w:r>
              <w:rPr>
                <w:rFonts w:ascii="宋体" w:hAnsi="宋体" w:cs="宋体" w:eastAsia="宋体" w:hint="default"/>
                <w:spacing w:val="-3"/>
                <w:w w:val="100"/>
                <w:sz w:val="21"/>
                <w:szCs w:val="21"/>
              </w:rPr>
              <w:t>员</w:t>
            </w:r>
            <w:r>
              <w:rPr>
                <w:rFonts w:ascii="宋体" w:hAnsi="宋体" w:cs="宋体" w:eastAsia="宋体" w:hint="default"/>
                <w:w w:val="100"/>
                <w:sz w:val="21"/>
                <w:szCs w:val="21"/>
              </w:rPr>
              <w:t>的</w:t>
            </w:r>
            <w:r>
              <w:rPr>
                <w:rFonts w:ascii="宋体" w:hAnsi="宋体" w:cs="宋体" w:eastAsia="宋体" w:hint="default"/>
                <w:spacing w:val="-3"/>
                <w:w w:val="100"/>
                <w:sz w:val="21"/>
                <w:szCs w:val="21"/>
              </w:rPr>
              <w:t>年</w:t>
            </w:r>
            <w:r>
              <w:rPr>
                <w:rFonts w:ascii="宋体" w:hAnsi="宋体" w:cs="宋体" w:eastAsia="宋体" w:hint="default"/>
                <w:w w:val="100"/>
                <w:sz w:val="21"/>
                <w:szCs w:val="21"/>
              </w:rPr>
              <w:t>终</w:t>
            </w:r>
            <w:r>
              <w:rPr>
                <w:rFonts w:ascii="宋体" w:hAnsi="宋体" w:cs="宋体" w:eastAsia="宋体" w:hint="default"/>
                <w:spacing w:val="-3"/>
                <w:w w:val="100"/>
                <w:sz w:val="21"/>
                <w:szCs w:val="21"/>
              </w:rPr>
              <w:t>奖</w:t>
            </w:r>
            <w:r>
              <w:rPr>
                <w:rFonts w:ascii="宋体" w:hAnsi="宋体" w:cs="宋体" w:eastAsia="宋体" w:hint="default"/>
                <w:w w:val="100"/>
                <w:sz w:val="21"/>
                <w:szCs w:val="21"/>
              </w:rPr>
              <w:t>金</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实际</w:t>
            </w:r>
            <w:r>
              <w:rPr>
                <w:rFonts w:ascii="宋体" w:hAnsi="宋体" w:cs="宋体" w:eastAsia="宋体" w:hint="default"/>
                <w:w w:val="100"/>
                <w:sz w:val="21"/>
                <w:szCs w:val="21"/>
              </w:rPr>
              <w:t>在</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中</w:t>
            </w:r>
            <w:r>
              <w:rPr>
                <w:rFonts w:ascii="宋体" w:hAnsi="宋体" w:cs="宋体" w:eastAsia="宋体" w:hint="default"/>
                <w:w w:val="100"/>
                <w:sz w:val="21"/>
                <w:szCs w:val="21"/>
              </w:rPr>
              <w:t>从</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资金</w:t>
            </w:r>
            <w:r>
              <w:rPr>
                <w:rFonts w:ascii="宋体" w:hAnsi="宋体" w:cs="宋体" w:eastAsia="宋体" w:hint="default"/>
                <w:w w:val="100"/>
                <w:sz w:val="21"/>
                <w:szCs w:val="21"/>
              </w:rPr>
              <w:t>专户</w:t>
            </w:r>
            <w:r>
              <w:rPr>
                <w:rFonts w:ascii="宋体" w:hAnsi="宋体" w:cs="宋体" w:eastAsia="宋体" w:hint="default"/>
                <w:spacing w:val="-3"/>
                <w:w w:val="100"/>
                <w:sz w:val="21"/>
                <w:szCs w:val="21"/>
              </w:rPr>
              <w:t>中</w:t>
            </w:r>
            <w:r>
              <w:rPr>
                <w:rFonts w:ascii="宋体" w:hAnsi="宋体" w:cs="宋体" w:eastAsia="宋体" w:hint="default"/>
                <w:w w:val="100"/>
                <w:sz w:val="21"/>
                <w:szCs w:val="21"/>
              </w:rPr>
              <w:t>支</w:t>
            </w:r>
            <w:r>
              <w:rPr>
                <w:rFonts w:ascii="宋体" w:hAnsi="宋体" w:cs="宋体" w:eastAsia="宋体" w:hint="default"/>
                <w:spacing w:val="-3"/>
                <w:w w:val="100"/>
                <w:sz w:val="21"/>
                <w:szCs w:val="21"/>
              </w:rPr>
              <w:t>出</w:t>
            </w:r>
            <w:r>
              <w:rPr>
                <w:rFonts w:ascii="宋体" w:hAnsi="宋体" w:cs="宋体" w:eastAsia="宋体" w:hint="default"/>
                <w:w w:val="100"/>
                <w:sz w:val="21"/>
                <w:szCs w:val="21"/>
              </w:rPr>
              <w:t>。</w:t>
            </w:r>
          </w:p>
        </w:tc>
        <w:tc>
          <w:tcPr>
            <w:tcW w:w="571" w:type="dxa"/>
            <w:vMerge w:val="restart"/>
            <w:tcBorders>
              <w:top w:val="single" w:sz="6" w:space="0" w:color="000000"/>
              <w:left w:val="single" w:sz="4" w:space="0" w:color="000000"/>
              <w:right w:val="nil" w:sz="6" w:space="0" w:color="auto"/>
            </w:tcBorders>
          </w:tcPr>
          <w:p>
            <w:pP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项目可行性发生重</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大变化的情况说明</w:t>
            </w:r>
          </w:p>
        </w:tc>
        <w:tc>
          <w:tcPr>
            <w:tcW w:w="1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71" w:type="dxa"/>
            <w:vMerge/>
            <w:tcBorders>
              <w:left w:val="single" w:sz="4" w:space="0" w:color="000000"/>
              <w:right w:val="nil" w:sz="6" w:space="0" w:color="auto"/>
            </w:tcBorders>
          </w:tcPr>
          <w:p>
            <w:pPr/>
          </w:p>
        </w:tc>
      </w:tr>
      <w:tr>
        <w:trPr>
          <w:trHeight w:val="6726"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272" w:lineRule="exact"/>
              <w:ind w:left="88" w:right="19" w:hanging="65"/>
              <w:jc w:val="left"/>
              <w:rPr>
                <w:rFonts w:ascii="宋体" w:hAnsi="宋体" w:cs="宋体" w:eastAsia="宋体" w:hint="default"/>
                <w:sz w:val="21"/>
                <w:szCs w:val="21"/>
              </w:rPr>
            </w:pPr>
            <w:r>
              <w:rPr>
                <w:rFonts w:ascii="宋体" w:hAnsi="宋体" w:cs="宋体" w:eastAsia="宋体" w:hint="default"/>
                <w:spacing w:val="-11"/>
                <w:sz w:val="21"/>
                <w:szCs w:val="21"/>
              </w:rPr>
              <w:t>超募资金的金额、用</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途及使用进展情况</w:t>
            </w:r>
          </w:p>
        </w:tc>
        <w:tc>
          <w:tcPr>
            <w:tcW w:w="1275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487" w:right="0"/>
              <w:jc w:val="left"/>
              <w:rPr>
                <w:rFonts w:ascii="宋体" w:hAnsi="宋体" w:cs="宋体" w:eastAsia="宋体" w:hint="default"/>
                <w:sz w:val="21"/>
                <w:szCs w:val="21"/>
              </w:rPr>
            </w:pPr>
            <w:r>
              <w:rPr>
                <w:rFonts w:ascii="宋体" w:hAnsi="宋体" w:cs="宋体" w:eastAsia="宋体" w:hint="default"/>
                <w:sz w:val="21"/>
                <w:szCs w:val="21"/>
              </w:rPr>
              <w:t>本公司超募资金总额为</w:t>
            </w:r>
            <w:r>
              <w:rPr>
                <w:rFonts w:ascii="Times New Roman" w:hAnsi="Times New Roman" w:cs="Times New Roman" w:eastAsia="Times New Roman" w:hint="default"/>
                <w:sz w:val="21"/>
                <w:szCs w:val="21"/>
              </w:rPr>
              <w:t>22,216.37</w:t>
            </w:r>
            <w:r>
              <w:rPr>
                <w:rFonts w:ascii="宋体" w:hAnsi="宋体" w:cs="宋体" w:eastAsia="宋体" w:hint="default"/>
                <w:sz w:val="21"/>
                <w:szCs w:val="21"/>
              </w:rPr>
              <w:t>万元。</w:t>
            </w:r>
          </w:p>
          <w:p>
            <w:pPr>
              <w:pStyle w:val="TableParagraph"/>
              <w:spacing w:line="338" w:lineRule="auto" w:before="117"/>
              <w:ind w:left="21" w:right="19" w:firstLine="465"/>
              <w:jc w:val="left"/>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2010</w:t>
            </w:r>
            <w:r>
              <w:rPr>
                <w:rFonts w:ascii="宋体" w:hAnsi="宋体" w:cs="宋体" w:eastAsia="宋体" w:hint="default"/>
                <w:spacing w:val="-3"/>
                <w:w w:val="100"/>
                <w:sz w:val="21"/>
                <w:szCs w:val="21"/>
              </w:rPr>
              <w:t>年</w:t>
            </w:r>
            <w:r>
              <w:rPr>
                <w:rFonts w:ascii="Times New Roman" w:hAnsi="Times New Roman" w:cs="Times New Roman" w:eastAsia="Times New Roman" w:hint="default"/>
                <w:spacing w:val="-3"/>
                <w:w w:val="100"/>
                <w:sz w:val="21"/>
                <w:szCs w:val="21"/>
              </w:rPr>
              <w:t>6</w:t>
            </w:r>
            <w:r>
              <w:rPr>
                <w:rFonts w:ascii="宋体" w:hAnsi="宋体" w:cs="宋体" w:eastAsia="宋体" w:hint="default"/>
                <w:spacing w:val="-3"/>
                <w:w w:val="100"/>
                <w:sz w:val="21"/>
                <w:szCs w:val="21"/>
              </w:rPr>
              <w:t>月</w:t>
            </w:r>
            <w:r>
              <w:rPr>
                <w:rFonts w:ascii="Times New Roman" w:hAnsi="Times New Roman" w:cs="Times New Roman" w:eastAsia="Times New Roman" w:hint="default"/>
                <w:spacing w:val="-3"/>
                <w:w w:val="100"/>
                <w:sz w:val="21"/>
                <w:szCs w:val="21"/>
              </w:rPr>
              <w:t>11</w:t>
            </w:r>
            <w:r>
              <w:rPr>
                <w:rFonts w:ascii="宋体" w:hAnsi="宋体" w:cs="宋体" w:eastAsia="宋体" w:hint="default"/>
                <w:spacing w:val="-3"/>
                <w:w w:val="100"/>
                <w:sz w:val="21"/>
                <w:szCs w:val="21"/>
              </w:rPr>
              <w:t>日，公司第一届董事会第十四次会议审议通过了《关于</w:t>
            </w:r>
            <w:r>
              <w:rPr>
                <w:rFonts w:ascii="Times New Roman" w:hAnsi="Times New Roman" w:cs="Times New Roman" w:eastAsia="Times New Roman" w:hint="default"/>
                <w:spacing w:val="-3"/>
                <w:w w:val="100"/>
                <w:sz w:val="21"/>
                <w:szCs w:val="21"/>
              </w:rPr>
              <w:t>&lt;</w:t>
            </w:r>
            <w:r>
              <w:rPr>
                <w:rFonts w:ascii="宋体" w:hAnsi="宋体" w:cs="宋体" w:eastAsia="宋体" w:hint="default"/>
                <w:spacing w:val="-3"/>
                <w:w w:val="100"/>
                <w:sz w:val="21"/>
                <w:szCs w:val="21"/>
              </w:rPr>
              <w:t>超募资金使用计划</w:t>
            </w:r>
            <w:r>
              <w:rPr>
                <w:rFonts w:ascii="Times New Roman" w:hAnsi="Times New Roman" w:cs="Times New Roman" w:eastAsia="Times New Roman" w:hint="default"/>
                <w:spacing w:val="-3"/>
                <w:w w:val="100"/>
                <w:sz w:val="21"/>
                <w:szCs w:val="21"/>
              </w:rPr>
              <w:t>&gt;</w:t>
            </w:r>
            <w:r>
              <w:rPr>
                <w:rFonts w:ascii="宋体" w:hAnsi="宋体" w:cs="宋体" w:eastAsia="宋体" w:hint="default"/>
                <w:spacing w:val="-3"/>
                <w:w w:val="100"/>
                <w:sz w:val="21"/>
                <w:szCs w:val="21"/>
              </w:rPr>
              <w:t>的议案》，决定使用超募资金合计</w:t>
            </w:r>
            <w:r>
              <w:rPr>
                <w:rFonts w:ascii="Times New Roman" w:hAnsi="Times New Roman" w:cs="Times New Roman" w:eastAsia="Times New Roman" w:hint="default"/>
                <w:spacing w:val="-3"/>
                <w:w w:val="100"/>
                <w:sz w:val="21"/>
                <w:szCs w:val="21"/>
              </w:rPr>
              <w:t>21,340</w:t>
            </w:r>
            <w:r>
              <w:rPr>
                <w:rFonts w:ascii="宋体" w:hAnsi="宋体" w:cs="宋体" w:eastAsia="宋体" w:hint="default"/>
                <w:spacing w:val="-3"/>
                <w:w w:val="100"/>
                <w:sz w:val="21"/>
                <w:szCs w:val="21"/>
              </w:rPr>
              <w:t>万日</w:t>
            </w:r>
            <w:r>
              <w:rPr>
                <w:rFonts w:ascii="宋体" w:hAnsi="宋体" w:cs="宋体" w:eastAsia="宋体" w:hint="default"/>
                <w:w w:val="100"/>
                <w:sz w:val="21"/>
                <w:szCs w:val="21"/>
              </w:rPr>
              <w:t> </w:t>
            </w:r>
            <w:r>
              <w:rPr>
                <w:rFonts w:ascii="宋体" w:hAnsi="宋体" w:cs="宋体" w:eastAsia="宋体" w:hint="default"/>
                <w:spacing w:val="-3"/>
                <w:sz w:val="21"/>
                <w:szCs w:val="21"/>
              </w:rPr>
              <w:t>元（折合人民币</w:t>
            </w:r>
            <w:r>
              <w:rPr>
                <w:rFonts w:ascii="Times New Roman" w:hAnsi="Times New Roman" w:cs="Times New Roman" w:eastAsia="Times New Roman" w:hint="default"/>
                <w:spacing w:val="-3"/>
                <w:sz w:val="21"/>
                <w:szCs w:val="21"/>
              </w:rPr>
              <w:t>1,568.49</w:t>
            </w:r>
            <w:r>
              <w:rPr>
                <w:rFonts w:ascii="宋体" w:hAnsi="宋体" w:cs="宋体" w:eastAsia="宋体" w:hint="default"/>
                <w:spacing w:val="-3"/>
                <w:sz w:val="21"/>
                <w:szCs w:val="21"/>
              </w:rPr>
              <w:t>万元人民币，汇率按</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日元兑换</w:t>
            </w:r>
            <w:r>
              <w:rPr>
                <w:rFonts w:ascii="Times New Roman" w:hAnsi="Times New Roman" w:cs="Times New Roman" w:eastAsia="Times New Roman" w:hint="default"/>
                <w:spacing w:val="-3"/>
                <w:sz w:val="21"/>
                <w:szCs w:val="21"/>
              </w:rPr>
              <w:t>7.35</w:t>
            </w:r>
            <w:r>
              <w:rPr>
                <w:rFonts w:ascii="宋体" w:hAnsi="宋体" w:cs="宋体" w:eastAsia="宋体" w:hint="default"/>
                <w:spacing w:val="-3"/>
                <w:sz w:val="21"/>
                <w:szCs w:val="21"/>
              </w:rPr>
              <w:t>元人民币计算）以收购部分股东股份与认购增发股份相结合的方式取得日本超</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图株式会社</w:t>
            </w:r>
            <w:r>
              <w:rPr>
                <w:rFonts w:ascii="Times New Roman" w:hAnsi="Times New Roman" w:cs="Times New Roman" w:eastAsia="Times New Roman" w:hint="default"/>
                <w:spacing w:val="-2"/>
                <w:sz w:val="21"/>
                <w:szCs w:val="21"/>
              </w:rPr>
              <w:t>19,400</w:t>
            </w:r>
            <w:r>
              <w:rPr>
                <w:rFonts w:ascii="宋体" w:hAnsi="宋体" w:cs="宋体" w:eastAsia="宋体" w:hint="default"/>
                <w:spacing w:val="-2"/>
                <w:sz w:val="21"/>
                <w:szCs w:val="21"/>
              </w:rPr>
              <w:t>股股份，占比</w:t>
            </w:r>
            <w:r>
              <w:rPr>
                <w:rFonts w:ascii="Times New Roman" w:hAnsi="Times New Roman" w:cs="Times New Roman" w:eastAsia="Times New Roman" w:hint="default"/>
                <w:spacing w:val="-2"/>
                <w:sz w:val="21"/>
                <w:szCs w:val="21"/>
              </w:rPr>
              <w:t>36.60%</w:t>
            </w:r>
            <w:r>
              <w:rPr>
                <w:rFonts w:ascii="宋体" w:hAnsi="宋体" w:cs="宋体" w:eastAsia="宋体" w:hint="default"/>
                <w:spacing w:val="-2"/>
                <w:sz w:val="21"/>
                <w:szCs w:val="21"/>
              </w:rPr>
              <w:t>。至</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月，公司完成该投资所需要的所有手续，并支付完毕相关款项，根据国家外汇管理</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4"/>
                <w:sz w:val="21"/>
                <w:szCs w:val="21"/>
              </w:rPr>
              <w:t>相关规定以及款项汇出时汇率情况，公司最终支付总额为</w:t>
            </w:r>
            <w:r>
              <w:rPr>
                <w:rFonts w:ascii="Times New Roman" w:hAnsi="Times New Roman" w:cs="Times New Roman" w:eastAsia="Times New Roman" w:hint="default"/>
                <w:spacing w:val="-4"/>
                <w:sz w:val="21"/>
                <w:szCs w:val="21"/>
              </w:rPr>
              <w:t>17,102,115.70</w:t>
            </w:r>
            <w:r>
              <w:rPr>
                <w:rFonts w:ascii="宋体" w:hAnsi="宋体" w:cs="宋体" w:eastAsia="宋体" w:hint="default"/>
                <w:spacing w:val="-4"/>
                <w:sz w:val="21"/>
                <w:szCs w:val="21"/>
              </w:rPr>
              <w:t>元（其中用于收购的投资金额为</w:t>
            </w:r>
            <w:r>
              <w:rPr>
                <w:rFonts w:ascii="Times New Roman" w:hAnsi="Times New Roman" w:cs="Times New Roman" w:eastAsia="Times New Roman" w:hint="default"/>
                <w:spacing w:val="-4"/>
                <w:sz w:val="21"/>
                <w:szCs w:val="21"/>
              </w:rPr>
              <w:t>17,090,761.78</w:t>
            </w:r>
            <w:r>
              <w:rPr>
                <w:rFonts w:ascii="宋体" w:hAnsi="宋体" w:cs="宋体" w:eastAsia="宋体" w:hint="default"/>
                <w:spacing w:val="-4"/>
                <w:sz w:val="21"/>
                <w:szCs w:val="21"/>
              </w:rPr>
              <w:t>元人民币，另含</w:t>
            </w:r>
            <w:r>
              <w:rPr>
                <w:rFonts w:ascii="Times New Roman" w:hAnsi="Times New Roman" w:cs="Times New Roman" w:eastAsia="Times New Roman" w:hint="default"/>
                <w:spacing w:val="-4"/>
                <w:sz w:val="21"/>
                <w:szCs w:val="21"/>
              </w:rPr>
              <w:t>11,353.92</w:t>
            </w:r>
            <w:r>
              <w:rPr>
                <w:rFonts w:ascii="Times New Roman" w:hAnsi="Times New Roman" w:cs="Times New Roman" w:eastAsia="Times New Roman" w:hint="default"/>
                <w:spacing w:val="41"/>
                <w:sz w:val="21"/>
                <w:szCs w:val="21"/>
              </w:rPr>
              <w:t> </w:t>
            </w:r>
            <w:r>
              <w:rPr>
                <w:rFonts w:ascii="Times New Roman" w:hAnsi="Times New Roman" w:cs="Times New Roman" w:eastAsia="Times New Roman" w:hint="default"/>
                <w:spacing w:val="41"/>
                <w:sz w:val="21"/>
                <w:szCs w:val="21"/>
              </w:rPr>
            </w:r>
            <w:r>
              <w:rPr>
                <w:rFonts w:ascii="宋体" w:hAnsi="宋体" w:cs="宋体" w:eastAsia="宋体" w:hint="default"/>
                <w:spacing w:val="-13"/>
                <w:w w:val="100"/>
                <w:sz w:val="21"/>
                <w:szCs w:val="21"/>
              </w:rPr>
              <w:t>元人民币手续费）。</w:t>
            </w:r>
          </w:p>
          <w:p>
            <w:pPr>
              <w:pStyle w:val="TableParagraph"/>
              <w:spacing w:line="336" w:lineRule="auto" w:before="47"/>
              <w:ind w:left="21" w:right="24" w:firstLine="465"/>
              <w:jc w:val="both"/>
              <w:rPr>
                <w:rFonts w:ascii="宋体" w:hAnsi="宋体" w:cs="宋体" w:eastAsia="宋体" w:hint="default"/>
                <w:sz w:val="21"/>
                <w:szCs w:val="21"/>
              </w:rPr>
            </w:pPr>
            <w:r>
              <w:rPr>
                <w:rFonts w:ascii="Times New Roman" w:hAnsi="Times New Roman" w:cs="Times New Roman" w:eastAsia="Times New Roman" w:hint="default"/>
                <w:spacing w:val="-3"/>
                <w:w w:val="100"/>
                <w:sz w:val="21"/>
                <w:szCs w:val="21"/>
              </w:rPr>
              <w:t>2011</w:t>
            </w:r>
            <w:r>
              <w:rPr>
                <w:rFonts w:ascii="宋体" w:hAnsi="宋体" w:cs="宋体" w:eastAsia="宋体" w:hint="default"/>
                <w:spacing w:val="-3"/>
                <w:w w:val="100"/>
                <w:sz w:val="21"/>
                <w:szCs w:val="21"/>
              </w:rPr>
              <w:t>年</w:t>
            </w:r>
            <w:r>
              <w:rPr>
                <w:rFonts w:ascii="Times New Roman" w:hAnsi="Times New Roman" w:cs="Times New Roman" w:eastAsia="Times New Roman" w:hint="default"/>
                <w:spacing w:val="-3"/>
                <w:w w:val="100"/>
                <w:sz w:val="21"/>
                <w:szCs w:val="21"/>
              </w:rPr>
              <w:t>4</w:t>
            </w:r>
            <w:r>
              <w:rPr>
                <w:rFonts w:ascii="宋体" w:hAnsi="宋体" w:cs="宋体" w:eastAsia="宋体" w:hint="default"/>
                <w:spacing w:val="-3"/>
                <w:w w:val="100"/>
                <w:sz w:val="21"/>
                <w:szCs w:val="21"/>
              </w:rPr>
              <w:t>月</w:t>
            </w:r>
            <w:r>
              <w:rPr>
                <w:rFonts w:ascii="Times New Roman" w:hAnsi="Times New Roman" w:cs="Times New Roman" w:eastAsia="Times New Roman" w:hint="default"/>
                <w:spacing w:val="-3"/>
                <w:w w:val="100"/>
                <w:sz w:val="21"/>
                <w:szCs w:val="21"/>
              </w:rPr>
              <w:t>15</w:t>
            </w:r>
            <w:r>
              <w:rPr>
                <w:rFonts w:ascii="宋体" w:hAnsi="宋体" w:cs="宋体" w:eastAsia="宋体" w:hint="default"/>
                <w:spacing w:val="-3"/>
                <w:w w:val="100"/>
                <w:sz w:val="21"/>
                <w:szCs w:val="21"/>
              </w:rPr>
              <w:t>日，公司第一届董事会第十八次会议审议通过了《关于购置房产及超募资金使用计划的议案》，拟用</w:t>
            </w:r>
            <w:r>
              <w:rPr>
                <w:rFonts w:ascii="Times New Roman" w:hAnsi="Times New Roman" w:cs="Times New Roman" w:eastAsia="Times New Roman" w:hint="default"/>
                <w:spacing w:val="-3"/>
                <w:w w:val="100"/>
                <w:sz w:val="21"/>
                <w:szCs w:val="21"/>
              </w:rPr>
              <w:t>8,000</w:t>
            </w:r>
            <w:r>
              <w:rPr>
                <w:rFonts w:ascii="宋体" w:hAnsi="宋体" w:cs="宋体" w:eastAsia="宋体" w:hint="default"/>
                <w:spacing w:val="-3"/>
                <w:w w:val="100"/>
                <w:sz w:val="21"/>
                <w:szCs w:val="21"/>
              </w:rPr>
              <w:t>万元超募集资金</w:t>
            </w:r>
            <w:r>
              <w:rPr>
                <w:rFonts w:ascii="宋体" w:hAnsi="宋体" w:cs="宋体" w:eastAsia="宋体" w:hint="default"/>
                <w:w w:val="100"/>
                <w:sz w:val="21"/>
                <w:szCs w:val="21"/>
              </w:rPr>
              <w:t> </w:t>
            </w:r>
            <w:r>
              <w:rPr>
                <w:rFonts w:ascii="宋体" w:hAnsi="宋体" w:cs="宋体" w:eastAsia="宋体" w:hint="default"/>
                <w:spacing w:val="-2"/>
                <w:sz w:val="21"/>
                <w:szCs w:val="21"/>
              </w:rPr>
              <w:t>结合自有资金的方式，用于购置办公用房；同时，该项目于</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18</w:t>
            </w:r>
            <w:r>
              <w:rPr>
                <w:rFonts w:ascii="宋体" w:hAnsi="宋体" w:cs="宋体" w:eastAsia="宋体" w:hint="default"/>
                <w:spacing w:val="-2"/>
                <w:sz w:val="21"/>
                <w:szCs w:val="21"/>
              </w:rPr>
              <w:t>日提交公司</w:t>
            </w:r>
            <w:r>
              <w:rPr>
                <w:rFonts w:ascii="Times New Roman" w:hAnsi="Times New Roman" w:cs="Times New Roman" w:eastAsia="Times New Roman" w:hint="default"/>
                <w:spacing w:val="-2"/>
                <w:sz w:val="21"/>
                <w:szCs w:val="21"/>
              </w:rPr>
              <w:t>2010</w:t>
            </w:r>
            <w:r>
              <w:rPr>
                <w:rFonts w:ascii="宋体" w:hAnsi="宋体" w:cs="宋体" w:eastAsia="宋体" w:hint="default"/>
                <w:spacing w:val="-2"/>
                <w:sz w:val="21"/>
                <w:szCs w:val="21"/>
              </w:rPr>
              <w:t>年度股东大会审议通过。</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23</w:t>
            </w:r>
            <w:r>
              <w:rPr>
                <w:rFonts w:ascii="宋体" w:hAnsi="宋体" w:cs="宋体" w:eastAsia="宋体" w:hint="default"/>
                <w:spacing w:val="-2"/>
                <w:sz w:val="21"/>
                <w:szCs w:val="21"/>
              </w:rPr>
              <w:t>日，本项目</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所涉及购房协议签署，根据协议，公司应在</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9</w:t>
            </w:r>
            <w:r>
              <w:rPr>
                <w:rFonts w:ascii="宋体" w:hAnsi="宋体" w:cs="宋体" w:eastAsia="宋体" w:hint="default"/>
                <w:sz w:val="21"/>
                <w:szCs w:val="21"/>
              </w:rPr>
              <w:t>日前支付首次房款</w:t>
            </w:r>
            <w:r>
              <w:rPr>
                <w:rFonts w:ascii="Times New Roman" w:hAnsi="Times New Roman" w:cs="Times New Roman" w:eastAsia="Times New Roman" w:hint="default"/>
                <w:sz w:val="21"/>
                <w:szCs w:val="21"/>
              </w:rPr>
              <w:t>135,975,165.2</w:t>
            </w:r>
            <w:r>
              <w:rPr>
                <w:rFonts w:ascii="宋体" w:hAnsi="宋体" w:cs="宋体" w:eastAsia="宋体" w:hint="default"/>
                <w:sz w:val="21"/>
                <w:szCs w:val="21"/>
              </w:rPr>
              <w:t>元，其中从超募资金帐户中支付</w:t>
            </w:r>
            <w:r>
              <w:rPr>
                <w:rFonts w:ascii="Times New Roman" w:hAnsi="Times New Roman" w:cs="Times New Roman" w:eastAsia="Times New Roman" w:hint="default"/>
                <w:sz w:val="21"/>
                <w:szCs w:val="21"/>
              </w:rPr>
              <w:t>8,000</w:t>
            </w:r>
            <w:r>
              <w:rPr>
                <w:rFonts w:ascii="宋体" w:hAnsi="宋体" w:cs="宋体" w:eastAsia="宋体" w:hint="default"/>
                <w:sz w:val="21"/>
                <w:szCs w:val="21"/>
              </w:rPr>
              <w:t>万元。</w:t>
            </w:r>
          </w:p>
          <w:p>
            <w:pPr>
              <w:pStyle w:val="TableParagraph"/>
              <w:spacing w:line="336" w:lineRule="auto" w:before="26"/>
              <w:ind w:left="21" w:right="17" w:firstLine="465"/>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23</w:t>
            </w:r>
            <w:r>
              <w:rPr>
                <w:rFonts w:ascii="宋体" w:hAnsi="宋体" w:cs="宋体" w:eastAsia="宋体" w:hint="default"/>
                <w:spacing w:val="-3"/>
                <w:sz w:val="21"/>
                <w:szCs w:val="21"/>
              </w:rPr>
              <w:t>日，公司第二届董事会第三次会议审议通过了《关于使用超募资金承接西安市数字化“城市管理”信息系统建设项目的议</w:t>
            </w:r>
            <w:r>
              <w:rPr>
                <w:rFonts w:ascii="宋体" w:hAnsi="宋体" w:cs="宋体" w:eastAsia="宋体" w:hint="default"/>
                <w:w w:val="100"/>
                <w:sz w:val="21"/>
                <w:szCs w:val="21"/>
              </w:rPr>
              <w:t> </w:t>
            </w:r>
            <w:r>
              <w:rPr>
                <w:rFonts w:ascii="宋体" w:hAnsi="宋体" w:cs="宋体" w:eastAsia="宋体" w:hint="default"/>
                <w:spacing w:val="-3"/>
                <w:w w:val="100"/>
                <w:sz w:val="21"/>
                <w:szCs w:val="21"/>
              </w:rPr>
              <w:t>案》以及《关于使用超募资金建设成都技术中心的议案》，拟分别使用</w:t>
            </w:r>
            <w:r>
              <w:rPr>
                <w:rFonts w:ascii="Times New Roman" w:hAnsi="Times New Roman" w:cs="Times New Roman" w:eastAsia="Times New Roman" w:hint="default"/>
                <w:spacing w:val="-3"/>
                <w:w w:val="100"/>
                <w:sz w:val="21"/>
                <w:szCs w:val="21"/>
              </w:rPr>
              <w:t>2,305.89</w:t>
            </w:r>
            <w:r>
              <w:rPr>
                <w:rFonts w:ascii="宋体" w:hAnsi="宋体" w:cs="宋体" w:eastAsia="宋体" w:hint="default"/>
                <w:spacing w:val="-3"/>
                <w:w w:val="100"/>
                <w:sz w:val="21"/>
                <w:szCs w:val="21"/>
              </w:rPr>
              <w:t>万元超募资金承接西安数字化“城市管理”信息系统建设项</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5"/>
                <w:sz w:val="21"/>
                <w:szCs w:val="21"/>
              </w:rPr>
              <w:t>目以及使用超募资金</w:t>
            </w:r>
            <w:r>
              <w:rPr>
                <w:rFonts w:ascii="Times New Roman" w:hAnsi="Times New Roman" w:cs="Times New Roman" w:eastAsia="Times New Roman" w:hint="default"/>
                <w:spacing w:val="-5"/>
                <w:sz w:val="21"/>
                <w:szCs w:val="21"/>
              </w:rPr>
              <w:t>4,152.5</w:t>
            </w:r>
            <w:r>
              <w:rPr>
                <w:rFonts w:ascii="宋体" w:hAnsi="宋体" w:cs="宋体" w:eastAsia="宋体" w:hint="default"/>
                <w:spacing w:val="-5"/>
                <w:sz w:val="21"/>
                <w:szCs w:val="21"/>
              </w:rPr>
              <w:t>万元建设成都技术中心。截至</w:t>
            </w:r>
            <w:r>
              <w:rPr>
                <w:rFonts w:ascii="Times New Roman" w:hAnsi="Times New Roman" w:cs="Times New Roman" w:eastAsia="Times New Roman" w:hint="default"/>
                <w:spacing w:val="-5"/>
                <w:sz w:val="21"/>
                <w:szCs w:val="21"/>
              </w:rPr>
              <w:t>2011</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12</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31</w:t>
            </w:r>
            <w:r>
              <w:rPr>
                <w:rFonts w:ascii="宋体" w:hAnsi="宋体" w:cs="宋体" w:eastAsia="宋体" w:hint="default"/>
                <w:spacing w:val="-5"/>
                <w:sz w:val="21"/>
                <w:szCs w:val="21"/>
              </w:rPr>
              <w:t>日，西安数字化“城市管理”信息系统建设项目已使用超募资金</w:t>
            </w:r>
            <w:r>
              <w:rPr>
                <w:rFonts w:ascii="Times New Roman" w:hAnsi="Times New Roman" w:cs="Times New Roman" w:eastAsia="Times New Roman" w:hint="default"/>
                <w:spacing w:val="-5"/>
                <w:sz w:val="21"/>
                <w:szCs w:val="21"/>
              </w:rPr>
              <w:t>194.76</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pacing w:val="27"/>
                <w:sz w:val="21"/>
                <w:szCs w:val="21"/>
              </w:rPr>
            </w:r>
            <w:r>
              <w:rPr>
                <w:rFonts w:ascii="宋体" w:hAnsi="宋体" w:cs="宋体" w:eastAsia="宋体" w:hint="default"/>
                <w:spacing w:val="-4"/>
                <w:sz w:val="21"/>
                <w:szCs w:val="21"/>
              </w:rPr>
              <w:t>万元，而成都技术中心建设项目已经签署相关办公房购置协议，根据协议，公司于</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月支付购房订金</w:t>
            </w:r>
            <w:r>
              <w:rPr>
                <w:rFonts w:ascii="Times New Roman" w:hAnsi="Times New Roman" w:cs="Times New Roman" w:eastAsia="Times New Roman" w:hint="default"/>
                <w:spacing w:val="-4"/>
                <w:sz w:val="21"/>
                <w:szCs w:val="21"/>
              </w:rPr>
              <w:t>70</w:t>
            </w:r>
            <w:r>
              <w:rPr>
                <w:rFonts w:ascii="宋体" w:hAnsi="宋体" w:cs="宋体" w:eastAsia="宋体" w:hint="default"/>
                <w:spacing w:val="-4"/>
                <w:sz w:val="21"/>
                <w:szCs w:val="21"/>
              </w:rPr>
              <w:t>万元，此外还支付设备费用等</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计</w:t>
            </w:r>
            <w:r>
              <w:rPr>
                <w:rFonts w:ascii="Times New Roman" w:hAnsi="Times New Roman" w:cs="Times New Roman" w:eastAsia="Times New Roman" w:hint="default"/>
                <w:sz w:val="21"/>
                <w:szCs w:val="21"/>
              </w:rPr>
              <w:t>4.21</w:t>
            </w:r>
            <w:r>
              <w:rPr>
                <w:rFonts w:ascii="宋体" w:hAnsi="宋体" w:cs="宋体" w:eastAsia="宋体" w:hint="default"/>
                <w:sz w:val="21"/>
                <w:szCs w:val="21"/>
              </w:rPr>
              <w:t>万元，成都技术中心建设项目合计支出</w:t>
            </w:r>
            <w:r>
              <w:rPr>
                <w:rFonts w:ascii="Times New Roman" w:hAnsi="Times New Roman" w:cs="Times New Roman" w:eastAsia="Times New Roman" w:hint="default"/>
                <w:sz w:val="21"/>
                <w:szCs w:val="21"/>
              </w:rPr>
              <w:t>74.21</w:t>
            </w:r>
            <w:r>
              <w:rPr>
                <w:rFonts w:ascii="宋体" w:hAnsi="宋体" w:cs="宋体" w:eastAsia="宋体" w:hint="default"/>
                <w:sz w:val="21"/>
                <w:szCs w:val="21"/>
              </w:rPr>
              <w:t>万元。</w:t>
            </w:r>
          </w:p>
          <w:p>
            <w:pPr>
              <w:pStyle w:val="TableParagraph"/>
              <w:spacing w:line="340" w:lineRule="auto" w:before="20"/>
              <w:ind w:left="21" w:right="17" w:firstLine="465"/>
              <w:jc w:val="left"/>
              <w:rPr>
                <w:rFonts w:ascii="宋体" w:hAnsi="宋体" w:cs="宋体" w:eastAsia="宋体" w:hint="default"/>
                <w:sz w:val="21"/>
                <w:szCs w:val="21"/>
              </w:rPr>
            </w:pPr>
            <w:r>
              <w:rPr>
                <w:rFonts w:ascii="宋体" w:hAnsi="宋体" w:cs="宋体" w:eastAsia="宋体" w:hint="default"/>
                <w:spacing w:val="-2"/>
                <w:sz w:val="21"/>
                <w:szCs w:val="21"/>
              </w:rPr>
              <w:t>剩余</w:t>
            </w:r>
            <w:r>
              <w:rPr>
                <w:rFonts w:ascii="Times New Roman" w:hAnsi="Times New Roman" w:cs="Times New Roman" w:eastAsia="Times New Roman" w:hint="default"/>
                <w:spacing w:val="-2"/>
                <w:sz w:val="24"/>
                <w:szCs w:val="24"/>
              </w:rPr>
              <w:t>6,047.77</w:t>
            </w:r>
            <w:r>
              <w:rPr>
                <w:rFonts w:ascii="宋体" w:hAnsi="宋体" w:cs="宋体" w:eastAsia="宋体" w:hint="default"/>
                <w:spacing w:val="-2"/>
                <w:sz w:val="24"/>
                <w:szCs w:val="24"/>
              </w:rPr>
              <w:t>万元</w:t>
            </w:r>
            <w:r>
              <w:rPr>
                <w:rFonts w:ascii="宋体" w:hAnsi="宋体" w:cs="宋体" w:eastAsia="宋体" w:hint="default"/>
                <w:spacing w:val="-2"/>
                <w:sz w:val="21"/>
                <w:szCs w:val="21"/>
              </w:rPr>
              <w:t>超募集资金，公司将根据公司的发展规划及实际生产经营需求，妥善安排超募资金的具体使用计划，提交董事会审</w:t>
            </w:r>
            <w:r>
              <w:rPr>
                <w:rFonts w:ascii="宋体" w:hAnsi="宋体" w:cs="宋体" w:eastAsia="宋体" w:hint="default"/>
                <w:w w:val="100"/>
                <w:sz w:val="21"/>
                <w:szCs w:val="21"/>
              </w:rPr>
              <w:t> </w:t>
            </w:r>
            <w:r>
              <w:rPr>
                <w:rFonts w:ascii="宋体" w:hAnsi="宋体" w:cs="宋体" w:eastAsia="宋体" w:hint="default"/>
                <w:sz w:val="21"/>
                <w:szCs w:val="21"/>
              </w:rPr>
              <w:t>议通过后及时披露。</w:t>
            </w:r>
          </w:p>
        </w:tc>
        <w:tc>
          <w:tcPr>
            <w:tcW w:w="571" w:type="dxa"/>
            <w:vMerge/>
            <w:tcBorders>
              <w:left w:val="single" w:sz="4" w:space="0" w:color="000000"/>
              <w:right w:val="nil" w:sz="6" w:space="0" w:color="auto"/>
            </w:tcBorders>
          </w:tcPr>
          <w:p>
            <w:pPr/>
          </w:p>
        </w:tc>
      </w:tr>
      <w:tr>
        <w:trPr>
          <w:trHeight w:val="55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z w:val="21"/>
                <w:szCs w:val="21"/>
              </w:rPr>
              <w:t>实施地点变更情况</w:t>
            </w:r>
          </w:p>
        </w:tc>
        <w:tc>
          <w:tcPr>
            <w:tcW w:w="1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71" w:type="dxa"/>
            <w:vMerge/>
            <w:tcBorders>
              <w:left w:val="single" w:sz="4" w:space="0" w:color="000000"/>
              <w:right w:val="nil" w:sz="6" w:space="0" w:color="auto"/>
            </w:tcBorders>
          </w:tcPr>
          <w:p>
            <w:pPr/>
          </w:p>
        </w:tc>
      </w:tr>
      <w:tr>
        <w:trPr>
          <w:trHeight w:val="557"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实施方式调整情况</w:t>
            </w:r>
          </w:p>
        </w:tc>
        <w:tc>
          <w:tcPr>
            <w:tcW w:w="1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71" w:type="dxa"/>
            <w:vMerge/>
            <w:tcBorders>
              <w:left w:val="single" w:sz="4" w:space="0" w:color="000000"/>
              <w:right w:val="nil" w:sz="6" w:space="0" w:color="auto"/>
            </w:tcBorders>
          </w:tcPr>
          <w:p>
            <w:pPr/>
          </w:p>
        </w:tc>
      </w:tr>
      <w:tr>
        <w:trPr>
          <w:trHeight w:val="554"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left"/>
              <w:rPr>
                <w:rFonts w:ascii="宋体" w:hAnsi="宋体" w:cs="宋体" w:eastAsia="宋体" w:hint="default"/>
                <w:sz w:val="21"/>
                <w:szCs w:val="21"/>
              </w:rPr>
            </w:pPr>
            <w:r>
              <w:rPr>
                <w:rFonts w:ascii="宋体" w:hAnsi="宋体" w:cs="宋体" w:eastAsia="宋体" w:hint="default"/>
                <w:sz w:val="21"/>
                <w:szCs w:val="21"/>
              </w:rPr>
              <w:t>募集资金投资项目</w:t>
            </w:r>
          </w:p>
          <w:p>
            <w:pPr>
              <w:pStyle w:val="TableParagraph"/>
              <w:spacing w:line="273" w:lineRule="exact"/>
              <w:ind w:left="88" w:right="0"/>
              <w:jc w:val="left"/>
              <w:rPr>
                <w:rFonts w:ascii="宋体" w:hAnsi="宋体" w:cs="宋体" w:eastAsia="宋体" w:hint="default"/>
                <w:sz w:val="21"/>
                <w:szCs w:val="21"/>
              </w:rPr>
            </w:pPr>
            <w:r>
              <w:rPr>
                <w:rFonts w:ascii="宋体" w:hAnsi="宋体" w:cs="宋体" w:eastAsia="宋体" w:hint="default"/>
                <w:sz w:val="21"/>
                <w:szCs w:val="21"/>
              </w:rPr>
              <w:t>先期投入及置换情</w:t>
            </w:r>
          </w:p>
        </w:tc>
        <w:tc>
          <w:tcPr>
            <w:tcW w:w="1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6"/>
                <w:sz w:val="21"/>
                <w:szCs w:val="21"/>
              </w:rPr>
              <w:t> </w:t>
            </w:r>
            <w:r>
              <w:rPr>
                <w:rFonts w:ascii="宋体" w:hAnsi="宋体" w:cs="宋体" w:eastAsia="宋体" w:hint="default"/>
                <w:spacing w:val="-2"/>
                <w:sz w:val="21"/>
                <w:szCs w:val="21"/>
              </w:rPr>
              <w:t>年度，公司不存在募集资金投资项目先期投入及置换情况。</w:t>
            </w:r>
          </w:p>
        </w:tc>
        <w:tc>
          <w:tcPr>
            <w:tcW w:w="571" w:type="dxa"/>
            <w:vMerge/>
            <w:tcBorders>
              <w:left w:val="single" w:sz="4" w:space="0" w:color="000000"/>
              <w:bottom w:val="nil" w:sz="6" w:space="0" w:color="auto"/>
              <w:right w:val="nil" w:sz="6" w:space="0" w:color="auto"/>
            </w:tcBorders>
          </w:tcPr>
          <w:p>
            <w:pPr/>
          </w:p>
        </w:tc>
      </w:tr>
    </w:tbl>
    <w:p>
      <w:pPr>
        <w:spacing w:after="0"/>
        <w:sectPr>
          <w:pgSz w:w="16840" w:h="11910" w:orient="landscape"/>
          <w:pgMar w:header="884" w:footer="1008" w:top="1100" w:bottom="1200" w:left="700" w:right="700"/>
        </w:sectPr>
      </w:pPr>
    </w:p>
    <w:p>
      <w:pPr>
        <w:spacing w:line="240" w:lineRule="auto" w:before="3"/>
        <w:rPr>
          <w:rFonts w:ascii="Times New Roman" w:hAnsi="Times New Roman" w:cs="Times New Roman" w:eastAsia="Times New Roman"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868"/>
        <w:gridCol w:w="12758"/>
        <w:gridCol w:w="571"/>
      </w:tblGrid>
      <w:tr>
        <w:trPr>
          <w:trHeight w:val="288" w:hRule="exact"/>
        </w:trPr>
        <w:tc>
          <w:tcPr>
            <w:tcW w:w="1868" w:type="dxa"/>
            <w:tcBorders>
              <w:top w:val="single" w:sz="10"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况</w:t>
            </w:r>
          </w:p>
        </w:tc>
        <w:tc>
          <w:tcPr>
            <w:tcW w:w="12758" w:type="dxa"/>
            <w:tcBorders>
              <w:top w:val="single" w:sz="10" w:space="0" w:color="000000"/>
              <w:left w:val="single" w:sz="4" w:space="0" w:color="000000"/>
              <w:bottom w:val="single" w:sz="4" w:space="0" w:color="000000"/>
              <w:right w:val="single" w:sz="4" w:space="0" w:color="000000"/>
            </w:tcBorders>
          </w:tcPr>
          <w:p>
            <w:pPr/>
          </w:p>
        </w:tc>
        <w:tc>
          <w:tcPr>
            <w:tcW w:w="571" w:type="dxa"/>
            <w:vMerge w:val="restart"/>
            <w:tcBorders>
              <w:top w:val="single" w:sz="6" w:space="0" w:color="000000"/>
              <w:left w:val="single" w:sz="4" w:space="0" w:color="000000"/>
              <w:right w:val="nil" w:sz="6" w:space="0" w:color="auto"/>
            </w:tcBorders>
          </w:tcPr>
          <w:p>
            <w:pPr/>
          </w:p>
        </w:tc>
      </w:tr>
      <w:tr>
        <w:trPr>
          <w:trHeight w:val="82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用闲置募集资金暂</w:t>
            </w:r>
          </w:p>
          <w:p>
            <w:pPr>
              <w:pStyle w:val="TableParagraph"/>
              <w:spacing w:line="272" w:lineRule="exact" w:before="27"/>
              <w:ind w:left="823" w:right="84" w:hanging="735"/>
              <w:jc w:val="left"/>
              <w:rPr>
                <w:rFonts w:ascii="宋体" w:hAnsi="宋体" w:cs="宋体" w:eastAsia="宋体" w:hint="default"/>
                <w:sz w:val="21"/>
                <w:szCs w:val="21"/>
              </w:rPr>
            </w:pPr>
            <w:r>
              <w:rPr>
                <w:rFonts w:ascii="宋体" w:hAnsi="宋体" w:cs="宋体" w:eastAsia="宋体" w:hint="default"/>
                <w:sz w:val="21"/>
                <w:szCs w:val="21"/>
              </w:rPr>
              <w:t>时补充流动资金情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571" w:type="dxa"/>
            <w:vMerge/>
            <w:tcBorders>
              <w:left w:val="single" w:sz="4" w:space="0" w:color="000000"/>
              <w:right w:val="nil" w:sz="6" w:space="0" w:color="auto"/>
            </w:tcBorders>
          </w:tcPr>
          <w:p>
            <w:pPr/>
          </w:p>
        </w:tc>
      </w:tr>
      <w:tr>
        <w:trPr>
          <w:trHeight w:val="1099"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8" w:right="84"/>
              <w:jc w:val="center"/>
              <w:rPr>
                <w:rFonts w:ascii="宋体" w:hAnsi="宋体" w:cs="宋体" w:eastAsia="宋体" w:hint="default"/>
                <w:sz w:val="21"/>
                <w:szCs w:val="21"/>
              </w:rPr>
            </w:pPr>
            <w:r>
              <w:rPr>
                <w:rFonts w:ascii="宋体" w:hAnsi="宋体" w:cs="宋体" w:eastAsia="宋体" w:hint="default"/>
                <w:spacing w:val="-2"/>
                <w:sz w:val="21"/>
                <w:szCs w:val="21"/>
              </w:rPr>
              <w:t>项目实施出现募集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资金结余的金额及</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原因</w:t>
            </w:r>
          </w:p>
        </w:tc>
        <w:tc>
          <w:tcPr>
            <w:tcW w:w="1275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基础平台软件系列研发升级项目原计划使用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8198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万元，截止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日累计使用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7,057.82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万元，剩余</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1140.18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万元。出现剩余</w:t>
            </w:r>
          </w:p>
          <w:p>
            <w:pPr>
              <w:pStyle w:val="TableParagraph"/>
              <w:spacing w:line="272" w:lineRule="exact" w:before="19"/>
              <w:ind w:left="21" w:right="21"/>
              <w:jc w:val="left"/>
              <w:rPr>
                <w:rFonts w:ascii="宋体" w:hAnsi="宋体" w:cs="宋体" w:eastAsia="宋体" w:hint="default"/>
                <w:sz w:val="21"/>
                <w:szCs w:val="21"/>
              </w:rPr>
            </w:pPr>
            <w:r>
              <w:rPr>
                <w:rFonts w:ascii="宋体" w:hAnsi="宋体" w:cs="宋体" w:eastAsia="宋体" w:hint="default"/>
                <w:spacing w:val="-11"/>
                <w:w w:val="100"/>
                <w:sz w:val="21"/>
                <w:szCs w:val="21"/>
              </w:rPr>
              <w:t>原因主要为：（</w:t>
            </w:r>
            <w:r>
              <w:rPr>
                <w:rFonts w:ascii="Times New Roman" w:hAnsi="Times New Roman" w:cs="Times New Roman" w:eastAsia="Times New Roman" w:hint="default"/>
                <w:spacing w:val="-11"/>
                <w:w w:val="100"/>
                <w:sz w:val="21"/>
                <w:szCs w:val="21"/>
              </w:rPr>
              <w:t>1</w:t>
            </w:r>
            <w:r>
              <w:rPr>
                <w:rFonts w:ascii="宋体" w:hAnsi="宋体" w:cs="宋体" w:eastAsia="宋体" w:hint="default"/>
                <w:spacing w:val="-11"/>
                <w:w w:val="100"/>
                <w:sz w:val="21"/>
                <w:szCs w:val="21"/>
              </w:rPr>
              <w:t>）应付但未付</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1"/>
                <w:w w:val="100"/>
                <w:sz w:val="21"/>
                <w:szCs w:val="21"/>
              </w:rPr>
              <w:t>639.26</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3"/>
                <w:w w:val="100"/>
                <w:sz w:val="21"/>
                <w:szCs w:val="21"/>
              </w:rPr>
              <w:t>万元人工成本（主要为</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4"/>
                <w:w w:val="100"/>
                <w:sz w:val="21"/>
                <w:szCs w:val="21"/>
              </w:rPr>
              <w:t>2011</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8"/>
                <w:w w:val="100"/>
                <w:sz w:val="21"/>
                <w:szCs w:val="21"/>
              </w:rPr>
              <w:t>年度该项目组成员的年终奖金），实际在</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1"/>
                <w:w w:val="100"/>
                <w:sz w:val="21"/>
                <w:szCs w:val="21"/>
              </w:rPr>
              <w:t>2012</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年度中从募集资金专户中支</w:t>
            </w:r>
            <w:r>
              <w:rPr>
                <w:rFonts w:ascii="宋体" w:hAnsi="宋体" w:cs="宋体" w:eastAsia="宋体" w:hint="default"/>
                <w:w w:val="100"/>
                <w:sz w:val="21"/>
                <w:szCs w:val="21"/>
              </w:rPr>
              <w:t> </w:t>
            </w:r>
            <w:r>
              <w:rPr>
                <w:rFonts w:ascii="宋体" w:hAnsi="宋体" w:cs="宋体" w:eastAsia="宋体" w:hint="default"/>
                <w:spacing w:val="-5"/>
                <w:w w:val="100"/>
                <w:sz w:val="21"/>
                <w:szCs w:val="21"/>
              </w:rPr>
              <w:t>出。（</w:t>
            </w:r>
            <w:r>
              <w:rPr>
                <w:rFonts w:ascii="Times New Roman" w:hAnsi="Times New Roman" w:cs="Times New Roman" w:eastAsia="Times New Roman" w:hint="default"/>
                <w:spacing w:val="-5"/>
                <w:w w:val="100"/>
                <w:sz w:val="21"/>
                <w:szCs w:val="21"/>
              </w:rPr>
              <w:t>2</w:t>
            </w:r>
            <w:r>
              <w:rPr>
                <w:rFonts w:ascii="宋体" w:hAnsi="宋体" w:cs="宋体" w:eastAsia="宋体" w:hint="default"/>
                <w:spacing w:val="-5"/>
                <w:w w:val="100"/>
                <w:sz w:val="21"/>
                <w:szCs w:val="21"/>
              </w:rPr>
              <w:t>）项目实施过程中公司较好地控制了成本费用；（</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）项目后期，部分完成开发工作的人员转入其他项目组工作，人工成本与预算时</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比较有一定减少造成。</w:t>
            </w:r>
          </w:p>
        </w:tc>
        <w:tc>
          <w:tcPr>
            <w:tcW w:w="571" w:type="dxa"/>
            <w:vMerge/>
            <w:tcBorders>
              <w:left w:val="single" w:sz="4" w:space="0" w:color="000000"/>
              <w:right w:val="nil" w:sz="6" w:space="0" w:color="auto"/>
            </w:tcBorders>
          </w:tcPr>
          <w:p>
            <w:pPr/>
          </w:p>
        </w:tc>
      </w:tr>
      <w:tr>
        <w:trPr>
          <w:trHeight w:val="555"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尚未使用的募集资</w:t>
            </w:r>
          </w:p>
          <w:p>
            <w:pPr>
              <w:pStyle w:val="TableParagraph"/>
              <w:spacing w:line="275" w:lineRule="exact"/>
              <w:ind w:right="0"/>
              <w:jc w:val="center"/>
              <w:rPr>
                <w:rFonts w:ascii="宋体" w:hAnsi="宋体" w:cs="宋体" w:eastAsia="宋体" w:hint="default"/>
                <w:sz w:val="21"/>
                <w:szCs w:val="21"/>
              </w:rPr>
            </w:pPr>
            <w:r>
              <w:rPr>
                <w:rFonts w:ascii="宋体" w:hAnsi="宋体" w:cs="宋体" w:eastAsia="宋体" w:hint="default"/>
                <w:sz w:val="21"/>
                <w:szCs w:val="21"/>
              </w:rPr>
              <w:t>金用途及去向</w:t>
            </w:r>
          </w:p>
        </w:tc>
        <w:tc>
          <w:tcPr>
            <w:tcW w:w="1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sz w:val="21"/>
                <w:szCs w:val="21"/>
              </w:rPr>
              <w:t>存储于公司募集资金专户中。</w:t>
            </w:r>
          </w:p>
        </w:tc>
        <w:tc>
          <w:tcPr>
            <w:tcW w:w="571" w:type="dxa"/>
            <w:vMerge/>
            <w:tcBorders>
              <w:left w:val="single" w:sz="4" w:space="0" w:color="000000"/>
              <w:right w:val="nil" w:sz="6" w:space="0" w:color="auto"/>
            </w:tcBorders>
          </w:tcPr>
          <w:p>
            <w:pPr/>
          </w:p>
        </w:tc>
      </w:tr>
      <w:tr>
        <w:trPr>
          <w:trHeight w:val="828"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8" w:right="0"/>
              <w:jc w:val="left"/>
              <w:rPr>
                <w:rFonts w:ascii="宋体" w:hAnsi="宋体" w:cs="宋体" w:eastAsia="宋体" w:hint="default"/>
                <w:sz w:val="21"/>
                <w:szCs w:val="21"/>
              </w:rPr>
            </w:pPr>
            <w:r>
              <w:rPr>
                <w:rFonts w:ascii="宋体" w:hAnsi="宋体" w:cs="宋体" w:eastAsia="宋体" w:hint="default"/>
                <w:sz w:val="21"/>
                <w:szCs w:val="21"/>
              </w:rPr>
              <w:t>募集资金使用及披</w:t>
            </w:r>
          </w:p>
          <w:p>
            <w:pPr>
              <w:pStyle w:val="TableParagraph"/>
              <w:spacing w:line="272" w:lineRule="exact" w:before="27"/>
              <w:ind w:left="508" w:right="84" w:hanging="420"/>
              <w:jc w:val="left"/>
              <w:rPr>
                <w:rFonts w:ascii="宋体" w:hAnsi="宋体" w:cs="宋体" w:eastAsia="宋体" w:hint="default"/>
                <w:sz w:val="21"/>
                <w:szCs w:val="21"/>
              </w:rPr>
            </w:pPr>
            <w:r>
              <w:rPr>
                <w:rFonts w:ascii="宋体" w:hAnsi="宋体" w:cs="宋体" w:eastAsia="宋体" w:hint="default"/>
                <w:sz w:val="21"/>
                <w:szCs w:val="21"/>
              </w:rPr>
              <w:t>露中存在的问题或</w:t>
            </w:r>
            <w:r>
              <w:rPr>
                <w:rFonts w:ascii="宋体" w:hAnsi="宋体" w:cs="宋体" w:eastAsia="宋体" w:hint="default"/>
                <w:w w:val="100"/>
                <w:sz w:val="21"/>
                <w:szCs w:val="21"/>
              </w:rPr>
              <w:t> </w:t>
            </w:r>
            <w:r>
              <w:rPr>
                <w:rFonts w:ascii="宋体" w:hAnsi="宋体" w:cs="宋体" w:eastAsia="宋体" w:hint="default"/>
                <w:sz w:val="21"/>
                <w:szCs w:val="21"/>
              </w:rPr>
              <w:t>其他情况</w:t>
            </w:r>
          </w:p>
        </w:tc>
        <w:tc>
          <w:tcPr>
            <w:tcW w:w="127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1"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年度，公司不存在募集资金使用及管理的违法违规情形，募集资金的使用已得到及时、准确、充分的披露。</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年度公司将进一步完</w:t>
            </w:r>
            <w:r>
              <w:rPr>
                <w:rFonts w:ascii="宋体" w:hAnsi="宋体" w:cs="宋体" w:eastAsia="宋体" w:hint="default"/>
                <w:w w:val="100"/>
                <w:sz w:val="21"/>
                <w:szCs w:val="21"/>
              </w:rPr>
              <w:t> </w:t>
            </w:r>
            <w:r>
              <w:rPr>
                <w:rFonts w:ascii="宋体" w:hAnsi="宋体" w:cs="宋体" w:eastAsia="宋体" w:hint="default"/>
                <w:sz w:val="21"/>
                <w:szCs w:val="21"/>
              </w:rPr>
              <w:t>善募集资金使用制度，加强募集资金管理以及披露。</w:t>
            </w:r>
          </w:p>
        </w:tc>
        <w:tc>
          <w:tcPr>
            <w:tcW w:w="571" w:type="dxa"/>
            <w:vMerge/>
            <w:tcBorders>
              <w:left w:val="single" w:sz="4" w:space="0" w:color="000000"/>
              <w:right w:val="nil" w:sz="6" w:space="0" w:color="auto"/>
            </w:tcBorders>
          </w:tcPr>
          <w:p>
            <w:pPr/>
          </w:p>
        </w:tc>
      </w:tr>
      <w:tr>
        <w:trPr>
          <w:trHeight w:val="281" w:hRule="exact"/>
        </w:trPr>
        <w:tc>
          <w:tcPr>
            <w:tcW w:w="14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35"/>
                <w:sz w:val="21"/>
                <w:szCs w:val="21"/>
              </w:rPr>
              <w:t> </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：“本年度投入募集资金总额”不包括募集资金到账后在本年度内发生的实际已置换先期投入的金额。</w:t>
            </w:r>
          </w:p>
        </w:tc>
        <w:tc>
          <w:tcPr>
            <w:tcW w:w="571" w:type="dxa"/>
            <w:vMerge/>
            <w:tcBorders>
              <w:left w:val="single" w:sz="4" w:space="0" w:color="000000"/>
              <w:right w:val="nil" w:sz="6" w:space="0" w:color="auto"/>
            </w:tcBorders>
          </w:tcPr>
          <w:p>
            <w:pPr/>
          </w:p>
        </w:tc>
      </w:tr>
      <w:tr>
        <w:trPr>
          <w:trHeight w:val="283" w:hRule="exact"/>
        </w:trPr>
        <w:tc>
          <w:tcPr>
            <w:tcW w:w="14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4"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8"/>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：截止年末，两项产品研发类募集资金项目的本年度实现的效益指对应的销售收入。</w:t>
            </w:r>
          </w:p>
        </w:tc>
        <w:tc>
          <w:tcPr>
            <w:tcW w:w="571" w:type="dxa"/>
            <w:vMerge/>
            <w:tcBorders>
              <w:left w:val="single" w:sz="4" w:space="0" w:color="000000"/>
              <w:bottom w:val="nil" w:sz="6" w:space="0" w:color="auto"/>
              <w:right w:val="nil" w:sz="6" w:space="0" w:color="auto"/>
            </w:tcBorders>
          </w:tcPr>
          <w:p>
            <w:pPr/>
          </w:p>
        </w:tc>
      </w:tr>
    </w:tbl>
    <w:p>
      <w:pPr>
        <w:spacing w:after="0"/>
        <w:sectPr>
          <w:pgSz w:w="16840" w:h="11910" w:orient="landscape"/>
          <w:pgMar w:header="884" w:footer="1008" w:top="1100" w:bottom="1200" w:left="700" w:right="7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Heading5"/>
        <w:spacing w:line="240" w:lineRule="auto" w:before="26"/>
        <w:ind w:right="100"/>
        <w:jc w:val="left"/>
        <w:rPr>
          <w:b w:val="0"/>
          <w:bCs w:val="0"/>
        </w:rPr>
      </w:pPr>
      <w:r>
        <w:rPr/>
        <w:t>（</w:t>
      </w:r>
      <w:r>
        <w:rPr>
          <w:rFonts w:ascii="Times New Roman" w:hAnsi="Times New Roman" w:cs="Times New Roman" w:eastAsia="Times New Roman" w:hint="default"/>
        </w:rPr>
        <w:t>2</w:t>
      </w:r>
      <w:r>
        <w:rPr/>
        <w:t>）会计师事务所对募集资金使用情况的专项审核意见</w:t>
      </w:r>
      <w:r>
        <w:rPr>
          <w:b w:val="0"/>
          <w:bCs w:val="0"/>
        </w:rPr>
      </w:r>
    </w:p>
    <w:p>
      <w:pPr>
        <w:spacing w:line="240" w:lineRule="auto" w:before="0"/>
        <w:rPr>
          <w:rFonts w:ascii="宋体" w:hAnsi="宋体" w:cs="宋体" w:eastAsia="宋体" w:hint="default"/>
          <w:b/>
          <w:bCs/>
          <w:sz w:val="34"/>
          <w:szCs w:val="34"/>
        </w:rPr>
      </w:pPr>
    </w:p>
    <w:p>
      <w:pPr>
        <w:pStyle w:val="BodyText"/>
        <w:spacing w:line="343" w:lineRule="auto"/>
        <w:ind w:right="165" w:firstLine="479"/>
        <w:jc w:val="both"/>
      </w:pPr>
      <w:r>
        <w:rPr/>
        <w:t>京都天华会计师事务所有限公司出具了京都天华专字（</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0449</w:t>
      </w:r>
      <w:r>
        <w:rPr/>
        <w:t>号《</w:t>
      </w:r>
      <w:r>
        <w:rPr>
          <w:rFonts w:ascii="Times New Roman" w:hAnsi="Times New Roman" w:cs="Times New Roman" w:eastAsia="Times New Roman" w:hint="default"/>
        </w:rPr>
        <w:t>2011 </w:t>
      </w:r>
      <w:r>
        <w:rPr>
          <w:spacing w:val="-5"/>
        </w:rPr>
        <w:t>年度募集资金存放与使用情况鉴证报告》，认为：超图软件公司董事会编制的《</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56"/>
        </w:rPr>
        <w:t> </w:t>
      </w:r>
      <w:r>
        <w:rPr/>
        <w:t>年度募集资金存放与使用情况的专项报告》符合《创业板股票上市规则》、《创业</w:t>
      </w:r>
      <w:r>
        <w:rPr>
          <w:spacing w:val="-74"/>
        </w:rPr>
        <w:t> </w:t>
      </w:r>
      <w:r>
        <w:rPr>
          <w:spacing w:val="-74"/>
        </w:rPr>
      </w:r>
      <w:r>
        <w:rPr/>
        <w:t>板信息披露业务备忘录第</w:t>
      </w:r>
      <w:r>
        <w:rPr>
          <w:rFonts w:ascii="Times New Roman" w:hAnsi="Times New Roman" w:cs="Times New Roman" w:eastAsia="Times New Roman" w:hint="default"/>
        </w:rPr>
        <w:t>1</w:t>
      </w:r>
      <w:r>
        <w:rPr/>
        <w:t>号——超募资金使用》有关规定及相关格式指引的规定， 与实际存放及使用情况相符。</w:t>
      </w:r>
    </w:p>
    <w:p>
      <w:pPr>
        <w:spacing w:line="240" w:lineRule="auto" w:before="3"/>
        <w:rPr>
          <w:rFonts w:ascii="宋体" w:hAnsi="宋体" w:cs="宋体" w:eastAsia="宋体" w:hint="default"/>
          <w:sz w:val="25"/>
          <w:szCs w:val="25"/>
        </w:rPr>
      </w:pPr>
    </w:p>
    <w:p>
      <w:pPr>
        <w:pStyle w:val="Heading5"/>
        <w:spacing w:line="240" w:lineRule="auto"/>
        <w:ind w:right="100"/>
        <w:jc w:val="left"/>
        <w:rPr>
          <w:b w:val="0"/>
          <w:bCs w:val="0"/>
        </w:rPr>
      </w:pPr>
      <w:r>
        <w:rPr>
          <w:rFonts w:ascii="Times New Roman" w:hAnsi="Times New Roman" w:cs="Times New Roman" w:eastAsia="Times New Roman" w:hint="default"/>
        </w:rPr>
        <w:t>3</w:t>
      </w:r>
      <w:r>
        <w:rPr/>
        <w:t>、超募资金使用情况</w:t>
      </w:r>
      <w:r>
        <w:rPr>
          <w:b w:val="0"/>
          <w:bCs w:val="0"/>
        </w:rPr>
      </w:r>
    </w:p>
    <w:p>
      <w:pPr>
        <w:spacing w:line="240" w:lineRule="auto" w:before="0"/>
        <w:rPr>
          <w:rFonts w:ascii="宋体" w:hAnsi="宋体" w:cs="宋体" w:eastAsia="宋体" w:hint="default"/>
          <w:b/>
          <w:bCs/>
          <w:sz w:val="34"/>
          <w:szCs w:val="34"/>
        </w:rPr>
      </w:pPr>
    </w:p>
    <w:p>
      <w:pPr>
        <w:pStyle w:val="BodyText"/>
        <w:spacing w:line="338" w:lineRule="auto"/>
        <w:ind w:right="389" w:firstLine="479"/>
        <w:jc w:val="left"/>
      </w:pPr>
      <w:r>
        <w:rPr/>
        <w:t>公司募集资金净额为人民币</w:t>
      </w:r>
      <w:r>
        <w:rPr>
          <w:rFonts w:ascii="Times New Roman" w:hAnsi="Times New Roman" w:cs="Times New Roman" w:eastAsia="Times New Roman" w:hint="default"/>
        </w:rPr>
        <w:t>342,573,700.00</w:t>
      </w:r>
      <w:r>
        <w:rPr/>
        <w:t>元，其中超募资金为</w:t>
      </w:r>
      <w:r>
        <w:rPr>
          <w:rFonts w:ascii="Times New Roman" w:hAnsi="Times New Roman" w:cs="Times New Roman" w:eastAsia="Times New Roman" w:hint="default"/>
        </w:rPr>
        <w:t>222,163,700.00 </w:t>
      </w:r>
      <w:r>
        <w:rPr/>
        <w:t>元。超募资金项目的资金事情情况如下：</w:t>
      </w:r>
    </w:p>
    <w:p>
      <w:pPr>
        <w:pStyle w:val="BodyText"/>
        <w:spacing w:line="240" w:lineRule="auto" w:before="173"/>
        <w:ind w:left="618" w:right="100"/>
        <w:jc w:val="left"/>
      </w:pPr>
      <w:r>
        <w:rPr>
          <w:rFonts w:ascii="Times New Roman" w:hAnsi="Times New Roman" w:cs="Times New Roman" w:eastAsia="Times New Roman" w:hint="default"/>
        </w:rPr>
        <w:t>1</w:t>
      </w:r>
      <w:r>
        <w:rPr/>
        <w:t>、日本超图株式会社的部分股权收购项目</w:t>
      </w:r>
    </w:p>
    <w:p>
      <w:pPr>
        <w:spacing w:line="240" w:lineRule="auto" w:before="7"/>
        <w:rPr>
          <w:rFonts w:ascii="宋体" w:hAnsi="宋体" w:cs="宋体" w:eastAsia="宋体" w:hint="default"/>
          <w:sz w:val="19"/>
          <w:szCs w:val="19"/>
        </w:rPr>
      </w:pPr>
    </w:p>
    <w:p>
      <w:pPr>
        <w:pStyle w:val="BodyText"/>
        <w:spacing w:line="338" w:lineRule="auto"/>
        <w:ind w:right="222" w:firstLine="479"/>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日，公司第一届董事会第十四次会议审议通过了《关于</w:t>
      </w:r>
      <w:r>
        <w:rPr>
          <w:rFonts w:ascii="Times New Roman" w:hAnsi="Times New Roman" w:cs="Times New Roman" w:eastAsia="Times New Roman" w:hint="default"/>
        </w:rPr>
        <w:t>&lt;</w:t>
      </w:r>
      <w:r>
        <w:rPr/>
        <w:t>超募资金 使用计划</w:t>
      </w:r>
      <w:r>
        <w:rPr>
          <w:rFonts w:ascii="Times New Roman" w:hAnsi="Times New Roman" w:cs="Times New Roman" w:eastAsia="Times New Roman" w:hint="default"/>
        </w:rPr>
        <w:t>&gt;</w:t>
      </w:r>
      <w:r>
        <w:rPr/>
        <w:t>的议案》，决定使用超募资金合计</w:t>
      </w:r>
      <w:r>
        <w:rPr>
          <w:rFonts w:ascii="Times New Roman" w:hAnsi="Times New Roman" w:cs="Times New Roman" w:eastAsia="Times New Roman" w:hint="default"/>
        </w:rPr>
        <w:t>21,340</w:t>
      </w:r>
      <w:r>
        <w:rPr/>
        <w:t>万日元（折合人民币</w:t>
      </w:r>
      <w:r>
        <w:rPr>
          <w:rFonts w:ascii="Times New Roman" w:hAnsi="Times New Roman" w:cs="Times New Roman" w:eastAsia="Times New Roman" w:hint="default"/>
        </w:rPr>
        <w:t>1,568.49</w:t>
      </w:r>
      <w:r>
        <w:rPr/>
        <w:t>万 </w:t>
      </w:r>
      <w:r>
        <w:rPr>
          <w:spacing w:val="-1"/>
        </w:rPr>
        <w:t>元人民币，汇率按</w:t>
      </w:r>
      <w:r>
        <w:rPr>
          <w:rFonts w:ascii="Times New Roman" w:hAnsi="Times New Roman" w:cs="Times New Roman" w:eastAsia="Times New Roman" w:hint="default"/>
          <w:spacing w:val="-1"/>
        </w:rPr>
        <w:t>100</w:t>
      </w:r>
      <w:r>
        <w:rPr>
          <w:spacing w:val="-1"/>
        </w:rPr>
        <w:t>日元兑换</w:t>
      </w:r>
      <w:r>
        <w:rPr>
          <w:rFonts w:ascii="Times New Roman" w:hAnsi="Times New Roman" w:cs="Times New Roman" w:eastAsia="Times New Roman" w:hint="default"/>
          <w:spacing w:val="-1"/>
        </w:rPr>
        <w:t>7.35</w:t>
      </w:r>
      <w:r>
        <w:rPr>
          <w:spacing w:val="-1"/>
        </w:rPr>
        <w:t>元人民币计算）以收购部分股东股份与认购增发</w:t>
      </w:r>
      <w:r>
        <w:rPr>
          <w:spacing w:val="-91"/>
        </w:rPr>
        <w:t> </w:t>
      </w:r>
      <w:r>
        <w:rPr>
          <w:spacing w:val="-91"/>
        </w:rPr>
      </w:r>
      <w:r>
        <w:rPr/>
        <w:t>股份相结合的方式取得日本超图株式会社</w:t>
      </w:r>
      <w:r>
        <w:rPr>
          <w:rFonts w:ascii="Times New Roman" w:hAnsi="Times New Roman" w:cs="Times New Roman" w:eastAsia="Times New Roman" w:hint="default"/>
        </w:rPr>
        <w:t>19,400</w:t>
      </w:r>
      <w:r>
        <w:rPr/>
        <w:t>股股份，占比</w:t>
      </w:r>
      <w:r>
        <w:rPr>
          <w:rFonts w:ascii="Times New Roman" w:hAnsi="Times New Roman" w:cs="Times New Roman" w:eastAsia="Times New Roman" w:hint="default"/>
        </w:rPr>
        <w:t>36.60%</w:t>
      </w:r>
      <w:r>
        <w:rPr/>
        <w:t>。至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 </w:t>
      </w:r>
      <w:r>
        <w:rPr>
          <w:spacing w:val="-2"/>
        </w:rPr>
        <w:t>月</w:t>
      </w:r>
      <w:r>
        <w:rPr>
          <w:rFonts w:ascii="Times New Roman" w:hAnsi="Times New Roman" w:cs="Times New Roman" w:eastAsia="Times New Roman" w:hint="default"/>
          <w:spacing w:val="-2"/>
        </w:rPr>
        <w:t>4</w:t>
      </w:r>
      <w:r>
        <w:rPr>
          <w:spacing w:val="-2"/>
        </w:rPr>
        <w:t>月，公司完成该投资所需要的所有手续，并支付完毕相关款项，根据国家外汇管</w:t>
      </w:r>
      <w:r>
        <w:rPr/>
        <w:t> 理相关规定以及款项汇出时汇率情况，公司最终支付总额为</w:t>
      </w:r>
      <w:r>
        <w:rPr>
          <w:rFonts w:ascii="Times New Roman" w:hAnsi="Times New Roman" w:cs="Times New Roman" w:eastAsia="Times New Roman" w:hint="default"/>
        </w:rPr>
        <w:t>17,102,115.70</w:t>
      </w:r>
      <w:r>
        <w:rPr/>
        <w:t>元（其中 用于收购的投资金额为</w:t>
      </w:r>
      <w:r>
        <w:rPr>
          <w:rFonts w:ascii="Times New Roman" w:hAnsi="Times New Roman" w:cs="Times New Roman" w:eastAsia="Times New Roman" w:hint="default"/>
        </w:rPr>
        <w:t>17,090,761.78</w:t>
      </w:r>
      <w:r>
        <w:rPr/>
        <w:t>元人民币，另含</w:t>
      </w:r>
      <w:r>
        <w:rPr>
          <w:rFonts w:ascii="Times New Roman" w:hAnsi="Times New Roman" w:cs="Times New Roman" w:eastAsia="Times New Roman" w:hint="default"/>
        </w:rPr>
        <w:t>11,353.92</w:t>
      </w:r>
      <w:r>
        <w:rPr/>
        <w:t>元人民币手续费）。</w:t>
      </w:r>
    </w:p>
    <w:p>
      <w:pPr>
        <w:pStyle w:val="BodyText"/>
        <w:spacing w:line="240" w:lineRule="auto" w:before="144"/>
        <w:ind w:left="618" w:right="100"/>
        <w:jc w:val="left"/>
      </w:pPr>
      <w:r>
        <w:rPr>
          <w:rFonts w:ascii="Times New Roman" w:hAnsi="Times New Roman" w:cs="Times New Roman" w:eastAsia="Times New Roman" w:hint="default"/>
        </w:rPr>
        <w:t>2</w:t>
      </w:r>
      <w:r>
        <w:rPr/>
        <w:t>、购置研发办公用房项目</w:t>
      </w:r>
    </w:p>
    <w:p>
      <w:pPr>
        <w:spacing w:line="240" w:lineRule="auto" w:before="8"/>
        <w:rPr>
          <w:rFonts w:ascii="宋体" w:hAnsi="宋体" w:cs="宋体" w:eastAsia="宋体" w:hint="default"/>
          <w:sz w:val="19"/>
          <w:szCs w:val="19"/>
        </w:rPr>
      </w:pPr>
    </w:p>
    <w:p>
      <w:pPr>
        <w:pStyle w:val="BodyText"/>
        <w:spacing w:line="338" w:lineRule="auto"/>
        <w:ind w:right="100" w:firstLine="465"/>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日，公司第一届董事会第十八次会议审议通过了《关于购置房产及 </w:t>
      </w:r>
      <w:r>
        <w:rPr>
          <w:spacing w:val="-4"/>
        </w:rPr>
        <w:t>超募资金使用计划的议案》，拟用</w:t>
      </w:r>
      <w:r>
        <w:rPr>
          <w:rFonts w:ascii="Times New Roman" w:hAnsi="Times New Roman" w:cs="Times New Roman" w:eastAsia="Times New Roman" w:hint="default"/>
          <w:spacing w:val="-4"/>
        </w:rPr>
        <w:t>8,000</w:t>
      </w:r>
      <w:r>
        <w:rPr>
          <w:spacing w:val="-4"/>
        </w:rPr>
        <w:t>万元超募集资金结合自有资金的方式，用于</w:t>
      </w:r>
      <w:r>
        <w:rPr>
          <w:spacing w:val="-84"/>
        </w:rPr>
        <w:t> </w:t>
      </w:r>
      <w:r>
        <w:rPr>
          <w:spacing w:val="-5"/>
        </w:rPr>
        <w:t>购置办公用房；同时，该项目于</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18</w:t>
      </w:r>
      <w:r>
        <w:rPr>
          <w:spacing w:val="-5"/>
        </w:rPr>
        <w:t>日提交公司</w:t>
      </w:r>
      <w:r>
        <w:rPr>
          <w:rFonts w:ascii="Times New Roman" w:hAnsi="Times New Roman" w:cs="Times New Roman" w:eastAsia="Times New Roman" w:hint="default"/>
          <w:spacing w:val="-5"/>
        </w:rPr>
        <w:t>2010</w:t>
      </w:r>
      <w:r>
        <w:rPr>
          <w:spacing w:val="-5"/>
        </w:rPr>
        <w:t>年度股东大会审议通过。</w:t>
      </w:r>
      <w:r>
        <w:rPr>
          <w:spacing w:val="-96"/>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日，本项目所涉及购房协议签署，截止报告期末，该项目未支付任何 超募资金。根据协议，公司于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日前支付首次房款</w:t>
      </w:r>
      <w:r>
        <w:rPr>
          <w:rFonts w:ascii="Times New Roman" w:hAnsi="Times New Roman" w:cs="Times New Roman" w:eastAsia="Times New Roman" w:hint="default"/>
        </w:rPr>
        <w:t>135,975,165.2</w:t>
      </w:r>
      <w:r>
        <w:rPr/>
        <w:t>元，其中 从超募资金帐户中支付</w:t>
      </w:r>
      <w:r>
        <w:rPr>
          <w:rFonts w:ascii="Times New Roman" w:hAnsi="Times New Roman" w:cs="Times New Roman" w:eastAsia="Times New Roman" w:hint="default"/>
        </w:rPr>
        <w:t>8,000</w:t>
      </w:r>
      <w:r>
        <w:rPr/>
        <w:t>万元。</w:t>
      </w:r>
    </w:p>
    <w:p>
      <w:pPr>
        <w:pStyle w:val="BodyText"/>
        <w:spacing w:line="240" w:lineRule="auto" w:before="24"/>
        <w:ind w:left="603" w:right="100"/>
        <w:jc w:val="left"/>
      </w:pPr>
      <w:r>
        <w:rPr>
          <w:rFonts w:ascii="Times New Roman" w:hAnsi="Times New Roman" w:cs="Times New Roman" w:eastAsia="Times New Roman" w:hint="default"/>
        </w:rPr>
        <w:t>3</w:t>
      </w:r>
      <w:r>
        <w:rPr/>
        <w:t>、承接西安市数字化“城市管理”信息系统建设项目</w:t>
      </w:r>
    </w:p>
    <w:p>
      <w:pPr>
        <w:pStyle w:val="BodyText"/>
        <w:spacing w:line="240" w:lineRule="auto" w:before="136"/>
        <w:ind w:left="603" w:right="10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日，公司第二届董事会第三次会议审议通过了《关于使用超募资金</w:t>
      </w:r>
    </w:p>
    <w:p>
      <w:pPr>
        <w:spacing w:after="0" w:line="240" w:lineRule="auto"/>
        <w:jc w:val="left"/>
        <w:sectPr>
          <w:headerReference w:type="default" r:id="rId25"/>
          <w:footerReference w:type="default" r:id="rId26"/>
          <w:pgSz w:w="11910" w:h="16840"/>
          <w:pgMar w:header="884" w:footer="1173" w:top="1140" w:bottom="1360" w:left="1660" w:right="1180"/>
          <w:pgNumType w:start="45"/>
        </w:sectPr>
      </w:pPr>
    </w:p>
    <w:p>
      <w:pPr>
        <w:spacing w:line="240" w:lineRule="auto" w:before="6"/>
        <w:rPr>
          <w:rFonts w:ascii="宋体" w:hAnsi="宋体" w:cs="宋体" w:eastAsia="宋体" w:hint="default"/>
          <w:sz w:val="16"/>
          <w:szCs w:val="16"/>
        </w:rPr>
      </w:pPr>
    </w:p>
    <w:p>
      <w:pPr>
        <w:pStyle w:val="BodyText"/>
        <w:spacing w:line="343" w:lineRule="auto" w:before="26"/>
        <w:ind w:right="102"/>
        <w:jc w:val="left"/>
      </w:pPr>
      <w:r>
        <w:rPr/>
        <w:t>承接西安市数字化“城市管理”信息系统建设项目的议案》拟使用</w:t>
      </w:r>
      <w:r>
        <w:rPr>
          <w:rFonts w:ascii="Times New Roman" w:hAnsi="Times New Roman" w:cs="Times New Roman" w:eastAsia="Times New Roman" w:hint="default"/>
        </w:rPr>
        <w:t>2,305.89</w:t>
      </w:r>
      <w:r>
        <w:rPr/>
        <w:t>万元超募 资金承接西安数字化“城市管理”信息系统建设项目。截至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日，西安 </w:t>
      </w:r>
      <w:r>
        <w:rPr>
          <w:spacing w:val="-2"/>
        </w:rPr>
        <w:t>数字化“城市管理”信息系统建设项目主体工程部分已经实施完毕，并已通过初验，</w:t>
      </w:r>
      <w:r>
        <w:rPr>
          <w:spacing w:val="-116"/>
        </w:rPr>
        <w:t> </w:t>
      </w:r>
      <w:r>
        <w:rPr>
          <w:spacing w:val="-116"/>
        </w:rPr>
      </w:r>
      <w:r>
        <w:rPr>
          <w:spacing w:val="-3"/>
        </w:rPr>
        <w:t>截至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日，公司已支付本项目共计</w:t>
      </w:r>
      <w:r>
        <w:rPr>
          <w:rFonts w:ascii="Times New Roman" w:hAnsi="Times New Roman" w:cs="Times New Roman" w:eastAsia="Times New Roman" w:hint="default"/>
          <w:spacing w:val="-3"/>
        </w:rPr>
        <w:t>194.76</w:t>
      </w:r>
      <w:r>
        <w:rPr>
          <w:spacing w:val="-3"/>
        </w:rPr>
        <w:t>万元，尚有部份应付款将在</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52"/>
        </w:rPr>
        <w:t> </w:t>
      </w:r>
      <w:r>
        <w:rPr/>
        <w:t>年度支付。</w:t>
      </w:r>
    </w:p>
    <w:p>
      <w:pPr>
        <w:pStyle w:val="BodyText"/>
        <w:spacing w:line="240" w:lineRule="auto" w:before="50"/>
        <w:ind w:left="603" w:right="100"/>
        <w:jc w:val="left"/>
      </w:pPr>
      <w:r>
        <w:rPr>
          <w:rFonts w:ascii="Times New Roman" w:hAnsi="Times New Roman" w:cs="Times New Roman" w:eastAsia="Times New Roman" w:hint="default"/>
        </w:rPr>
        <w:t>4</w:t>
      </w:r>
      <w:r>
        <w:rPr/>
        <w:t>、成都技术中心建设项目</w:t>
      </w:r>
    </w:p>
    <w:p>
      <w:pPr>
        <w:pStyle w:val="BodyText"/>
        <w:spacing w:line="340" w:lineRule="auto" w:before="133"/>
        <w:ind w:right="232" w:firstLine="465"/>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日，公司第二届董事会第三次会议审议通过了《关于使用超募资金</w:t>
      </w:r>
      <w:r>
        <w:rPr/>
        <w:t> 承接西安市数字化“城市管理”信息系统建设项目的议案》以及《关于使用超募资 </w:t>
      </w:r>
      <w:r>
        <w:rPr>
          <w:spacing w:val="-5"/>
        </w:rPr>
        <w:t>金建设成都技术中心的议案》，拟使用超募资金</w:t>
      </w:r>
      <w:r>
        <w:rPr>
          <w:rFonts w:ascii="Times New Roman" w:hAnsi="Times New Roman" w:cs="Times New Roman" w:eastAsia="Times New Roman" w:hint="default"/>
          <w:spacing w:val="-5"/>
        </w:rPr>
        <w:t>4,152.5</w:t>
      </w:r>
      <w:r>
        <w:rPr>
          <w:spacing w:val="-5"/>
        </w:rPr>
        <w:t>万元建设成都技术中心，截至</w:t>
      </w:r>
      <w:r>
        <w:rPr>
          <w:spacing w:val="-103"/>
        </w:rPr>
        <w:t> </w:t>
      </w:r>
      <w:r>
        <w:rPr>
          <w:spacing w:val="-103"/>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日，成都技术中心建设项目已经签署相关办公房购置协议，且公司已 支付与购房相关订金</w:t>
      </w:r>
      <w:r>
        <w:rPr>
          <w:rFonts w:ascii="Times New Roman" w:hAnsi="Times New Roman" w:cs="Times New Roman" w:eastAsia="Times New Roman" w:hint="default"/>
        </w:rPr>
        <w:t>70</w:t>
      </w:r>
      <w:r>
        <w:rPr/>
        <w:t>万元，另支付设备费</w:t>
      </w:r>
      <w:r>
        <w:rPr>
          <w:rFonts w:ascii="Times New Roman" w:hAnsi="Times New Roman" w:cs="Times New Roman" w:eastAsia="Times New Roman" w:hint="default"/>
        </w:rPr>
        <w:t>4.21</w:t>
      </w:r>
      <w:r>
        <w:rPr/>
        <w:t>万元，共计</w:t>
      </w:r>
      <w:r>
        <w:rPr>
          <w:rFonts w:ascii="Times New Roman" w:hAnsi="Times New Roman" w:cs="Times New Roman" w:eastAsia="Times New Roman" w:hint="default"/>
        </w:rPr>
        <w:t>74.21</w:t>
      </w:r>
      <w:r>
        <w:rPr/>
        <w:t>万元，公司总部人 </w:t>
      </w:r>
      <w:r>
        <w:rPr>
          <w:spacing w:val="-2"/>
        </w:rPr>
        <w:t>员派遣和本地化招聘均在进行中。根据购房协议，公司于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日支付了全部</w:t>
      </w:r>
      <w:r>
        <w:rPr>
          <w:spacing w:val="-108"/>
        </w:rPr>
        <w:t> </w:t>
      </w:r>
      <w:r>
        <w:rPr/>
        <w:t>购房款</w:t>
      </w:r>
      <w:r>
        <w:rPr>
          <w:rFonts w:ascii="Times New Roman" w:hAnsi="Times New Roman" w:cs="Times New Roman" w:eastAsia="Times New Roman" w:hint="default"/>
        </w:rPr>
        <w:t>14,952,665.6</w:t>
      </w:r>
      <w:r>
        <w:rPr/>
        <w:t>元（之前支付的购房订金充抵了购房款）。</w:t>
      </w:r>
    </w:p>
    <w:p>
      <w:pPr>
        <w:pStyle w:val="BodyText"/>
        <w:spacing w:line="336" w:lineRule="auto" w:before="24"/>
        <w:ind w:left="618" w:right="328" w:hanging="15"/>
        <w:jc w:val="left"/>
      </w:pPr>
      <w:r>
        <w:rPr>
          <w:rFonts w:ascii="Times New Roman" w:hAnsi="Times New Roman" w:cs="Times New Roman" w:eastAsia="Times New Roman" w:hint="default"/>
        </w:rPr>
        <w:t>5</w:t>
      </w:r>
      <w:r>
        <w:rPr/>
        <w:t>、其他超募资金安排 剩余</w:t>
      </w:r>
      <w:r>
        <w:rPr>
          <w:rFonts w:ascii="Times New Roman" w:hAnsi="Times New Roman" w:cs="Times New Roman" w:eastAsia="Times New Roman" w:hint="default"/>
        </w:rPr>
        <w:t>60,477,700.00</w:t>
      </w:r>
      <w:r>
        <w:rPr/>
        <w:t>元超募集资金，公司将根据公司的发展规划及实际生产经营</w:t>
      </w:r>
    </w:p>
    <w:p>
      <w:pPr>
        <w:pStyle w:val="BodyText"/>
        <w:spacing w:line="240" w:lineRule="auto" w:before="29"/>
        <w:ind w:right="100"/>
        <w:jc w:val="left"/>
      </w:pPr>
      <w:r>
        <w:rPr/>
        <w:t>需求，妥善安排超募资金的具体使用计划，提交董事会审议通过后及时披露。</w:t>
      </w:r>
    </w:p>
    <w:p>
      <w:pPr>
        <w:spacing w:line="240" w:lineRule="auto" w:before="3"/>
        <w:rPr>
          <w:rFonts w:ascii="宋体" w:hAnsi="宋体" w:cs="宋体" w:eastAsia="宋体" w:hint="default"/>
          <w:sz w:val="33"/>
          <w:szCs w:val="33"/>
        </w:rPr>
      </w:pPr>
    </w:p>
    <w:p>
      <w:pPr>
        <w:spacing w:line="559" w:lineRule="auto" w:before="0"/>
        <w:ind w:left="618" w:right="410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、报告期内募投项目变更情况</w:t>
      </w:r>
      <w:r>
        <w:rPr>
          <w:rFonts w:ascii="宋体" w:hAnsi="宋体" w:cs="宋体" w:eastAsia="宋体" w:hint="default"/>
          <w:b/>
          <w:bCs/>
          <w:spacing w:val="-119"/>
          <w:sz w:val="24"/>
          <w:szCs w:val="24"/>
        </w:rPr>
        <w:t> </w:t>
      </w:r>
      <w:r>
        <w:rPr>
          <w:rFonts w:ascii="宋体" w:hAnsi="宋体" w:cs="宋体" w:eastAsia="宋体" w:hint="default"/>
          <w:b/>
          <w:bCs/>
          <w:spacing w:val="-119"/>
          <w:sz w:val="24"/>
          <w:szCs w:val="24"/>
        </w:rPr>
      </w:r>
      <w:r>
        <w:rPr>
          <w:rFonts w:ascii="宋体" w:hAnsi="宋体" w:cs="宋体" w:eastAsia="宋体" w:hint="default"/>
          <w:sz w:val="24"/>
          <w:szCs w:val="24"/>
        </w:rPr>
        <w:t>报告期内，公司募投项目没有发生变更。</w:t>
      </w:r>
    </w:p>
    <w:p>
      <w:pPr>
        <w:pStyle w:val="Heading4"/>
        <w:spacing w:line="240" w:lineRule="auto" w:before="88"/>
        <w:ind w:right="100"/>
        <w:jc w:val="left"/>
        <w:rPr>
          <w:b w:val="0"/>
          <w:bCs w:val="0"/>
        </w:rPr>
      </w:pPr>
      <w:bookmarkStart w:name="_TOC_250070" w:id="18"/>
      <w:r>
        <w:rPr/>
        <w:t>（二）公司正在从事的其它非募投项目及进展情况</w:t>
      </w:r>
      <w:bookmarkEnd w:id="18"/>
      <w:r>
        <w:rPr>
          <w:b w:val="0"/>
          <w:bCs w:val="0"/>
        </w:rPr>
      </w:r>
    </w:p>
    <w:p>
      <w:pPr>
        <w:spacing w:line="240" w:lineRule="auto" w:before="7"/>
        <w:rPr>
          <w:rFonts w:ascii="宋体" w:hAnsi="宋体" w:cs="宋体" w:eastAsia="宋体" w:hint="default"/>
          <w:b/>
          <w:bCs/>
          <w:sz w:val="40"/>
          <w:szCs w:val="40"/>
        </w:rPr>
      </w:pPr>
    </w:p>
    <w:p>
      <w:pPr>
        <w:pStyle w:val="BodyText"/>
        <w:spacing w:line="355" w:lineRule="auto"/>
        <w:ind w:right="236" w:firstLine="479"/>
        <w:jc w:val="both"/>
      </w:pPr>
      <w:r>
        <w:rPr/>
        <w:t>公司一方面进一步加强对已有业务的技术支持，另一方面为开发新业务作好技 术准备。目前，公司正在进行的研发主要有以下几个方面：</w:t>
      </w:r>
    </w:p>
    <w:p>
      <w:pPr>
        <w:spacing w:line="240" w:lineRule="auto" w:before="5"/>
        <w:rPr>
          <w:rFonts w:ascii="宋体" w:hAnsi="宋体" w:cs="宋体" w:eastAsia="宋体" w:hint="default"/>
          <w:sz w:val="24"/>
          <w:szCs w:val="24"/>
        </w:rPr>
      </w:pPr>
    </w:p>
    <w:p>
      <w:pPr>
        <w:pStyle w:val="Heading5"/>
        <w:spacing w:line="240" w:lineRule="auto"/>
        <w:ind w:right="100"/>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云计算项目</w:t>
      </w:r>
      <w:r>
        <w:rPr>
          <w:b w:val="0"/>
          <w:bCs w:val="0"/>
        </w:rPr>
      </w:r>
    </w:p>
    <w:p>
      <w:pPr>
        <w:spacing w:line="240" w:lineRule="auto" w:before="11"/>
        <w:rPr>
          <w:rFonts w:ascii="宋体" w:hAnsi="宋体" w:cs="宋体" w:eastAsia="宋体" w:hint="default"/>
          <w:b/>
          <w:bCs/>
          <w:sz w:val="33"/>
          <w:szCs w:val="33"/>
        </w:rPr>
      </w:pPr>
    </w:p>
    <w:p>
      <w:pPr>
        <w:pStyle w:val="BodyText"/>
        <w:spacing w:line="350" w:lineRule="auto"/>
        <w:ind w:right="236" w:firstLine="479"/>
        <w:jc w:val="both"/>
      </w:pPr>
      <w:r>
        <w:rPr/>
        <w:t>报告期内，公司重点进行了队伍建设和基于云</w:t>
      </w:r>
      <w:r>
        <w:rPr>
          <w:spacing w:val="-49"/>
        </w:rPr>
        <w:t> </w:t>
      </w:r>
      <w:r>
        <w:rPr>
          <w:rFonts w:ascii="Times New Roman" w:hAnsi="Times New Roman" w:cs="Times New Roman" w:eastAsia="Times New Roman" w:hint="default"/>
        </w:rPr>
        <w:t>GIS</w:t>
      </w:r>
      <w:r>
        <w:rPr>
          <w:rFonts w:ascii="Times New Roman" w:hAnsi="Times New Roman" w:cs="Times New Roman" w:eastAsia="Times New Roman" w:hint="default"/>
          <w:spacing w:val="12"/>
        </w:rPr>
        <w:t> </w:t>
      </w:r>
      <w:r>
        <w:rPr/>
        <w:t>的应用研究，并发布超图云 平台。公司基于云平台，开始着手研究一些深入行业的空间信息服务，例如，开展</w:t>
      </w:r>
      <w:r>
        <w:rPr>
          <w:spacing w:val="-77"/>
        </w:rPr>
        <w:t> </w:t>
      </w:r>
      <w:r>
        <w:rPr>
          <w:spacing w:val="-77"/>
        </w:rPr>
      </w:r>
      <w:r>
        <w:rPr/>
        <w:t>了面向物流配送企业的智能订单管理系统。目前，该项目已经获得了业务订单，公</w:t>
      </w:r>
      <w:r>
        <w:rPr>
          <w:spacing w:val="-74"/>
        </w:rPr>
        <w:t> </w:t>
      </w:r>
      <w:r>
        <w:rPr>
          <w:spacing w:val="-74"/>
        </w:rPr>
      </w:r>
      <w:r>
        <w:rPr/>
        <w:t>司相关项目组正在与客户积极进行上线前的相关测试。</w:t>
      </w:r>
    </w:p>
    <w:p>
      <w:pPr>
        <w:spacing w:after="0" w:line="350" w:lineRule="auto"/>
        <w:jc w:val="both"/>
        <w:sectPr>
          <w:pgSz w:w="11910" w:h="16840"/>
          <w:pgMar w:header="884" w:footer="1173" w:top="1140" w:bottom="1360" w:left="1660" w:right="1180"/>
        </w:sectPr>
      </w:pPr>
    </w:p>
    <w:p>
      <w:pPr>
        <w:spacing w:line="240" w:lineRule="auto" w:before="6"/>
        <w:rPr>
          <w:rFonts w:ascii="宋体" w:hAnsi="宋体" w:cs="宋体" w:eastAsia="宋体" w:hint="default"/>
          <w:sz w:val="16"/>
          <w:szCs w:val="16"/>
        </w:rPr>
      </w:pPr>
    </w:p>
    <w:p>
      <w:pPr>
        <w:pStyle w:val="Heading5"/>
        <w:spacing w:line="240" w:lineRule="auto" w:before="26"/>
        <w:ind w:right="124"/>
        <w:jc w:val="left"/>
        <w:rPr>
          <w:b w:val="0"/>
          <w:bCs w:val="0"/>
        </w:rPr>
      </w:pPr>
      <w:r>
        <w:rPr>
          <w:rFonts w:ascii="Times New Roman" w:hAnsi="Times New Roman" w:cs="Times New Roman" w:eastAsia="Times New Roman" w:hint="default"/>
        </w:rPr>
        <w:t>2</w:t>
      </w:r>
      <w:r>
        <w:rPr/>
        <w:t>、移动</w:t>
      </w:r>
      <w:r>
        <w:rPr>
          <w:spacing w:val="-60"/>
        </w:rPr>
        <w:t> </w:t>
      </w:r>
      <w:r>
        <w:rPr>
          <w:rFonts w:ascii="Times New Roman" w:hAnsi="Times New Roman" w:cs="Times New Roman" w:eastAsia="Times New Roman" w:hint="default"/>
        </w:rPr>
        <w:t>GIS </w:t>
      </w:r>
      <w:r>
        <w:rPr/>
        <w:t>项目</w:t>
      </w:r>
      <w:r>
        <w:rPr>
          <w:b w:val="0"/>
          <w:bCs w:val="0"/>
        </w:rPr>
      </w:r>
    </w:p>
    <w:p>
      <w:pPr>
        <w:spacing w:line="240" w:lineRule="auto" w:before="0"/>
        <w:rPr>
          <w:rFonts w:ascii="宋体" w:hAnsi="宋体" w:cs="宋体" w:eastAsia="宋体" w:hint="default"/>
          <w:b/>
          <w:bCs/>
          <w:sz w:val="34"/>
          <w:szCs w:val="34"/>
        </w:rPr>
      </w:pPr>
    </w:p>
    <w:p>
      <w:pPr>
        <w:pStyle w:val="BodyText"/>
        <w:spacing w:line="348" w:lineRule="auto"/>
        <w:ind w:right="131" w:firstLine="479"/>
        <w:jc w:val="both"/>
      </w:pPr>
      <w:r>
        <w:rPr/>
        <w:t>报告期内，公司开展了基于移动的位置信息推送、信息互享服务等相关预研工 作，为移动</w:t>
      </w:r>
      <w:r>
        <w:rPr>
          <w:spacing w:val="-50"/>
        </w:rPr>
        <w:t> </w:t>
      </w:r>
      <w:r>
        <w:rPr>
          <w:rFonts w:ascii="Times New Roman" w:hAnsi="Times New Roman" w:cs="Times New Roman" w:eastAsia="Times New Roman" w:hint="default"/>
        </w:rPr>
        <w:t>GIS</w:t>
      </w:r>
      <w:r>
        <w:rPr>
          <w:rFonts w:ascii="Times New Roman" w:hAnsi="Times New Roman" w:cs="Times New Roman" w:eastAsia="Times New Roman" w:hint="default"/>
          <w:spacing w:val="12"/>
        </w:rPr>
        <w:t> </w:t>
      </w:r>
      <w:r>
        <w:rPr/>
        <w:t>的应用探索了一些有效的模式。目前，公司正在结合上述研究成功 进行相关的产品立项。</w:t>
      </w:r>
    </w:p>
    <w:p>
      <w:pPr>
        <w:pStyle w:val="BodyText"/>
        <w:spacing w:line="338" w:lineRule="auto" w:before="46"/>
        <w:ind w:right="135" w:firstLine="479"/>
        <w:jc w:val="both"/>
      </w:pPr>
      <w:r>
        <w:rPr/>
        <w:t>关于云的应用和移动</w:t>
      </w:r>
      <w:r>
        <w:rPr>
          <w:spacing w:val="-49"/>
        </w:rPr>
        <w:t> </w:t>
      </w:r>
      <w:r>
        <w:rPr>
          <w:rFonts w:ascii="Times New Roman" w:hAnsi="Times New Roman" w:cs="Times New Roman" w:eastAsia="Times New Roman" w:hint="default"/>
        </w:rPr>
        <w:t>GIS</w:t>
      </w:r>
      <w:r>
        <w:rPr>
          <w:rFonts w:ascii="Times New Roman" w:hAnsi="Times New Roman" w:cs="Times New Roman" w:eastAsia="Times New Roman" w:hint="default"/>
          <w:spacing w:val="11"/>
        </w:rPr>
        <w:t> </w:t>
      </w:r>
      <w:r>
        <w:rPr/>
        <w:t>应用，公司还需要加大产品研发力度、商业模式探索 力度，构建适合新业务的营销服务体系。目前，上述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个项目处于投入期，暂未有 效益实现。</w:t>
      </w:r>
    </w:p>
    <w:p>
      <w:pPr>
        <w:spacing w:line="240" w:lineRule="auto" w:before="6"/>
        <w:rPr>
          <w:rFonts w:ascii="宋体" w:hAnsi="宋体" w:cs="宋体" w:eastAsia="宋体" w:hint="default"/>
          <w:sz w:val="23"/>
          <w:szCs w:val="23"/>
        </w:rPr>
      </w:pPr>
    </w:p>
    <w:p>
      <w:pPr>
        <w:pStyle w:val="Heading4"/>
        <w:spacing w:line="240" w:lineRule="auto"/>
        <w:ind w:right="124"/>
        <w:jc w:val="left"/>
        <w:rPr>
          <w:b w:val="0"/>
          <w:bCs w:val="0"/>
        </w:rPr>
      </w:pPr>
      <w:bookmarkStart w:name="_TOC_250069" w:id="19"/>
      <w:r>
        <w:rPr/>
        <w:t>（三）其它投资情况</w:t>
      </w:r>
      <w:bookmarkEnd w:id="19"/>
      <w:r>
        <w:rPr>
          <w:b w:val="0"/>
          <w:bCs w:val="0"/>
        </w:rPr>
      </w:r>
    </w:p>
    <w:p>
      <w:pPr>
        <w:spacing w:line="240" w:lineRule="auto" w:before="6"/>
        <w:rPr>
          <w:rFonts w:ascii="宋体" w:hAnsi="宋体" w:cs="宋体" w:eastAsia="宋体" w:hint="default"/>
          <w:b/>
          <w:bCs/>
          <w:sz w:val="40"/>
          <w:szCs w:val="40"/>
        </w:rPr>
      </w:pPr>
    </w:p>
    <w:p>
      <w:pPr>
        <w:pStyle w:val="BodyText"/>
        <w:spacing w:line="357" w:lineRule="auto"/>
        <w:ind w:right="136" w:firstLine="479"/>
        <w:jc w:val="both"/>
      </w:pPr>
      <w:r>
        <w:rPr/>
        <w:t>报告期内，公司没有持有其他上市公司股权、参股商业银行、证券公司、保险 公司、信托公司和期货公司等金融企业股权。</w:t>
      </w:r>
    </w:p>
    <w:p>
      <w:pPr>
        <w:pStyle w:val="BodyText"/>
        <w:spacing w:line="357" w:lineRule="auto" w:before="34"/>
        <w:ind w:right="136" w:firstLine="479"/>
        <w:jc w:val="both"/>
      </w:pPr>
      <w:r>
        <w:rPr/>
        <w:t>报告期内，公司没有持有的以公允价值计量的境内外基金、债券、信托产品、 期货、金融衍生工具等金融资产。</w:t>
      </w:r>
    </w:p>
    <w:p>
      <w:pPr>
        <w:pStyle w:val="BodyText"/>
        <w:spacing w:line="357" w:lineRule="auto" w:before="34"/>
        <w:ind w:right="136" w:firstLine="479"/>
        <w:jc w:val="both"/>
      </w:pPr>
      <w:r>
        <w:rPr/>
        <w:t>报告期内，公司没有发行在外的可转换为股份的各种金融工具、以公允价值计 量的负债。</w:t>
      </w:r>
    </w:p>
    <w:p>
      <w:pPr>
        <w:spacing w:line="240" w:lineRule="auto" w:before="8"/>
        <w:rPr>
          <w:rFonts w:ascii="宋体" w:hAnsi="宋体" w:cs="宋体" w:eastAsia="宋体" w:hint="default"/>
          <w:sz w:val="21"/>
          <w:szCs w:val="21"/>
        </w:rPr>
      </w:pPr>
    </w:p>
    <w:p>
      <w:pPr>
        <w:pStyle w:val="Heading3"/>
        <w:spacing w:line="240" w:lineRule="auto"/>
        <w:ind w:right="124"/>
        <w:jc w:val="left"/>
        <w:rPr>
          <w:b w:val="0"/>
          <w:bCs w:val="0"/>
        </w:rPr>
      </w:pPr>
      <w:bookmarkStart w:name="_TOC_250068" w:id="20"/>
      <w:r>
        <w:rPr/>
        <w:t>四、公司董事会日常工作情况</w:t>
      </w:r>
      <w:bookmarkEnd w:id="20"/>
      <w:r>
        <w:rPr>
          <w:b w:val="0"/>
          <w:bCs w:val="0"/>
        </w:rPr>
      </w:r>
    </w:p>
    <w:p>
      <w:pPr>
        <w:spacing w:line="240" w:lineRule="auto" w:before="11"/>
        <w:rPr>
          <w:rFonts w:ascii="宋体" w:hAnsi="宋体" w:cs="宋体" w:eastAsia="宋体" w:hint="default"/>
          <w:b/>
          <w:bCs/>
          <w:sz w:val="41"/>
          <w:szCs w:val="41"/>
        </w:rPr>
      </w:pPr>
    </w:p>
    <w:p>
      <w:pPr>
        <w:pStyle w:val="Heading4"/>
        <w:spacing w:line="240" w:lineRule="auto"/>
        <w:ind w:right="124"/>
        <w:jc w:val="left"/>
        <w:rPr>
          <w:b w:val="0"/>
          <w:bCs w:val="0"/>
        </w:rPr>
      </w:pPr>
      <w:bookmarkStart w:name="_TOC_250067" w:id="21"/>
      <w:r>
        <w:rPr/>
        <w:t>（一）董事会的会议情况及决议内容</w:t>
      </w:r>
      <w:bookmarkEnd w:id="21"/>
      <w:r>
        <w:rPr>
          <w:b w:val="0"/>
          <w:bCs w:val="0"/>
        </w:rPr>
      </w:r>
    </w:p>
    <w:p>
      <w:pPr>
        <w:spacing w:line="240" w:lineRule="auto" w:before="6"/>
        <w:rPr>
          <w:rFonts w:ascii="宋体" w:hAnsi="宋体" w:cs="宋体" w:eastAsia="宋体" w:hint="default"/>
          <w:b/>
          <w:bCs/>
          <w:sz w:val="40"/>
          <w:szCs w:val="40"/>
        </w:rPr>
      </w:pPr>
    </w:p>
    <w:p>
      <w:pPr>
        <w:pStyle w:val="BodyText"/>
        <w:spacing w:line="240" w:lineRule="auto"/>
        <w:ind w:left="618" w:right="124"/>
        <w:jc w:val="left"/>
      </w:pPr>
      <w:r>
        <w:rPr/>
        <w:t>报告期内公司共召开</w:t>
      </w:r>
      <w:r>
        <w:rPr>
          <w:rFonts w:ascii="Times New Roman" w:hAnsi="Times New Roman" w:cs="Times New Roman" w:eastAsia="Times New Roman" w:hint="default"/>
        </w:rPr>
        <w:t>9</w:t>
      </w:r>
      <w:r>
        <w:rPr/>
        <w:t>次董事会会议，具体情况如下：</w:t>
      </w:r>
    </w:p>
    <w:p>
      <w:pPr>
        <w:spacing w:line="778" w:lineRule="exact" w:before="72"/>
        <w:ind w:left="618" w:right="12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、第一届董事会第十七次会议</w:t>
      </w:r>
      <w:r>
        <w:rPr>
          <w:rFonts w:ascii="宋体" w:hAnsi="宋体" w:cs="宋体" w:eastAsia="宋体" w:hint="default"/>
          <w:b/>
          <w:bCs/>
          <w:w w:val="99"/>
          <w:sz w:val="24"/>
          <w:szCs w:val="24"/>
        </w:rPr>
        <w:t> </w:t>
      </w:r>
      <w:r>
        <w:rPr>
          <w:rFonts w:ascii="宋体" w:hAnsi="宋体" w:cs="宋体" w:eastAsia="宋体" w:hint="default"/>
          <w:spacing w:val="-2"/>
          <w:sz w:val="24"/>
          <w:szCs w:val="24"/>
        </w:rPr>
        <w:t>公司于</w:t>
      </w:r>
      <w:r>
        <w:rPr>
          <w:rFonts w:ascii="Times New Roman" w:hAnsi="Times New Roman" w:cs="Times New Roman" w:eastAsia="Times New Roman" w:hint="default"/>
          <w:spacing w:val="-2"/>
          <w:sz w:val="24"/>
          <w:szCs w:val="24"/>
        </w:rPr>
        <w:t>2011</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2</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24</w:t>
      </w:r>
      <w:r>
        <w:rPr>
          <w:rFonts w:ascii="宋体" w:hAnsi="宋体" w:cs="宋体" w:eastAsia="宋体" w:hint="default"/>
          <w:spacing w:val="-2"/>
          <w:sz w:val="24"/>
          <w:szCs w:val="24"/>
        </w:rPr>
        <w:t>日在公司会议室召开了第一届董事会第十七次会议，会议应</w:t>
      </w:r>
    </w:p>
    <w:p>
      <w:pPr>
        <w:pStyle w:val="BodyText"/>
        <w:spacing w:line="240" w:lineRule="auto" w:before="29"/>
        <w:ind w:right="124"/>
        <w:jc w:val="left"/>
      </w:pPr>
      <w:r>
        <w:rPr/>
        <w:t>到董事</w:t>
      </w:r>
      <w:r>
        <w:rPr>
          <w:rFonts w:ascii="Times New Roman" w:hAnsi="Times New Roman" w:cs="Times New Roman" w:eastAsia="Times New Roman" w:hint="default"/>
        </w:rPr>
        <w:t>9</w:t>
      </w:r>
      <w:r>
        <w:rPr/>
        <w:t>名，亲自出席现场会议董事</w:t>
      </w:r>
      <w:r>
        <w:rPr>
          <w:rFonts w:ascii="Times New Roman" w:hAnsi="Times New Roman" w:cs="Times New Roman" w:eastAsia="Times New Roman" w:hint="default"/>
        </w:rPr>
        <w:t>9</w:t>
      </w:r>
      <w:r>
        <w:rPr/>
        <w:t>名。</w:t>
      </w:r>
    </w:p>
    <w:p>
      <w:pPr>
        <w:pStyle w:val="BodyText"/>
        <w:spacing w:line="350" w:lineRule="auto" w:before="135"/>
        <w:ind w:right="130" w:firstLine="479"/>
        <w:jc w:val="both"/>
        <w:rPr>
          <w:rFonts w:ascii="Times New Roman" w:hAnsi="Times New Roman" w:cs="Times New Roman" w:eastAsia="Times New Roman" w:hint="default"/>
        </w:rPr>
      </w:pPr>
      <w:r>
        <w:rPr/>
        <w:t>本次会议审议通过了《关于公司股票期权激励计划（草案）的议案》（提请股 东大会审议）、《关于提请股东大会授权董事会办理公司股票期权激励计划相关事</w:t>
      </w:r>
      <w:r>
        <w:rPr>
          <w:spacing w:val="-77"/>
        </w:rPr>
        <w:t> </w:t>
      </w:r>
      <w:r>
        <w:rPr>
          <w:spacing w:val="-77"/>
        </w:rPr>
      </w:r>
      <w:r>
        <w:rPr/>
        <w:t>宜的议案》（提请股东大会审议）、《关于公司</w:t>
      </w:r>
      <w:r>
        <w:rPr>
          <w:rFonts w:ascii="Times New Roman" w:hAnsi="Times New Roman" w:cs="Times New Roman" w:eastAsia="Times New Roman" w:hint="default"/>
        </w:rPr>
        <w:t>&lt;</w:t>
      </w:r>
      <w:r>
        <w:rPr/>
        <w:t>股票期权激励计划实施考核办法</w:t>
      </w:r>
      <w:r>
        <w:rPr>
          <w:rFonts w:ascii="Times New Roman" w:hAnsi="Times New Roman" w:cs="Times New Roman" w:eastAsia="Times New Roman" w:hint="default"/>
        </w:rPr>
        <w:t>&gt;</w:t>
      </w:r>
      <w:r>
        <w:rPr>
          <w:rFonts w:ascii="Times New Roman" w:hAnsi="Times New Roman" w:cs="Times New Roman" w:eastAsia="Times New Roman" w:hint="default"/>
          <w:spacing w:val="-45"/>
        </w:rPr>
        <w:t> </w:t>
      </w:r>
      <w:r>
        <w:rPr/>
        <w:t>的议案》（提请股东大会审议）、《</w:t>
      </w:r>
      <w:r>
        <w:rPr>
          <w:rFonts w:ascii="Times New Roman" w:hAnsi="Times New Roman" w:cs="Times New Roman" w:eastAsia="Times New Roman" w:hint="default"/>
        </w:rPr>
        <w:t>&lt;</w:t>
      </w:r>
      <w:r>
        <w:rPr/>
        <w:t>关于加强上市公司治理专项活动的自查报告</w:t>
      </w:r>
      <w:r>
        <w:rPr>
          <w:rFonts w:ascii="Times New Roman" w:hAnsi="Times New Roman" w:cs="Times New Roman" w:eastAsia="Times New Roman" w:hint="default"/>
        </w:rPr>
        <w:t>&gt;</w:t>
      </w:r>
    </w:p>
    <w:p>
      <w:pPr>
        <w:spacing w:after="0" w:line="350" w:lineRule="auto"/>
        <w:jc w:val="both"/>
        <w:rPr>
          <w:rFonts w:ascii="Times New Roman" w:hAnsi="Times New Roman" w:cs="Times New Roman" w:eastAsia="Times New Roman" w:hint="default"/>
        </w:rPr>
        <w:sectPr>
          <w:footerReference w:type="default" r:id="rId27"/>
          <w:pgSz w:w="11910" w:h="16840"/>
          <w:pgMar w:footer="1173" w:header="884" w:top="1140" w:bottom="1360" w:left="1660" w:right="1280"/>
          <w:pgNumType w:start="47"/>
        </w:sectPr>
      </w:pPr>
    </w:p>
    <w:p>
      <w:pPr>
        <w:spacing w:line="240" w:lineRule="auto" w:before="8"/>
        <w:rPr>
          <w:rFonts w:ascii="Times New Roman" w:hAnsi="Times New Roman" w:cs="Times New Roman" w:eastAsia="Times New Roman" w:hint="default"/>
          <w:sz w:val="18"/>
          <w:szCs w:val="18"/>
        </w:rPr>
      </w:pPr>
    </w:p>
    <w:p>
      <w:pPr>
        <w:pStyle w:val="BodyText"/>
        <w:spacing w:line="348" w:lineRule="auto" w:before="26"/>
        <w:ind w:right="236"/>
        <w:jc w:val="both"/>
      </w:pPr>
      <w:r>
        <w:rPr/>
        <w:t>和</w:t>
      </w:r>
      <w:r>
        <w:rPr>
          <w:rFonts w:ascii="Times New Roman" w:hAnsi="Times New Roman" w:cs="Times New Roman" w:eastAsia="Times New Roman" w:hint="default"/>
        </w:rPr>
        <w:t>&lt;</w:t>
      </w:r>
      <w:r>
        <w:rPr/>
        <w:t>关于加强上市公司治理专项活动的自查报告及整改计划</w:t>
      </w:r>
      <w:r>
        <w:rPr>
          <w:rFonts w:ascii="Times New Roman" w:hAnsi="Times New Roman" w:cs="Times New Roman" w:eastAsia="Times New Roman" w:hint="default"/>
        </w:rPr>
        <w:t>&gt;</w:t>
      </w:r>
      <w:r>
        <w:rPr/>
        <w:t>的议案》、《重大信息</w:t>
      </w:r>
      <w:r>
        <w:rPr>
          <w:spacing w:val="-106"/>
        </w:rPr>
        <w:t> </w:t>
      </w:r>
      <w:r>
        <w:rPr>
          <w:spacing w:val="-106"/>
        </w:rPr>
      </w:r>
      <w:r>
        <w:rPr/>
        <w:t>内部报告制度》、《关于规范与关联方资金往来的管理制度》、《独立董事年报工</w:t>
      </w:r>
      <w:r>
        <w:rPr>
          <w:spacing w:val="-77"/>
        </w:rPr>
        <w:t> </w:t>
      </w:r>
      <w:r>
        <w:rPr>
          <w:spacing w:val="-77"/>
        </w:rPr>
      </w:r>
      <w:r>
        <w:rPr/>
        <w:t>作制度》、《董事会审计委员会年报工作规程》。</w:t>
      </w:r>
    </w:p>
    <w:p>
      <w:pPr>
        <w:spacing w:line="240" w:lineRule="auto" w:before="13"/>
        <w:rPr>
          <w:rFonts w:ascii="宋体" w:hAnsi="宋体" w:cs="宋体" w:eastAsia="宋体" w:hint="default"/>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2</w:t>
      </w:r>
      <w:r>
        <w:rPr/>
        <w:t>、第一届董事会第十八次会议</w:t>
      </w:r>
      <w:r>
        <w:rPr>
          <w:b w:val="0"/>
          <w:bCs w:val="0"/>
        </w:rPr>
      </w:r>
    </w:p>
    <w:p>
      <w:pPr>
        <w:spacing w:line="240" w:lineRule="auto" w:before="11"/>
        <w:rPr>
          <w:rFonts w:ascii="宋体" w:hAnsi="宋体" w:cs="宋体" w:eastAsia="宋体" w:hint="default"/>
          <w:b/>
          <w:bCs/>
          <w:sz w:val="33"/>
          <w:szCs w:val="33"/>
        </w:rPr>
      </w:pPr>
    </w:p>
    <w:p>
      <w:pPr>
        <w:pStyle w:val="BodyText"/>
        <w:spacing w:line="338" w:lineRule="auto"/>
        <w:ind w:right="225" w:firstLine="479"/>
        <w:jc w:val="left"/>
      </w:pP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日在公司会议室召开了第一届董事会第十八次会议，会议应</w:t>
      </w:r>
      <w:r>
        <w:rPr/>
        <w:t> 参会董事</w:t>
      </w:r>
      <w:r>
        <w:rPr>
          <w:rFonts w:ascii="Times New Roman" w:hAnsi="Times New Roman" w:cs="Times New Roman" w:eastAsia="Times New Roman" w:hint="default"/>
        </w:rPr>
        <w:t>9</w:t>
      </w:r>
      <w:r>
        <w:rPr/>
        <w:t>名，实际参会董事</w:t>
      </w:r>
      <w:r>
        <w:rPr>
          <w:rFonts w:ascii="Times New Roman" w:hAnsi="Times New Roman" w:cs="Times New Roman" w:eastAsia="Times New Roman" w:hint="default"/>
        </w:rPr>
        <w:t>9</w:t>
      </w:r>
      <w:r>
        <w:rPr/>
        <w:t>名。</w:t>
      </w:r>
    </w:p>
    <w:p>
      <w:pPr>
        <w:pStyle w:val="BodyText"/>
        <w:spacing w:line="240" w:lineRule="auto" w:before="25"/>
        <w:ind w:left="618" w:right="0"/>
        <w:jc w:val="left"/>
      </w:pPr>
      <w:r>
        <w:rPr/>
        <w:t>本次会议审议通过了《</w:t>
      </w:r>
      <w:r>
        <w:rPr>
          <w:rFonts w:ascii="Times New Roman" w:hAnsi="Times New Roman" w:cs="Times New Roman" w:eastAsia="Times New Roman" w:hint="default"/>
        </w:rPr>
        <w:t>2010</w:t>
      </w:r>
      <w:r>
        <w:rPr/>
        <w:t>年度总经理工作报告》、《</w:t>
      </w:r>
      <w:r>
        <w:rPr>
          <w:rFonts w:ascii="Times New Roman" w:hAnsi="Times New Roman" w:cs="Times New Roman" w:eastAsia="Times New Roman" w:hint="default"/>
        </w:rPr>
        <w:t>2010</w:t>
      </w:r>
      <w:r>
        <w:rPr/>
        <w:t>年董事会工作报告》</w:t>
      </w:r>
    </w:p>
    <w:p>
      <w:pPr>
        <w:pStyle w:val="BodyText"/>
        <w:spacing w:line="343" w:lineRule="auto" w:before="135"/>
        <w:ind w:right="116"/>
        <w:jc w:val="both"/>
      </w:pPr>
      <w:r>
        <w:rPr>
          <w:spacing w:val="-5"/>
        </w:rPr>
        <w:t>（提请股东大会审议）、《</w:t>
      </w:r>
      <w:r>
        <w:rPr>
          <w:rFonts w:ascii="Times New Roman" w:hAnsi="Times New Roman" w:cs="Times New Roman" w:eastAsia="Times New Roman" w:hint="default"/>
          <w:spacing w:val="-5"/>
        </w:rPr>
        <w:t>2010</w:t>
      </w:r>
      <w:r>
        <w:rPr>
          <w:spacing w:val="-5"/>
        </w:rPr>
        <w:t>年度财务决算报告》（提请股东大会审议）、《</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46"/>
        </w:rPr>
        <w:t> </w:t>
      </w:r>
      <w:r>
        <w:rPr/>
        <w:t>年利润分配方案及资本公积金转增股本预案》（提请股东大会审议）、《</w:t>
      </w:r>
      <w:r>
        <w:rPr>
          <w:rFonts w:ascii="Times New Roman" w:hAnsi="Times New Roman" w:cs="Times New Roman" w:eastAsia="Times New Roman" w:hint="default"/>
        </w:rPr>
        <w:t>2010</w:t>
      </w:r>
      <w:r>
        <w:rPr/>
        <w:t>年年</w:t>
      </w:r>
      <w:r>
        <w:rPr>
          <w:spacing w:val="-69"/>
        </w:rPr>
        <w:t> </w:t>
      </w:r>
      <w:r>
        <w:rPr>
          <w:spacing w:val="-6"/>
        </w:rPr>
        <w:t>度报告全文及摘要》（提请股东大会审议）、《公司内部控制自我评价报告》、《公</w:t>
      </w:r>
      <w:r>
        <w:rPr>
          <w:spacing w:val="-90"/>
        </w:rPr>
        <w:t> </w:t>
      </w:r>
      <w:r>
        <w:rPr>
          <w:spacing w:val="-90"/>
        </w:rPr>
      </w:r>
      <w:r>
        <w:rPr/>
        <w:t>司控股股东及其他关联方占用资金情况的专项说明》、《</w:t>
      </w:r>
      <w:r>
        <w:rPr>
          <w:rFonts w:ascii="Times New Roman" w:hAnsi="Times New Roman" w:cs="Times New Roman" w:eastAsia="Times New Roman" w:hint="default"/>
        </w:rPr>
        <w:t>2010</w:t>
      </w:r>
      <w:r>
        <w:rPr/>
        <w:t>年度募集资金存放与</w:t>
      </w:r>
      <w:r>
        <w:rPr>
          <w:spacing w:val="-73"/>
        </w:rPr>
        <w:t> </w:t>
      </w:r>
      <w:r>
        <w:rPr>
          <w:spacing w:val="-73"/>
        </w:rPr>
      </w:r>
      <w:r>
        <w:rPr>
          <w:spacing w:val="-2"/>
        </w:rPr>
        <w:t>使用情况的专项报告》、《关于续聘会计师事务所的议案》（提请股东大会审议）、</w:t>
      </w:r>
    </w:p>
    <w:p>
      <w:pPr>
        <w:pStyle w:val="BodyText"/>
        <w:spacing w:line="240" w:lineRule="auto" w:before="50"/>
        <w:ind w:right="0"/>
        <w:jc w:val="both"/>
      </w:pPr>
      <w:r>
        <w:rPr>
          <w:spacing w:val="-1"/>
        </w:rPr>
        <w:t>《</w:t>
      </w:r>
      <w:r>
        <w:rPr/>
        <w:t>累积投票制实施细则</w:t>
      </w:r>
      <w:r>
        <w:rPr>
          <w:spacing w:val="-101"/>
        </w:rPr>
        <w:t>》</w:t>
      </w:r>
      <w:r>
        <w:rPr/>
        <w:t>（提请股东大会审</w:t>
      </w:r>
      <w:r>
        <w:rPr>
          <w:spacing w:val="-3"/>
        </w:rPr>
        <w:t>议</w:t>
      </w:r>
      <w:r>
        <w:rPr>
          <w:spacing w:val="-50"/>
        </w:rPr>
        <w:t>）</w:t>
      </w:r>
      <w:r>
        <w:rPr>
          <w:spacing w:val="-101"/>
        </w:rPr>
        <w:t>、</w:t>
      </w:r>
      <w:r>
        <w:rPr/>
        <w:t>《关于公司会计</w:t>
      </w:r>
      <w:r>
        <w:rPr>
          <w:spacing w:val="-3"/>
        </w:rPr>
        <w:t>估</w:t>
      </w:r>
      <w:r>
        <w:rPr/>
        <w:t>计变更的议案</w:t>
      </w:r>
      <w:r>
        <w:rPr>
          <w:spacing w:val="-51"/>
        </w:rPr>
        <w:t>》</w:t>
      </w:r>
      <w:r>
        <w:rPr/>
        <w:t>、</w:t>
      </w:r>
    </w:p>
    <w:p>
      <w:pPr>
        <w:pStyle w:val="BodyText"/>
        <w:spacing w:line="357" w:lineRule="auto" w:before="152"/>
        <w:ind w:right="234"/>
        <w:jc w:val="both"/>
      </w:pPr>
      <w:r>
        <w:rPr/>
        <w:t>《公司章程修正案》（提请股东大会审议）、《关于购置房产及超募资金使用计划</w:t>
      </w:r>
      <w:r>
        <w:rPr>
          <w:spacing w:val="-75"/>
        </w:rPr>
        <w:t> </w:t>
      </w:r>
      <w:r>
        <w:rPr>
          <w:spacing w:val="-75"/>
        </w:rPr>
      </w:r>
      <w:r>
        <w:rPr/>
        <w:t>的议案》、《关于召开</w:t>
      </w:r>
      <w:r>
        <w:rPr>
          <w:rFonts w:ascii="Times New Roman" w:hAnsi="Times New Roman" w:cs="Times New Roman" w:eastAsia="Times New Roman" w:hint="default"/>
        </w:rPr>
        <w:t>2010</w:t>
      </w:r>
      <w:r>
        <w:rPr/>
        <w:t>年度股东大会的议案》。</w:t>
      </w:r>
    </w:p>
    <w:p>
      <w:pPr>
        <w:spacing w:line="240" w:lineRule="auto" w:before="9"/>
        <w:rPr>
          <w:rFonts w:ascii="宋体" w:hAnsi="宋体" w:cs="宋体" w:eastAsia="宋体" w:hint="default"/>
          <w:sz w:val="21"/>
          <w:szCs w:val="21"/>
        </w:rPr>
      </w:pPr>
    </w:p>
    <w:p>
      <w:pPr>
        <w:pStyle w:val="Heading5"/>
        <w:spacing w:line="240" w:lineRule="auto"/>
        <w:ind w:right="0"/>
        <w:jc w:val="both"/>
        <w:rPr>
          <w:b w:val="0"/>
          <w:bCs w:val="0"/>
        </w:rPr>
      </w:pPr>
      <w:r>
        <w:rPr>
          <w:rFonts w:ascii="Times New Roman" w:hAnsi="Times New Roman" w:cs="Times New Roman" w:eastAsia="Times New Roman" w:hint="default"/>
        </w:rPr>
        <w:t>3</w:t>
      </w:r>
      <w:r>
        <w:rPr/>
        <w:t>、第一届董事会第十九次会议</w:t>
      </w:r>
      <w:r>
        <w:rPr>
          <w:b w:val="0"/>
          <w:bCs w:val="0"/>
        </w:rPr>
      </w:r>
    </w:p>
    <w:p>
      <w:pPr>
        <w:spacing w:line="240" w:lineRule="auto" w:before="0"/>
        <w:rPr>
          <w:rFonts w:ascii="宋体" w:hAnsi="宋体" w:cs="宋体" w:eastAsia="宋体" w:hint="default"/>
          <w:b/>
          <w:bCs/>
          <w:sz w:val="34"/>
          <w:szCs w:val="34"/>
        </w:rPr>
      </w:pPr>
    </w:p>
    <w:p>
      <w:pPr>
        <w:pStyle w:val="BodyText"/>
        <w:spacing w:line="336" w:lineRule="auto"/>
        <w:ind w:right="225" w:firstLine="479"/>
        <w:jc w:val="left"/>
      </w:pP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日在公司会议室召开了第一届董事会第十九次会议，会议应</w:t>
      </w:r>
      <w:r>
        <w:rPr/>
        <w:t> 到董事</w:t>
      </w:r>
      <w:r>
        <w:rPr>
          <w:rFonts w:ascii="Times New Roman" w:hAnsi="Times New Roman" w:cs="Times New Roman" w:eastAsia="Times New Roman" w:hint="default"/>
        </w:rPr>
        <w:t>9</w:t>
      </w:r>
      <w:r>
        <w:rPr/>
        <w:t>名，亲自出席会议董事</w:t>
      </w:r>
      <w:r>
        <w:rPr>
          <w:rFonts w:ascii="Times New Roman" w:hAnsi="Times New Roman" w:cs="Times New Roman" w:eastAsia="Times New Roman" w:hint="default"/>
        </w:rPr>
        <w:t>9</w:t>
      </w:r>
      <w:r>
        <w:rPr/>
        <w:t>名。</w:t>
      </w:r>
    </w:p>
    <w:p>
      <w:pPr>
        <w:pStyle w:val="BodyText"/>
        <w:spacing w:line="240" w:lineRule="auto" w:before="29"/>
        <w:ind w:left="618" w:right="100"/>
        <w:jc w:val="left"/>
      </w:pPr>
      <w:r>
        <w:rPr/>
        <w:t>本次会议审议通过了《</w:t>
      </w:r>
      <w:r>
        <w:rPr>
          <w:rFonts w:ascii="Times New Roman" w:hAnsi="Times New Roman" w:cs="Times New Roman" w:eastAsia="Times New Roman" w:hint="default"/>
        </w:rPr>
        <w:t>2011</w:t>
      </w:r>
      <w:r>
        <w:rPr/>
        <w:t>年第一季度报告全文及正文》。</w:t>
      </w:r>
    </w:p>
    <w:p>
      <w:pPr>
        <w:spacing w:line="778" w:lineRule="exact" w:before="72"/>
        <w:ind w:left="618" w:right="22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、第一届董事会第二十次会议</w:t>
      </w:r>
      <w:r>
        <w:rPr>
          <w:rFonts w:ascii="宋体" w:hAnsi="宋体" w:cs="宋体" w:eastAsia="宋体" w:hint="default"/>
          <w:b/>
          <w:bCs/>
          <w:w w:val="99"/>
          <w:sz w:val="24"/>
          <w:szCs w:val="24"/>
        </w:rPr>
        <w:t> </w:t>
      </w:r>
      <w:r>
        <w:rPr>
          <w:rFonts w:ascii="宋体" w:hAnsi="宋体" w:cs="宋体" w:eastAsia="宋体" w:hint="default"/>
          <w:spacing w:val="-2"/>
          <w:sz w:val="24"/>
          <w:szCs w:val="24"/>
        </w:rPr>
        <w:t>公司于</w:t>
      </w:r>
      <w:r>
        <w:rPr>
          <w:rFonts w:ascii="Times New Roman" w:hAnsi="Times New Roman" w:cs="Times New Roman" w:eastAsia="Times New Roman" w:hint="default"/>
          <w:spacing w:val="-2"/>
          <w:sz w:val="24"/>
          <w:szCs w:val="24"/>
        </w:rPr>
        <w:t>2011</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5</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19</w:t>
      </w:r>
      <w:r>
        <w:rPr>
          <w:rFonts w:ascii="宋体" w:hAnsi="宋体" w:cs="宋体" w:eastAsia="宋体" w:hint="default"/>
          <w:spacing w:val="-2"/>
          <w:sz w:val="24"/>
          <w:szCs w:val="24"/>
        </w:rPr>
        <w:t>日在公司会议室召开了第一届董事会第二十次会议，会议应</w:t>
      </w:r>
    </w:p>
    <w:p>
      <w:pPr>
        <w:pStyle w:val="BodyText"/>
        <w:spacing w:line="336" w:lineRule="auto" w:before="32"/>
        <w:ind w:left="618" w:right="100" w:hanging="480"/>
        <w:jc w:val="left"/>
      </w:pPr>
      <w:r>
        <w:rPr/>
        <w:t>到董事</w:t>
      </w:r>
      <w:r>
        <w:rPr>
          <w:rFonts w:ascii="Times New Roman" w:hAnsi="Times New Roman" w:cs="Times New Roman" w:eastAsia="Times New Roman" w:hint="default"/>
        </w:rPr>
        <w:t>9</w:t>
      </w:r>
      <w:r>
        <w:rPr/>
        <w:t>名，实际参加会议董事</w:t>
      </w:r>
      <w:r>
        <w:rPr>
          <w:rFonts w:ascii="Times New Roman" w:hAnsi="Times New Roman" w:cs="Times New Roman" w:eastAsia="Times New Roman" w:hint="default"/>
        </w:rPr>
        <w:t>9</w:t>
      </w:r>
      <w:r>
        <w:rPr/>
        <w:t>名。 本次会议审议通过了《北京超图软件股份有限公司股票期权激励计划（草案修</w:t>
      </w:r>
    </w:p>
    <w:p>
      <w:pPr>
        <w:pStyle w:val="BodyText"/>
        <w:spacing w:line="348" w:lineRule="auto" w:before="58"/>
        <w:ind w:right="235"/>
        <w:jc w:val="both"/>
      </w:pPr>
      <w:r>
        <w:rPr/>
        <w:t>订稿）》（提请股东大会审议）、《关于公司董事会换届选举暨第二届董事会候选</w:t>
      </w:r>
      <w:r>
        <w:rPr>
          <w:spacing w:val="-76"/>
        </w:rPr>
        <w:t> </w:t>
      </w:r>
      <w:r>
        <w:rPr>
          <w:spacing w:val="-76"/>
        </w:rPr>
      </w:r>
      <w:r>
        <w:rPr/>
        <w:t>人提名的议案》、《关于修订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的议案》（提请股东大会审议）、《关于</w:t>
      </w:r>
      <w:r>
        <w:rPr>
          <w:spacing w:val="-109"/>
        </w:rPr>
        <w:t> </w:t>
      </w:r>
      <w:r>
        <w:rPr>
          <w:spacing w:val="-109"/>
        </w:rPr>
      </w:r>
      <w:r>
        <w:rPr/>
        <w:t>召开</w:t>
      </w:r>
      <w:r>
        <w:rPr>
          <w:spacing w:val="-61"/>
        </w:rPr>
        <w:t> </w:t>
      </w:r>
      <w:r>
        <w:rPr>
          <w:rFonts w:ascii="Times New Roman" w:hAnsi="Times New Roman" w:cs="Times New Roman" w:eastAsia="Times New Roman" w:hint="default"/>
        </w:rPr>
        <w:t>2011 </w:t>
      </w:r>
      <w:r>
        <w:rPr/>
        <w:t>年第一次临时股东大会的议案》。</w:t>
      </w:r>
    </w:p>
    <w:p>
      <w:pPr>
        <w:spacing w:after="0" w:line="348" w:lineRule="auto"/>
        <w:jc w:val="both"/>
        <w:sectPr>
          <w:footerReference w:type="default" r:id="rId28"/>
          <w:pgSz w:w="11910" w:h="16840"/>
          <w:pgMar w:footer="1173" w:header="884" w:top="1140" w:bottom="1360" w:left="1660" w:right="1180"/>
          <w:pgNumType w:start="48"/>
        </w:sectPr>
      </w:pPr>
    </w:p>
    <w:p>
      <w:pPr>
        <w:spacing w:line="240" w:lineRule="auto" w:before="6"/>
        <w:rPr>
          <w:rFonts w:ascii="宋体" w:hAnsi="宋体" w:cs="宋体" w:eastAsia="宋体" w:hint="default"/>
          <w:sz w:val="16"/>
          <w:szCs w:val="16"/>
        </w:rPr>
      </w:pPr>
    </w:p>
    <w:p>
      <w:pPr>
        <w:pStyle w:val="Heading5"/>
        <w:spacing w:line="240" w:lineRule="auto" w:before="26"/>
        <w:ind w:right="124"/>
        <w:jc w:val="left"/>
        <w:rPr>
          <w:b w:val="0"/>
          <w:bCs w:val="0"/>
        </w:rPr>
      </w:pPr>
      <w:r>
        <w:rPr>
          <w:rFonts w:ascii="Times New Roman" w:hAnsi="Times New Roman" w:cs="Times New Roman" w:eastAsia="Times New Roman" w:hint="default"/>
        </w:rPr>
        <w:t>5</w:t>
      </w:r>
      <w:r>
        <w:rPr/>
        <w:t>、第二届董事会第一次会议</w:t>
      </w:r>
      <w:r>
        <w:rPr>
          <w:b w:val="0"/>
          <w:bCs w:val="0"/>
        </w:rPr>
      </w:r>
    </w:p>
    <w:p>
      <w:pPr>
        <w:spacing w:line="240" w:lineRule="auto" w:before="0"/>
        <w:rPr>
          <w:rFonts w:ascii="宋体" w:hAnsi="宋体" w:cs="宋体" w:eastAsia="宋体" w:hint="default"/>
          <w:b/>
          <w:bCs/>
          <w:sz w:val="34"/>
          <w:szCs w:val="34"/>
        </w:rPr>
      </w:pPr>
    </w:p>
    <w:p>
      <w:pPr>
        <w:pStyle w:val="BodyText"/>
        <w:spacing w:line="338" w:lineRule="auto"/>
        <w:ind w:right="135" w:firstLine="479"/>
        <w:jc w:val="both"/>
      </w:pP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日在公司会议室召开了第二届董事会第一次会议，会议应到</w:t>
      </w:r>
      <w:r>
        <w:rPr/>
        <w:t> 董事</w:t>
      </w:r>
      <w:r>
        <w:rPr>
          <w:rFonts w:ascii="Times New Roman" w:hAnsi="Times New Roman" w:cs="Times New Roman" w:eastAsia="Times New Roman" w:hint="default"/>
        </w:rPr>
        <w:t>9</w:t>
      </w:r>
      <w:r>
        <w:rPr/>
        <w:t>名，实际参加会议董事</w:t>
      </w:r>
      <w:r>
        <w:rPr>
          <w:rFonts w:ascii="Times New Roman" w:hAnsi="Times New Roman" w:cs="Times New Roman" w:eastAsia="Times New Roman" w:hint="default"/>
        </w:rPr>
        <w:t>9</w:t>
      </w:r>
      <w:r>
        <w:rPr/>
        <w:t>名。</w:t>
      </w:r>
    </w:p>
    <w:p>
      <w:pPr>
        <w:pStyle w:val="BodyText"/>
        <w:spacing w:line="352" w:lineRule="auto" w:before="24"/>
        <w:ind w:right="134" w:firstLine="479"/>
        <w:jc w:val="both"/>
      </w:pPr>
      <w:r>
        <w:rPr/>
        <w:t>本次会议审议通过了《关于对</w:t>
      </w:r>
      <w:r>
        <w:rPr>
          <w:rFonts w:ascii="Times New Roman" w:hAnsi="Times New Roman" w:cs="Times New Roman" w:eastAsia="Times New Roman" w:hint="default"/>
        </w:rPr>
        <w:t>&lt;</w:t>
      </w:r>
      <w:r>
        <w:rPr/>
        <w:t>股票期权激励计划</w:t>
      </w:r>
      <w:r>
        <w:rPr>
          <w:rFonts w:ascii="Times New Roman" w:hAnsi="Times New Roman" w:cs="Times New Roman" w:eastAsia="Times New Roman" w:hint="default"/>
        </w:rPr>
        <w:t>&gt;</w:t>
      </w:r>
      <w:r>
        <w:rPr/>
        <w:t>激励对象及涉及股票期权数 量和行权价格进行调整的议案》、《关于公司股票期权激励计划所涉及股票期权首</w:t>
      </w:r>
      <w:r>
        <w:rPr>
          <w:spacing w:val="-76"/>
        </w:rPr>
        <w:t> </w:t>
      </w:r>
      <w:r>
        <w:rPr>
          <w:spacing w:val="-76"/>
        </w:rPr>
      </w:r>
      <w:r>
        <w:rPr/>
        <w:t>次期权授予事项的议案》、《公司治理专项活动整改报告》、《关于选举公司第二</w:t>
      </w:r>
      <w:r>
        <w:rPr>
          <w:spacing w:val="-77"/>
        </w:rPr>
        <w:t> </w:t>
      </w:r>
      <w:r>
        <w:rPr>
          <w:spacing w:val="-77"/>
        </w:rPr>
      </w:r>
      <w:r>
        <w:rPr/>
        <w:t>届董事会董事长的议案》、《关于设立第二届董事会专门委员会及其人员组成的议</w:t>
      </w:r>
      <w:r>
        <w:rPr>
          <w:spacing w:val="-77"/>
        </w:rPr>
        <w:t> </w:t>
      </w:r>
      <w:r>
        <w:rPr>
          <w:spacing w:val="-77"/>
        </w:rPr>
      </w:r>
      <w:r>
        <w:rPr/>
        <w:t>案》、《关于聘任公司高级管理人员的议案》、《关于聘任公司证券事务代表的议</w:t>
      </w:r>
      <w:r>
        <w:rPr>
          <w:spacing w:val="-73"/>
        </w:rPr>
        <w:t> </w:t>
      </w:r>
      <w:r>
        <w:rPr>
          <w:spacing w:val="-73"/>
        </w:rPr>
      </w:r>
      <w:r>
        <w:rPr/>
        <w:t>案》。</w:t>
      </w:r>
    </w:p>
    <w:p>
      <w:pPr>
        <w:spacing w:line="240" w:lineRule="auto" w:before="5"/>
        <w:rPr>
          <w:rFonts w:ascii="宋体" w:hAnsi="宋体" w:cs="宋体" w:eastAsia="宋体" w:hint="default"/>
          <w:sz w:val="24"/>
          <w:szCs w:val="24"/>
        </w:rPr>
      </w:pPr>
    </w:p>
    <w:p>
      <w:pPr>
        <w:pStyle w:val="Heading5"/>
        <w:spacing w:line="240" w:lineRule="auto"/>
        <w:ind w:right="124"/>
        <w:jc w:val="left"/>
        <w:rPr>
          <w:b w:val="0"/>
          <w:bCs w:val="0"/>
        </w:rPr>
      </w:pPr>
      <w:r>
        <w:rPr>
          <w:rFonts w:ascii="Times New Roman" w:hAnsi="Times New Roman" w:cs="Times New Roman" w:eastAsia="Times New Roman" w:hint="default"/>
        </w:rPr>
        <w:t>6</w:t>
      </w:r>
      <w:r>
        <w:rPr/>
        <w:t>、第二届董事会第二次会议</w:t>
      </w:r>
      <w:r>
        <w:rPr>
          <w:b w:val="0"/>
          <w:bCs w:val="0"/>
        </w:rPr>
      </w:r>
    </w:p>
    <w:p>
      <w:pPr>
        <w:spacing w:line="240" w:lineRule="auto" w:before="0"/>
        <w:rPr>
          <w:rFonts w:ascii="宋体" w:hAnsi="宋体" w:cs="宋体" w:eastAsia="宋体" w:hint="default"/>
          <w:b/>
          <w:bCs/>
          <w:sz w:val="34"/>
          <w:szCs w:val="34"/>
        </w:rPr>
      </w:pPr>
    </w:p>
    <w:p>
      <w:pPr>
        <w:pStyle w:val="BodyText"/>
        <w:spacing w:line="336" w:lineRule="auto"/>
        <w:ind w:right="135" w:firstLine="479"/>
        <w:jc w:val="both"/>
      </w:pP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29</w:t>
      </w:r>
      <w:r>
        <w:rPr>
          <w:spacing w:val="-2"/>
        </w:rPr>
        <w:t>日在公司会议室召开了第二届董事会第二次会议，会议应到</w:t>
      </w:r>
      <w:r>
        <w:rPr/>
        <w:t> 董事</w:t>
      </w:r>
      <w:r>
        <w:rPr>
          <w:rFonts w:ascii="Times New Roman" w:hAnsi="Times New Roman" w:cs="Times New Roman" w:eastAsia="Times New Roman" w:hint="default"/>
        </w:rPr>
        <w:t>9</w:t>
      </w:r>
      <w:r>
        <w:rPr/>
        <w:t>名，实际参加会议董事</w:t>
      </w:r>
      <w:r>
        <w:rPr>
          <w:rFonts w:ascii="Times New Roman" w:hAnsi="Times New Roman" w:cs="Times New Roman" w:eastAsia="Times New Roman" w:hint="default"/>
        </w:rPr>
        <w:t>9</w:t>
      </w:r>
      <w:r>
        <w:rPr/>
        <w:t>名。</w:t>
      </w:r>
    </w:p>
    <w:p>
      <w:pPr>
        <w:pStyle w:val="BodyText"/>
        <w:spacing w:line="338" w:lineRule="auto" w:before="30"/>
        <w:ind w:right="131" w:firstLine="479"/>
        <w:jc w:val="both"/>
      </w:pPr>
      <w:r>
        <w:rPr/>
        <w:t>本次会议审议通过了《北京超图软件股份有限公司</w:t>
      </w:r>
      <w:r>
        <w:rPr>
          <w:rFonts w:ascii="Times New Roman" w:hAnsi="Times New Roman" w:cs="Times New Roman" w:eastAsia="Times New Roman" w:hint="default"/>
        </w:rPr>
        <w:t>2011</w:t>
      </w:r>
      <w:r>
        <w:rPr/>
        <w:t>年半年度报告全文及摘 要》、《</w:t>
      </w:r>
      <w:r>
        <w:rPr>
          <w:rFonts w:ascii="Times New Roman" w:hAnsi="Times New Roman" w:cs="Times New Roman" w:eastAsia="Times New Roman" w:hint="default"/>
        </w:rPr>
        <w:t>2011</w:t>
      </w:r>
      <w:r>
        <w:rPr/>
        <w:t>年半年度财务报告》。</w:t>
      </w:r>
    </w:p>
    <w:p>
      <w:pPr>
        <w:spacing w:line="240" w:lineRule="auto" w:before="4"/>
        <w:rPr>
          <w:rFonts w:ascii="宋体" w:hAnsi="宋体" w:cs="宋体" w:eastAsia="宋体" w:hint="default"/>
          <w:sz w:val="23"/>
          <w:szCs w:val="23"/>
        </w:rPr>
      </w:pPr>
    </w:p>
    <w:p>
      <w:pPr>
        <w:pStyle w:val="Heading5"/>
        <w:spacing w:line="240" w:lineRule="auto"/>
        <w:ind w:right="124"/>
        <w:jc w:val="left"/>
        <w:rPr>
          <w:b w:val="0"/>
          <w:bCs w:val="0"/>
        </w:rPr>
      </w:pPr>
      <w:r>
        <w:rPr>
          <w:rFonts w:ascii="Times New Roman" w:hAnsi="Times New Roman" w:cs="Times New Roman" w:eastAsia="Times New Roman" w:hint="default"/>
        </w:rPr>
        <w:t>7</w:t>
      </w:r>
      <w:r>
        <w:rPr/>
        <w:t>、第二届董事会第三次会议</w:t>
      </w:r>
      <w:r>
        <w:rPr>
          <w:b w:val="0"/>
          <w:bCs w:val="0"/>
        </w:rPr>
      </w:r>
    </w:p>
    <w:p>
      <w:pPr>
        <w:spacing w:line="240" w:lineRule="auto" w:before="0"/>
        <w:rPr>
          <w:rFonts w:ascii="宋体" w:hAnsi="宋体" w:cs="宋体" w:eastAsia="宋体" w:hint="default"/>
          <w:b/>
          <w:bCs/>
          <w:sz w:val="34"/>
          <w:szCs w:val="34"/>
        </w:rPr>
      </w:pPr>
    </w:p>
    <w:p>
      <w:pPr>
        <w:pStyle w:val="BodyText"/>
        <w:spacing w:line="336" w:lineRule="auto"/>
        <w:ind w:right="135" w:firstLine="479"/>
        <w:jc w:val="both"/>
      </w:pP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23</w:t>
      </w:r>
      <w:r>
        <w:rPr>
          <w:spacing w:val="-2"/>
        </w:rPr>
        <w:t>日在公司会议室召开了第二届董事会第三次会议，会议应到</w:t>
      </w:r>
      <w:r>
        <w:rPr/>
        <w:t> 董事</w:t>
      </w:r>
      <w:r>
        <w:rPr>
          <w:rFonts w:ascii="Times New Roman" w:hAnsi="Times New Roman" w:cs="Times New Roman" w:eastAsia="Times New Roman" w:hint="default"/>
        </w:rPr>
        <w:t>9</w:t>
      </w:r>
      <w:r>
        <w:rPr/>
        <w:t>名，亲自出席现场会议董事</w:t>
      </w:r>
      <w:r>
        <w:rPr>
          <w:rFonts w:ascii="Times New Roman" w:hAnsi="Times New Roman" w:cs="Times New Roman" w:eastAsia="Times New Roman" w:hint="default"/>
        </w:rPr>
        <w:t>9</w:t>
      </w:r>
      <w:r>
        <w:rPr/>
        <w:t>名。</w:t>
      </w:r>
    </w:p>
    <w:p>
      <w:pPr>
        <w:pStyle w:val="BodyText"/>
        <w:spacing w:line="355" w:lineRule="auto" w:before="29"/>
        <w:ind w:right="134" w:firstLine="479"/>
        <w:jc w:val="both"/>
      </w:pPr>
      <w:r>
        <w:rPr/>
        <w:t>本次会议审议通过了《关于使用超募资金承接西安市数字化“城市管理”信息 </w:t>
      </w:r>
      <w:r>
        <w:rPr>
          <w:spacing w:val="-11"/>
        </w:rPr>
        <w:t>系统建设项目的议案》、《关于使用超募资金建设成都技术中心的议案》。</w:t>
      </w:r>
    </w:p>
    <w:p>
      <w:pPr>
        <w:spacing w:line="240" w:lineRule="auto" w:before="5"/>
        <w:rPr>
          <w:rFonts w:ascii="宋体" w:hAnsi="宋体" w:cs="宋体" w:eastAsia="宋体" w:hint="default"/>
          <w:sz w:val="24"/>
          <w:szCs w:val="24"/>
        </w:rPr>
      </w:pPr>
    </w:p>
    <w:p>
      <w:pPr>
        <w:pStyle w:val="Heading5"/>
        <w:spacing w:line="240" w:lineRule="auto"/>
        <w:ind w:right="124"/>
        <w:jc w:val="left"/>
        <w:rPr>
          <w:b w:val="0"/>
          <w:bCs w:val="0"/>
        </w:rPr>
      </w:pPr>
      <w:r>
        <w:rPr>
          <w:rFonts w:ascii="Times New Roman" w:hAnsi="Times New Roman" w:cs="Times New Roman" w:eastAsia="Times New Roman" w:hint="default"/>
        </w:rPr>
        <w:t>8</w:t>
      </w:r>
      <w:r>
        <w:rPr/>
        <w:t>、第二届董事会第四次会议</w:t>
      </w:r>
      <w:r>
        <w:rPr>
          <w:b w:val="0"/>
          <w:bCs w:val="0"/>
        </w:rPr>
      </w:r>
    </w:p>
    <w:p>
      <w:pPr>
        <w:spacing w:line="240" w:lineRule="auto" w:before="0"/>
        <w:rPr>
          <w:rFonts w:ascii="宋体" w:hAnsi="宋体" w:cs="宋体" w:eastAsia="宋体" w:hint="default"/>
          <w:b/>
          <w:bCs/>
          <w:sz w:val="34"/>
          <w:szCs w:val="34"/>
        </w:rPr>
      </w:pPr>
    </w:p>
    <w:p>
      <w:pPr>
        <w:pStyle w:val="BodyText"/>
        <w:spacing w:line="336" w:lineRule="auto"/>
        <w:ind w:right="134" w:firstLine="479"/>
        <w:jc w:val="both"/>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日在公司会议室召开了第二届董事会第四次会议，会议应 到董事</w:t>
      </w:r>
      <w:r>
        <w:rPr>
          <w:rFonts w:ascii="Times New Roman" w:hAnsi="Times New Roman" w:cs="Times New Roman" w:eastAsia="Times New Roman" w:hint="default"/>
        </w:rPr>
        <w:t>9</w:t>
      </w:r>
      <w:r>
        <w:rPr/>
        <w:t>名，亲自出席现场会议董事</w:t>
      </w:r>
      <w:r>
        <w:rPr>
          <w:rFonts w:ascii="Times New Roman" w:hAnsi="Times New Roman" w:cs="Times New Roman" w:eastAsia="Times New Roman" w:hint="default"/>
        </w:rPr>
        <w:t>9</w:t>
      </w:r>
      <w:r>
        <w:rPr/>
        <w:t>名。</w:t>
      </w:r>
    </w:p>
    <w:p>
      <w:pPr>
        <w:pStyle w:val="BodyText"/>
        <w:spacing w:line="240" w:lineRule="auto" w:before="29"/>
        <w:ind w:left="618" w:right="124"/>
        <w:jc w:val="left"/>
      </w:pPr>
      <w:r>
        <w:rPr/>
        <w:t>本次会议审议通过了《</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年第三季度报告全文及正文</w:t>
      </w:r>
      <w:r>
        <w:rPr>
          <w:spacing w:val="-120"/>
        </w:rPr>
        <w:t>》。</w:t>
      </w:r>
      <w:r>
        <w:rPr/>
      </w:r>
    </w:p>
    <w:p>
      <w:pPr>
        <w:spacing w:after="0" w:line="240" w:lineRule="auto"/>
        <w:jc w:val="left"/>
        <w:sectPr>
          <w:pgSz w:w="11910" w:h="16840"/>
          <w:pgMar w:header="884" w:footer="1173" w:top="1140" w:bottom="1360" w:left="1660" w:right="1280"/>
        </w:sectPr>
      </w:pPr>
    </w:p>
    <w:p>
      <w:pPr>
        <w:spacing w:line="240" w:lineRule="auto" w:before="6"/>
        <w:rPr>
          <w:rFonts w:ascii="宋体" w:hAnsi="宋体" w:cs="宋体" w:eastAsia="宋体" w:hint="default"/>
          <w:sz w:val="16"/>
          <w:szCs w:val="16"/>
        </w:rPr>
      </w:pPr>
    </w:p>
    <w:p>
      <w:pPr>
        <w:pStyle w:val="Heading5"/>
        <w:spacing w:line="240" w:lineRule="auto" w:before="26"/>
        <w:ind w:right="124"/>
        <w:jc w:val="left"/>
        <w:rPr>
          <w:b w:val="0"/>
          <w:bCs w:val="0"/>
        </w:rPr>
      </w:pPr>
      <w:r>
        <w:rPr>
          <w:rFonts w:ascii="Times New Roman" w:hAnsi="Times New Roman" w:cs="Times New Roman" w:eastAsia="Times New Roman" w:hint="default"/>
        </w:rPr>
        <w:t>9</w:t>
      </w:r>
      <w:r>
        <w:rPr/>
        <w:t>、第二届董事会第五次会议</w:t>
      </w:r>
      <w:r>
        <w:rPr>
          <w:b w:val="0"/>
          <w:bCs w:val="0"/>
        </w:rPr>
      </w:r>
    </w:p>
    <w:p>
      <w:pPr>
        <w:spacing w:line="240" w:lineRule="auto" w:before="0"/>
        <w:rPr>
          <w:rFonts w:ascii="宋体" w:hAnsi="宋体" w:cs="宋体" w:eastAsia="宋体" w:hint="default"/>
          <w:b/>
          <w:bCs/>
          <w:sz w:val="34"/>
          <w:szCs w:val="34"/>
        </w:rPr>
      </w:pPr>
    </w:p>
    <w:p>
      <w:pPr>
        <w:pStyle w:val="BodyText"/>
        <w:spacing w:line="338" w:lineRule="auto"/>
        <w:ind w:right="131" w:firstLine="479"/>
        <w:jc w:val="both"/>
      </w:pPr>
      <w:r>
        <w:rPr/>
        <w:t>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日在公司会议室召开了第二届董事会第五次会议，会议应 到董事</w:t>
      </w:r>
      <w:r>
        <w:rPr>
          <w:rFonts w:ascii="Times New Roman" w:hAnsi="Times New Roman" w:cs="Times New Roman" w:eastAsia="Times New Roman" w:hint="default"/>
        </w:rPr>
        <w:t>9</w:t>
      </w:r>
      <w:r>
        <w:rPr/>
        <w:t>名，亲自出席现场会议董事</w:t>
      </w:r>
      <w:r>
        <w:rPr>
          <w:rFonts w:ascii="Times New Roman" w:hAnsi="Times New Roman" w:cs="Times New Roman" w:eastAsia="Times New Roman" w:hint="default"/>
        </w:rPr>
        <w:t>9</w:t>
      </w:r>
      <w:r>
        <w:rPr/>
        <w:t>名。</w:t>
      </w:r>
    </w:p>
    <w:p>
      <w:pPr>
        <w:pStyle w:val="BodyText"/>
        <w:spacing w:line="338" w:lineRule="auto" w:before="24"/>
        <w:ind w:right="132" w:firstLine="479"/>
        <w:jc w:val="both"/>
      </w:pPr>
      <w:r>
        <w:rPr>
          <w:spacing w:val="-9"/>
        </w:rPr>
        <w:t>本次会议审议通过《关于向银行申请授信的议案》、《关于修订</w:t>
      </w:r>
      <w:r>
        <w:rPr>
          <w:rFonts w:ascii="Times New Roman" w:hAnsi="Times New Roman" w:cs="Times New Roman" w:eastAsia="Times New Roman" w:hint="default"/>
          <w:spacing w:val="-9"/>
        </w:rPr>
        <w:t>&lt;</w:t>
      </w:r>
      <w:r>
        <w:rPr>
          <w:spacing w:val="-9"/>
        </w:rPr>
        <w:t>北京超图软件股</w:t>
      </w:r>
      <w:r>
        <w:rPr/>
        <w:t> 份有限公司内幕信息知情人登记制度</w:t>
      </w:r>
      <w:r>
        <w:rPr>
          <w:rFonts w:ascii="Times New Roman" w:hAnsi="Times New Roman" w:cs="Times New Roman" w:eastAsia="Times New Roman" w:hint="default"/>
        </w:rPr>
        <w:t>&gt;</w:t>
      </w:r>
      <w:r>
        <w:rPr/>
        <w:t>的议案》</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8"/>
          <w:szCs w:val="28"/>
        </w:rPr>
      </w:pPr>
    </w:p>
    <w:p>
      <w:pPr>
        <w:pStyle w:val="Heading4"/>
        <w:spacing w:line="240" w:lineRule="auto"/>
        <w:ind w:right="124"/>
        <w:jc w:val="left"/>
        <w:rPr>
          <w:b w:val="0"/>
          <w:bCs w:val="0"/>
        </w:rPr>
      </w:pPr>
      <w:bookmarkStart w:name="_TOC_250066" w:id="22"/>
      <w:r>
        <w:rPr/>
        <w:t>（二）董事会对股东大会决议的执行情况</w:t>
      </w:r>
      <w:bookmarkEnd w:id="22"/>
      <w:r>
        <w:rPr>
          <w:b w:val="0"/>
          <w:bCs w:val="0"/>
        </w:rPr>
      </w:r>
    </w:p>
    <w:p>
      <w:pPr>
        <w:spacing w:line="240" w:lineRule="auto" w:before="6"/>
        <w:rPr>
          <w:rFonts w:ascii="宋体" w:hAnsi="宋体" w:cs="宋体" w:eastAsia="宋体" w:hint="default"/>
          <w:b/>
          <w:bCs/>
          <w:sz w:val="40"/>
          <w:szCs w:val="40"/>
        </w:rPr>
      </w:pPr>
    </w:p>
    <w:p>
      <w:pPr>
        <w:pStyle w:val="BodyText"/>
        <w:spacing w:line="355" w:lineRule="auto"/>
        <w:ind w:right="136" w:firstLine="479"/>
        <w:jc w:val="both"/>
      </w:pPr>
      <w:r>
        <w:rPr/>
        <w:t>报告期内，公司董事会严格按照《公司法》等法律法规和《公司章程》的有关 规定履行职责，认真执行股东大会通过的各项决议，具体如下：</w:t>
      </w:r>
    </w:p>
    <w:p>
      <w:pPr>
        <w:spacing w:line="240" w:lineRule="auto" w:before="5"/>
        <w:rPr>
          <w:rFonts w:ascii="宋体" w:hAnsi="宋体" w:cs="宋体" w:eastAsia="宋体" w:hint="default"/>
          <w:sz w:val="24"/>
          <w:szCs w:val="24"/>
        </w:rPr>
      </w:pPr>
    </w:p>
    <w:p>
      <w:pPr>
        <w:pStyle w:val="Heading5"/>
        <w:spacing w:line="240" w:lineRule="auto"/>
        <w:ind w:right="124"/>
        <w:jc w:val="left"/>
        <w:rPr>
          <w:b w:val="0"/>
          <w:bCs w:val="0"/>
        </w:rPr>
      </w:pPr>
      <w:r>
        <w:rPr>
          <w:rFonts w:ascii="Times New Roman" w:hAnsi="Times New Roman" w:cs="Times New Roman" w:eastAsia="Times New Roman" w:hint="default"/>
        </w:rPr>
        <w:t>1</w:t>
      </w:r>
      <w:r>
        <w:rPr/>
        <w:t>、利润分配政策的执行情况</w:t>
      </w:r>
      <w:r>
        <w:rPr>
          <w:b w:val="0"/>
          <w:bCs w:val="0"/>
        </w:rPr>
      </w:r>
    </w:p>
    <w:p>
      <w:pPr>
        <w:spacing w:line="240" w:lineRule="auto" w:before="11"/>
        <w:rPr>
          <w:rFonts w:ascii="宋体" w:hAnsi="宋体" w:cs="宋体" w:eastAsia="宋体" w:hint="default"/>
          <w:b/>
          <w:bCs/>
          <w:sz w:val="33"/>
          <w:szCs w:val="33"/>
        </w:rPr>
      </w:pPr>
    </w:p>
    <w:p>
      <w:pPr>
        <w:pStyle w:val="BodyText"/>
        <w:spacing w:line="338" w:lineRule="auto"/>
        <w:ind w:right="132" w:firstLine="479"/>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日，公司</w:t>
      </w:r>
      <w:r>
        <w:rPr>
          <w:rFonts w:ascii="Times New Roman" w:hAnsi="Times New Roman" w:cs="Times New Roman" w:eastAsia="Times New Roman" w:hint="default"/>
          <w:spacing w:val="-2"/>
        </w:rPr>
        <w:t>2010</w:t>
      </w:r>
      <w:r>
        <w:rPr>
          <w:spacing w:val="-2"/>
        </w:rPr>
        <w:t>年度股东大会审议通过《</w:t>
      </w:r>
      <w:r>
        <w:rPr>
          <w:rFonts w:ascii="Times New Roman" w:hAnsi="Times New Roman" w:cs="Times New Roman" w:eastAsia="Times New Roman" w:hint="default"/>
          <w:spacing w:val="-2"/>
        </w:rPr>
        <w:t>2009</w:t>
      </w:r>
      <w:r>
        <w:rPr>
          <w:spacing w:val="-2"/>
        </w:rPr>
        <w:t>年度利润分配方案及资</w:t>
      </w:r>
      <w:r>
        <w:rPr/>
        <w:t> </w:t>
      </w:r>
      <w:r>
        <w:rPr>
          <w:spacing w:val="-2"/>
        </w:rPr>
        <w:t>本公积金转增股本预案》：拟以</w:t>
      </w:r>
      <w:r>
        <w:rPr>
          <w:rFonts w:ascii="Times New Roman" w:hAnsi="Times New Roman" w:cs="Times New Roman" w:eastAsia="Times New Roman" w:hint="default"/>
          <w:spacing w:val="-2"/>
        </w:rPr>
        <w:t>2010</w:t>
      </w:r>
      <w:r>
        <w:rPr>
          <w:spacing w:val="-2"/>
        </w:rPr>
        <w:t>年末总股本</w:t>
      </w:r>
      <w:r>
        <w:rPr>
          <w:rFonts w:ascii="Times New Roman" w:hAnsi="Times New Roman" w:cs="Times New Roman" w:eastAsia="Times New Roman" w:hint="default"/>
          <w:spacing w:val="-2"/>
        </w:rPr>
        <w:t>75,000,000</w:t>
      </w:r>
      <w:r>
        <w:rPr>
          <w:spacing w:val="-2"/>
        </w:rPr>
        <w:t>股为基础，每</w:t>
      </w:r>
      <w:r>
        <w:rPr>
          <w:rFonts w:ascii="Times New Roman" w:hAnsi="Times New Roman" w:cs="Times New Roman" w:eastAsia="Times New Roman" w:hint="default"/>
          <w:spacing w:val="-2"/>
        </w:rPr>
        <w:t>10</w:t>
      </w:r>
      <w:r>
        <w:rPr>
          <w:spacing w:val="-2"/>
        </w:rPr>
        <w:t>股派发现</w:t>
      </w:r>
      <w:r>
        <w:rPr>
          <w:spacing w:val="-100"/>
        </w:rPr>
        <w:t> </w:t>
      </w:r>
      <w:r>
        <w:rPr>
          <w:spacing w:val="2"/>
        </w:rPr>
        <w:t>金</w:t>
      </w:r>
      <w:r>
        <w:rPr>
          <w:rFonts w:ascii="Times New Roman" w:hAnsi="Times New Roman" w:cs="Times New Roman" w:eastAsia="Times New Roman" w:hint="default"/>
          <w:spacing w:val="2"/>
        </w:rPr>
        <w:t>2</w:t>
      </w:r>
      <w:r>
        <w:rPr>
          <w:spacing w:val="2"/>
        </w:rPr>
        <w:t>元（含税），合计派发现金</w:t>
      </w:r>
      <w:r>
        <w:rPr>
          <w:rFonts w:ascii="Times New Roman" w:hAnsi="Times New Roman" w:cs="Times New Roman" w:eastAsia="Times New Roman" w:hint="default"/>
          <w:spacing w:val="2"/>
        </w:rPr>
        <w:t>1,500</w:t>
      </w:r>
      <w:r>
        <w:rPr>
          <w:spacing w:val="2"/>
        </w:rPr>
        <w:t>万元（含税），同时以资本公积金向全体股东</w:t>
      </w:r>
      <w:r>
        <w:rPr>
          <w:spacing w:val="-103"/>
        </w:rPr>
        <w:t> </w:t>
      </w:r>
      <w:r>
        <w:rPr>
          <w:spacing w:val="-103"/>
        </w:rPr>
      </w:r>
      <w:r>
        <w:rPr>
          <w:spacing w:val="-1"/>
        </w:rPr>
        <w:t>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6</w:t>
      </w:r>
      <w:r>
        <w:rPr>
          <w:spacing w:val="-1"/>
        </w:rPr>
        <w:t>股，合计转增</w:t>
      </w:r>
      <w:r>
        <w:rPr>
          <w:rFonts w:ascii="Times New Roman" w:hAnsi="Times New Roman" w:cs="Times New Roman" w:eastAsia="Times New Roman" w:hint="default"/>
          <w:spacing w:val="-1"/>
        </w:rPr>
        <w:t>4,500</w:t>
      </w:r>
      <w:r>
        <w:rPr>
          <w:spacing w:val="-1"/>
        </w:rPr>
        <w:t>万股。</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16</w:t>
      </w:r>
      <w:r>
        <w:rPr>
          <w:spacing w:val="-1"/>
        </w:rPr>
        <w:t>日，公司已实施了该利润分配方</w:t>
      </w:r>
      <w:r>
        <w:rPr>
          <w:spacing w:val="-86"/>
        </w:rPr>
        <w:t> </w:t>
      </w:r>
      <w:r>
        <w:rPr>
          <w:spacing w:val="-86"/>
        </w:rPr>
      </w:r>
      <w:r>
        <w:rPr/>
        <w:t>案。</w:t>
      </w:r>
    </w:p>
    <w:p>
      <w:pPr>
        <w:spacing w:line="240" w:lineRule="auto" w:before="9"/>
        <w:rPr>
          <w:rFonts w:ascii="宋体" w:hAnsi="宋体" w:cs="宋体" w:eastAsia="宋体" w:hint="default"/>
          <w:sz w:val="25"/>
          <w:szCs w:val="25"/>
        </w:rPr>
      </w:pPr>
    </w:p>
    <w:p>
      <w:pPr>
        <w:pStyle w:val="Heading5"/>
        <w:spacing w:line="240" w:lineRule="auto"/>
        <w:ind w:right="124"/>
        <w:jc w:val="left"/>
        <w:rPr>
          <w:b w:val="0"/>
          <w:bCs w:val="0"/>
        </w:rPr>
      </w:pPr>
      <w:r>
        <w:rPr>
          <w:rFonts w:ascii="Times New Roman" w:hAnsi="Times New Roman" w:cs="Times New Roman" w:eastAsia="Times New Roman" w:hint="default"/>
        </w:rPr>
        <w:t>2</w:t>
      </w:r>
      <w:r>
        <w:rPr/>
        <w:t>、股权激励执行情况</w:t>
      </w:r>
      <w:r>
        <w:rPr>
          <w:b w:val="0"/>
          <w:bCs w:val="0"/>
        </w:rPr>
      </w:r>
    </w:p>
    <w:p>
      <w:pPr>
        <w:spacing w:line="240" w:lineRule="auto" w:before="0"/>
        <w:rPr>
          <w:rFonts w:ascii="宋体" w:hAnsi="宋体" w:cs="宋体" w:eastAsia="宋体" w:hint="default"/>
          <w:b/>
          <w:bCs/>
          <w:sz w:val="34"/>
          <w:szCs w:val="34"/>
        </w:rPr>
      </w:pPr>
    </w:p>
    <w:p>
      <w:pPr>
        <w:pStyle w:val="BodyText"/>
        <w:spacing w:line="336" w:lineRule="auto"/>
        <w:ind w:right="132" w:firstLine="47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w:t>
      </w:r>
      <w:r>
        <w:rPr>
          <w:rFonts w:ascii="Times New Roman" w:hAnsi="Times New Roman" w:cs="Times New Roman" w:eastAsia="Times New Roman" w:hint="default"/>
        </w:rPr>
        <w:t>2011</w:t>
      </w:r>
      <w:r>
        <w:rPr/>
        <w:t>年第一次临时股东大会审议通过《北京超图软件股份 </w:t>
      </w:r>
      <w:r>
        <w:rPr>
          <w:spacing w:val="-1"/>
        </w:rPr>
        <w:t>有限公司股票期权激励计划（草案修订稿）》，拟向</w:t>
      </w:r>
      <w:r>
        <w:rPr>
          <w:rFonts w:ascii="Times New Roman" w:hAnsi="Times New Roman" w:cs="Times New Roman" w:eastAsia="Times New Roman" w:hint="default"/>
          <w:spacing w:val="-1"/>
        </w:rPr>
        <w:t>114</w:t>
      </w:r>
      <w:r>
        <w:rPr>
          <w:spacing w:val="-1"/>
        </w:rPr>
        <w:t>名员工授予</w:t>
      </w:r>
      <w:r>
        <w:rPr>
          <w:rFonts w:ascii="Times New Roman" w:hAnsi="Times New Roman" w:cs="Times New Roman" w:eastAsia="Times New Roman" w:hint="default"/>
          <w:spacing w:val="-1"/>
        </w:rPr>
        <w:t>314.88</w:t>
      </w:r>
      <w:r>
        <w:rPr>
          <w:spacing w:val="-1"/>
        </w:rPr>
        <w:t>万股股票</w:t>
      </w:r>
      <w:r>
        <w:rPr>
          <w:spacing w:val="-90"/>
        </w:rPr>
        <w:t> </w:t>
      </w:r>
      <w:r>
        <w:rPr>
          <w:spacing w:val="-2"/>
        </w:rPr>
        <w:t>期权，公司董事会于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日完成了股票期权的授予，并于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7</w:t>
      </w:r>
      <w:r>
        <w:rPr>
          <w:spacing w:val="-2"/>
        </w:rPr>
        <w:t>日完成</w:t>
      </w:r>
      <w:r>
        <w:rPr>
          <w:spacing w:val="-102"/>
        </w:rPr>
        <w:t> </w:t>
      </w:r>
      <w:r>
        <w:rPr/>
        <w:t>了所涉授予</w:t>
      </w:r>
      <w:r>
        <w:rPr>
          <w:rFonts w:ascii="Times New Roman" w:hAnsi="Times New Roman" w:cs="Times New Roman" w:eastAsia="Times New Roman" w:hint="default"/>
        </w:rPr>
        <w:t>314.88</w:t>
      </w:r>
      <w:r>
        <w:rPr/>
        <w:t>万份期权的登记工作。</w:t>
      </w:r>
    </w:p>
    <w:p>
      <w:pPr>
        <w:spacing w:line="240" w:lineRule="auto" w:before="8"/>
        <w:rPr>
          <w:rFonts w:ascii="宋体" w:hAnsi="宋体" w:cs="宋体" w:eastAsia="宋体" w:hint="default"/>
          <w:sz w:val="21"/>
          <w:szCs w:val="21"/>
        </w:rPr>
      </w:pPr>
    </w:p>
    <w:p>
      <w:pPr>
        <w:pStyle w:val="Heading4"/>
        <w:spacing w:line="240" w:lineRule="auto"/>
        <w:ind w:right="124"/>
        <w:jc w:val="left"/>
        <w:rPr>
          <w:b w:val="0"/>
          <w:bCs w:val="0"/>
        </w:rPr>
      </w:pPr>
      <w:bookmarkStart w:name="_TOC_250065" w:id="23"/>
      <w:r>
        <w:rPr/>
        <w:t>（三）公司董事会审计委员会履行职责情况汇总报告</w:t>
      </w:r>
      <w:bookmarkEnd w:id="23"/>
      <w:r>
        <w:rPr>
          <w:b w:val="0"/>
          <w:bCs w:val="0"/>
        </w:rPr>
      </w:r>
    </w:p>
    <w:p>
      <w:pPr>
        <w:spacing w:line="770" w:lineRule="atLeast" w:before="113"/>
        <w:ind w:left="618" w:right="12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、审计委员会的设立</w:t>
      </w:r>
      <w:r>
        <w:rPr>
          <w:rFonts w:ascii="宋体" w:hAnsi="宋体" w:cs="宋体" w:eastAsia="宋体" w:hint="default"/>
          <w:b/>
          <w:bCs/>
          <w:w w:val="99"/>
          <w:sz w:val="24"/>
          <w:szCs w:val="24"/>
        </w:rPr>
        <w:t> </w:t>
      </w:r>
      <w:r>
        <w:rPr>
          <w:rFonts w:ascii="宋体" w:hAnsi="宋体" w:cs="宋体" w:eastAsia="宋体" w:hint="default"/>
          <w:sz w:val="24"/>
          <w:szCs w:val="24"/>
        </w:rPr>
        <w:t>公司董事会审计委员会由</w:t>
      </w:r>
      <w:r>
        <w:rPr>
          <w:rFonts w:ascii="Times New Roman" w:hAnsi="Times New Roman" w:cs="Times New Roman" w:eastAsia="Times New Roman" w:hint="default"/>
          <w:sz w:val="24"/>
          <w:szCs w:val="24"/>
        </w:rPr>
        <w:t>2</w:t>
      </w:r>
      <w:r>
        <w:rPr>
          <w:rFonts w:ascii="宋体" w:hAnsi="宋体" w:cs="宋体" w:eastAsia="宋体" w:hint="default"/>
          <w:sz w:val="24"/>
          <w:szCs w:val="24"/>
        </w:rPr>
        <w:t>名独立董事和</w:t>
      </w:r>
      <w:r>
        <w:rPr>
          <w:rFonts w:ascii="Times New Roman" w:hAnsi="Times New Roman" w:cs="Times New Roman" w:eastAsia="Times New Roman" w:hint="default"/>
          <w:sz w:val="24"/>
          <w:szCs w:val="24"/>
        </w:rPr>
        <w:t>1</w:t>
      </w:r>
      <w:r>
        <w:rPr>
          <w:rFonts w:ascii="宋体" w:hAnsi="宋体" w:cs="宋体" w:eastAsia="宋体" w:hint="default"/>
          <w:sz w:val="24"/>
          <w:szCs w:val="24"/>
        </w:rPr>
        <w:t>名其他董事组成，其中召集人由独立</w:t>
      </w:r>
    </w:p>
    <w:p>
      <w:pPr>
        <w:spacing w:after="0" w:line="770" w:lineRule="atLeast"/>
        <w:jc w:val="left"/>
        <w:rPr>
          <w:rFonts w:ascii="宋体" w:hAnsi="宋体" w:cs="宋体" w:eastAsia="宋体" w:hint="default"/>
          <w:sz w:val="24"/>
          <w:szCs w:val="24"/>
        </w:rPr>
        <w:sectPr>
          <w:footerReference w:type="default" r:id="rId29"/>
          <w:pgSz w:w="11910" w:h="16840"/>
          <w:pgMar w:footer="1173" w:header="884" w:top="1140" w:bottom="1360" w:left="1660" w:right="1280"/>
        </w:sectPr>
      </w:pPr>
    </w:p>
    <w:p>
      <w:pPr>
        <w:spacing w:line="240" w:lineRule="auto" w:before="6"/>
        <w:rPr>
          <w:rFonts w:ascii="宋体" w:hAnsi="宋体" w:cs="宋体" w:eastAsia="宋体" w:hint="default"/>
          <w:sz w:val="16"/>
          <w:szCs w:val="16"/>
        </w:rPr>
      </w:pPr>
    </w:p>
    <w:p>
      <w:pPr>
        <w:pStyle w:val="BodyText"/>
        <w:spacing w:line="240" w:lineRule="auto" w:before="26"/>
        <w:ind w:right="124"/>
        <w:jc w:val="left"/>
      </w:pPr>
      <w:r>
        <w:rPr/>
        <w:t>董事谢德仁先生担任，董云庭先生、徐立新先生担任委员。</w:t>
      </w:r>
    </w:p>
    <w:p>
      <w:pPr>
        <w:spacing w:line="750" w:lineRule="atLeast" w:before="17"/>
        <w:ind w:left="618" w:right="11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、审计委员会年度工作情况</w:t>
      </w:r>
      <w:r>
        <w:rPr>
          <w:rFonts w:ascii="宋体" w:hAnsi="宋体" w:cs="宋体" w:eastAsia="宋体" w:hint="default"/>
          <w:b/>
          <w:bCs/>
          <w:w w:val="99"/>
          <w:sz w:val="24"/>
          <w:szCs w:val="24"/>
        </w:rPr>
        <w:t> </w:t>
      </w:r>
      <w:r>
        <w:rPr>
          <w:rFonts w:ascii="宋体" w:hAnsi="宋体" w:cs="宋体" w:eastAsia="宋体" w:hint="default"/>
          <w:sz w:val="24"/>
          <w:szCs w:val="24"/>
        </w:rPr>
        <w:t>公司审计委员会的年度工作情况请查看本报告“第八节</w:t>
      </w:r>
      <w:r>
        <w:rPr>
          <w:rFonts w:ascii="宋体" w:hAnsi="宋体" w:cs="宋体" w:eastAsia="宋体" w:hint="default"/>
          <w:spacing w:val="-27"/>
          <w:sz w:val="24"/>
          <w:szCs w:val="24"/>
        </w:rPr>
        <w:t> </w:t>
      </w:r>
      <w:r>
        <w:rPr>
          <w:rFonts w:ascii="宋体" w:hAnsi="宋体" w:cs="宋体" w:eastAsia="宋体" w:hint="default"/>
          <w:spacing w:val="-4"/>
          <w:sz w:val="24"/>
          <w:szCs w:val="24"/>
        </w:rPr>
        <w:t>公司治理结构”第三项</w:t>
      </w:r>
    </w:p>
    <w:p>
      <w:pPr>
        <w:pStyle w:val="BodyText"/>
        <w:spacing w:line="240" w:lineRule="auto" w:before="154"/>
        <w:ind w:right="124"/>
        <w:jc w:val="left"/>
      </w:pPr>
      <w:r>
        <w:rPr/>
        <w:t>“董事会下设委员会工作情况”之“（一）审计委委员会”。</w:t>
      </w:r>
    </w:p>
    <w:p>
      <w:pPr>
        <w:spacing w:line="240" w:lineRule="auto" w:before="12"/>
        <w:rPr>
          <w:rFonts w:ascii="宋体" w:hAnsi="宋体" w:cs="宋体" w:eastAsia="宋体" w:hint="default"/>
          <w:sz w:val="30"/>
          <w:szCs w:val="30"/>
        </w:rPr>
      </w:pPr>
    </w:p>
    <w:p>
      <w:pPr>
        <w:pStyle w:val="Heading4"/>
        <w:spacing w:line="240" w:lineRule="auto"/>
        <w:ind w:right="124"/>
        <w:jc w:val="left"/>
        <w:rPr>
          <w:b w:val="0"/>
          <w:bCs w:val="0"/>
        </w:rPr>
      </w:pPr>
      <w:bookmarkStart w:name="_TOC_250064" w:id="24"/>
      <w:r>
        <w:rPr/>
        <w:t>（四）公司董事会薪酬与考核委员会履行职责情况汇总报告</w:t>
      </w:r>
      <w:bookmarkEnd w:id="24"/>
      <w:r>
        <w:rPr>
          <w:b w:val="0"/>
          <w:bCs w:val="0"/>
        </w:rPr>
      </w:r>
    </w:p>
    <w:p>
      <w:pPr>
        <w:spacing w:line="770" w:lineRule="atLeast" w:before="114"/>
        <w:ind w:left="618" w:right="124"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、薪酬与考核委员会的设立</w:t>
      </w:r>
      <w:r>
        <w:rPr>
          <w:rFonts w:ascii="宋体" w:hAnsi="宋体" w:cs="宋体" w:eastAsia="宋体" w:hint="default"/>
          <w:b/>
          <w:bCs/>
          <w:w w:val="99"/>
          <w:sz w:val="24"/>
          <w:szCs w:val="24"/>
        </w:rPr>
        <w:t> </w:t>
      </w:r>
      <w:r>
        <w:rPr>
          <w:rFonts w:ascii="宋体" w:hAnsi="宋体" w:cs="宋体" w:eastAsia="宋体" w:hint="default"/>
          <w:sz w:val="24"/>
          <w:szCs w:val="24"/>
        </w:rPr>
        <w:t>公司董事会薪酬与考核委员会由</w:t>
      </w:r>
      <w:r>
        <w:rPr>
          <w:rFonts w:ascii="Times New Roman" w:hAnsi="Times New Roman" w:cs="Times New Roman" w:eastAsia="Times New Roman" w:hint="default"/>
          <w:sz w:val="24"/>
          <w:szCs w:val="24"/>
        </w:rPr>
        <w:t>2</w:t>
      </w:r>
      <w:r>
        <w:rPr>
          <w:rFonts w:ascii="宋体" w:hAnsi="宋体" w:cs="宋体" w:eastAsia="宋体" w:hint="default"/>
          <w:sz w:val="24"/>
          <w:szCs w:val="24"/>
        </w:rPr>
        <w:t>名独立董事和</w:t>
      </w:r>
      <w:r>
        <w:rPr>
          <w:rFonts w:ascii="Times New Roman" w:hAnsi="Times New Roman" w:cs="Times New Roman" w:eastAsia="Times New Roman" w:hint="default"/>
          <w:sz w:val="24"/>
          <w:szCs w:val="24"/>
        </w:rPr>
        <w:t>1</w:t>
      </w:r>
      <w:r>
        <w:rPr>
          <w:rFonts w:ascii="宋体" w:hAnsi="宋体" w:cs="宋体" w:eastAsia="宋体" w:hint="default"/>
          <w:sz w:val="24"/>
          <w:szCs w:val="24"/>
        </w:rPr>
        <w:t>名其他董事组成，其中召集人</w:t>
      </w:r>
    </w:p>
    <w:p>
      <w:pPr>
        <w:pStyle w:val="BodyText"/>
        <w:spacing w:line="240" w:lineRule="auto" w:before="133"/>
        <w:ind w:right="124"/>
        <w:jc w:val="left"/>
      </w:pPr>
      <w:r>
        <w:rPr/>
        <w:t>由独立董事董云庭先生担任，另有谢德仁先生、徐立新先生担任委员。</w:t>
      </w:r>
    </w:p>
    <w:p>
      <w:pPr>
        <w:spacing w:line="750" w:lineRule="atLeast" w:before="17"/>
        <w:ind w:left="618" w:right="115"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、薪酬与考核委员会年度工作情况</w:t>
      </w:r>
      <w:r>
        <w:rPr>
          <w:rFonts w:ascii="宋体" w:hAnsi="宋体" w:cs="宋体" w:eastAsia="宋体" w:hint="default"/>
          <w:b/>
          <w:bCs/>
          <w:w w:val="99"/>
          <w:sz w:val="24"/>
          <w:szCs w:val="24"/>
        </w:rPr>
        <w:t> </w:t>
      </w:r>
      <w:r>
        <w:rPr>
          <w:rFonts w:ascii="宋体" w:hAnsi="宋体" w:cs="宋体" w:eastAsia="宋体" w:hint="default"/>
          <w:sz w:val="24"/>
          <w:szCs w:val="24"/>
        </w:rPr>
        <w:t>公司审计委员会的年度工作情况请查看本报告“第八节</w:t>
      </w:r>
      <w:r>
        <w:rPr>
          <w:rFonts w:ascii="宋体" w:hAnsi="宋体" w:cs="宋体" w:eastAsia="宋体" w:hint="default"/>
          <w:spacing w:val="-27"/>
          <w:sz w:val="24"/>
          <w:szCs w:val="24"/>
        </w:rPr>
        <w:t> </w:t>
      </w:r>
      <w:r>
        <w:rPr>
          <w:rFonts w:ascii="宋体" w:hAnsi="宋体" w:cs="宋体" w:eastAsia="宋体" w:hint="default"/>
          <w:spacing w:val="-4"/>
          <w:sz w:val="24"/>
          <w:szCs w:val="24"/>
        </w:rPr>
        <w:t>公司治理结构”第三项</w:t>
      </w:r>
    </w:p>
    <w:p>
      <w:pPr>
        <w:pStyle w:val="BodyText"/>
        <w:spacing w:line="240" w:lineRule="auto" w:before="154"/>
        <w:ind w:right="124"/>
        <w:jc w:val="left"/>
      </w:pPr>
      <w:r>
        <w:rPr/>
        <w:t>“董事会下设委员会工作情况”之“（二）薪酬与考核委员会委委员会”。</w:t>
      </w:r>
    </w:p>
    <w:p>
      <w:pPr>
        <w:spacing w:line="240" w:lineRule="auto" w:before="8"/>
        <w:rPr>
          <w:rFonts w:ascii="宋体" w:hAnsi="宋体" w:cs="宋体" w:eastAsia="宋体" w:hint="default"/>
          <w:sz w:val="30"/>
          <w:szCs w:val="30"/>
        </w:rPr>
      </w:pPr>
    </w:p>
    <w:p>
      <w:pPr>
        <w:pStyle w:val="Heading3"/>
        <w:spacing w:line="240" w:lineRule="auto"/>
        <w:ind w:right="124"/>
        <w:jc w:val="left"/>
        <w:rPr>
          <w:b w:val="0"/>
          <w:bCs w:val="0"/>
        </w:rPr>
      </w:pPr>
      <w:bookmarkStart w:name="_TOC_250063" w:id="25"/>
      <w:r>
        <w:rPr/>
        <w:t>五、利润分配或资本公积转增股本预案</w:t>
      </w:r>
      <w:bookmarkEnd w:id="25"/>
      <w:r>
        <w:rPr>
          <w:b w:val="0"/>
          <w:bCs w:val="0"/>
        </w:rPr>
      </w:r>
    </w:p>
    <w:p>
      <w:pPr>
        <w:spacing w:line="240" w:lineRule="auto" w:before="11"/>
        <w:rPr>
          <w:rFonts w:ascii="宋体" w:hAnsi="宋体" w:cs="宋体" w:eastAsia="宋体" w:hint="default"/>
          <w:b/>
          <w:bCs/>
          <w:sz w:val="41"/>
          <w:szCs w:val="41"/>
        </w:rPr>
      </w:pPr>
    </w:p>
    <w:p>
      <w:pPr>
        <w:pStyle w:val="Heading4"/>
        <w:spacing w:line="240" w:lineRule="auto"/>
        <w:ind w:right="124"/>
        <w:jc w:val="left"/>
        <w:rPr>
          <w:b w:val="0"/>
          <w:bCs w:val="0"/>
        </w:rPr>
      </w:pPr>
      <w:bookmarkStart w:name="_TOC_250062" w:id="26"/>
      <w:r>
        <w:rPr/>
        <w:t>（一）</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年利润分配预案</w:t>
      </w:r>
      <w:bookmarkEnd w:id="26"/>
      <w:r>
        <w:rPr>
          <w:b w:val="0"/>
          <w:bCs w:val="0"/>
        </w:rPr>
      </w:r>
    </w:p>
    <w:p>
      <w:pPr>
        <w:spacing w:line="240" w:lineRule="auto" w:before="11"/>
        <w:rPr>
          <w:rFonts w:ascii="宋体" w:hAnsi="宋体" w:cs="宋体" w:eastAsia="宋体" w:hint="default"/>
          <w:b/>
          <w:bCs/>
          <w:sz w:val="38"/>
          <w:szCs w:val="38"/>
        </w:rPr>
      </w:pPr>
    </w:p>
    <w:p>
      <w:pPr>
        <w:pStyle w:val="BodyText"/>
        <w:spacing w:line="240" w:lineRule="auto"/>
        <w:ind w:left="618" w:right="124"/>
        <w:jc w:val="left"/>
      </w:pPr>
      <w:r>
        <w:rPr/>
        <w:t>（一）公司利润分配政策</w:t>
      </w:r>
    </w:p>
    <w:p>
      <w:pPr>
        <w:pStyle w:val="BodyText"/>
        <w:spacing w:line="240" w:lineRule="auto" w:before="152"/>
        <w:ind w:left="618" w:right="115"/>
        <w:jc w:val="left"/>
      </w:pPr>
      <w:r>
        <w:rPr>
          <w:spacing w:val="8"/>
        </w:rPr>
        <w:t>经京都天华会计师事务所有限公司审计，公司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37"/>
        </w:rPr>
        <w:t> </w:t>
      </w:r>
      <w:r>
        <w:rPr>
          <w:spacing w:val="8"/>
        </w:rPr>
        <w:t>年度母公司实现净利润</w:t>
      </w:r>
    </w:p>
    <w:p>
      <w:pPr>
        <w:pStyle w:val="BodyText"/>
        <w:spacing w:line="240" w:lineRule="auto" w:before="135"/>
        <w:ind w:right="0"/>
        <w:jc w:val="left"/>
      </w:pPr>
      <w:r>
        <w:rPr>
          <w:rFonts w:ascii="Times New Roman" w:hAnsi="Times New Roman" w:cs="Times New Roman" w:eastAsia="Times New Roman" w:hint="default"/>
        </w:rPr>
        <w:t>41,779,333.72</w:t>
      </w:r>
      <w:r>
        <w:rPr>
          <w:rFonts w:ascii="Times New Roman" w:hAnsi="Times New Roman" w:cs="Times New Roman" w:eastAsia="Times New Roman" w:hint="default"/>
          <w:spacing w:val="9"/>
        </w:rPr>
        <w:t> </w:t>
      </w:r>
      <w:r>
        <w:rPr/>
        <w:t>元，提取盈余公积</w:t>
      </w:r>
      <w:r>
        <w:rPr>
          <w:spacing w:val="-51"/>
        </w:rPr>
        <w:t> </w:t>
      </w:r>
      <w:r>
        <w:rPr>
          <w:rFonts w:ascii="Times New Roman" w:hAnsi="Times New Roman" w:cs="Times New Roman" w:eastAsia="Times New Roman" w:hint="default"/>
        </w:rPr>
        <w:t>4,177,933.37</w:t>
      </w:r>
      <w:r>
        <w:rPr>
          <w:rFonts w:ascii="Times New Roman" w:hAnsi="Times New Roman" w:cs="Times New Roman" w:eastAsia="Times New Roman" w:hint="default"/>
          <w:spacing w:val="12"/>
        </w:rPr>
        <w:t> </w:t>
      </w:r>
      <w:r>
        <w:rPr/>
        <w:t>元，余下未分配利润</w:t>
      </w:r>
      <w:r>
        <w:rPr>
          <w:spacing w:val="-51"/>
        </w:rPr>
        <w:t> </w:t>
      </w:r>
      <w:r>
        <w:rPr>
          <w:rFonts w:ascii="Times New Roman" w:hAnsi="Times New Roman" w:cs="Times New Roman" w:eastAsia="Times New Roman" w:hint="default"/>
        </w:rPr>
        <w:t>37,601,400.35</w:t>
      </w:r>
      <w:r>
        <w:rPr>
          <w:rFonts w:ascii="Times New Roman" w:hAnsi="Times New Roman" w:cs="Times New Roman" w:eastAsia="Times New Roman" w:hint="default"/>
          <w:spacing w:val="10"/>
        </w:rPr>
        <w:t> </w:t>
      </w:r>
      <w:r>
        <w:rPr/>
        <w:t>加</w:t>
      </w:r>
    </w:p>
    <w:p>
      <w:pPr>
        <w:pStyle w:val="BodyText"/>
        <w:spacing w:line="240" w:lineRule="auto" w:before="133"/>
        <w:ind w:right="0"/>
        <w:jc w:val="left"/>
        <w:rPr>
          <w:rFonts w:ascii="Times New Roman" w:hAnsi="Times New Roman" w:cs="Times New Roman" w:eastAsia="Times New Roman" w:hint="default"/>
        </w:rPr>
      </w:pPr>
      <w:r>
        <w:rPr/>
        <w:t>上年初未分配利润</w:t>
      </w:r>
      <w:r>
        <w:rPr>
          <w:spacing w:val="-65"/>
        </w:rPr>
        <w:t> </w:t>
      </w:r>
      <w:r>
        <w:rPr>
          <w:rFonts w:ascii="Times New Roman" w:hAnsi="Times New Roman" w:cs="Times New Roman" w:eastAsia="Times New Roman" w:hint="default"/>
        </w:rPr>
        <w:t>70,654,803.96</w:t>
      </w:r>
      <w:r>
        <w:rPr>
          <w:rFonts w:ascii="Times New Roman" w:hAnsi="Times New Roman" w:cs="Times New Roman" w:eastAsia="Times New Roman" w:hint="default"/>
          <w:spacing w:val="-4"/>
        </w:rPr>
        <w:t> </w:t>
      </w:r>
      <w:r>
        <w:rPr/>
        <w:t>元，减去报告期内已实施的利润分配</w:t>
      </w:r>
      <w:r>
        <w:rPr>
          <w:spacing w:val="-63"/>
        </w:rPr>
        <w:t> </w:t>
      </w:r>
      <w:r>
        <w:rPr>
          <w:rFonts w:ascii="Times New Roman" w:hAnsi="Times New Roman" w:cs="Times New Roman" w:eastAsia="Times New Roman" w:hint="default"/>
        </w:rPr>
        <w:t>15,000,000.00</w:t>
      </w:r>
    </w:p>
    <w:p>
      <w:pPr>
        <w:pStyle w:val="BodyText"/>
        <w:spacing w:line="240" w:lineRule="auto" w:before="135"/>
        <w:ind w:right="124"/>
        <w:jc w:val="left"/>
      </w:pPr>
      <w:r>
        <w:rPr/>
        <w:t>元，本年度可供分配利润为</w:t>
      </w:r>
      <w:r>
        <w:rPr>
          <w:spacing w:val="-60"/>
        </w:rPr>
        <w:t> </w:t>
      </w:r>
      <w:r>
        <w:rPr>
          <w:rFonts w:ascii="Times New Roman" w:hAnsi="Times New Roman" w:cs="Times New Roman" w:eastAsia="Times New Roman" w:hint="default"/>
        </w:rPr>
        <w:t>93,256,204.31 </w:t>
      </w:r>
      <w:r>
        <w:rPr/>
        <w:t>元。</w:t>
      </w:r>
    </w:p>
    <w:p>
      <w:pPr>
        <w:pStyle w:val="BodyText"/>
        <w:spacing w:line="348" w:lineRule="auto" w:before="133"/>
        <w:ind w:right="137"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年度利润分配预案如下：根据公司生产经营情况和现金流状况，公司总部 办公大楼建设、新产品研发及新业务模式探索尚需较大流动资金的要求，结合在建</w:t>
      </w:r>
      <w:r>
        <w:rPr>
          <w:spacing w:val="-77"/>
        </w:rPr>
        <w:t> </w:t>
      </w:r>
      <w:r>
        <w:rPr>
          <w:spacing w:val="-77"/>
        </w:rPr>
      </w:r>
      <w:r>
        <w:rPr/>
        <w:t>项目建设资金需求及未来发展，公司董事会决定暂不分红、不送股、不转增。</w:t>
      </w:r>
    </w:p>
    <w:p>
      <w:pPr>
        <w:spacing w:after="0" w:line="348" w:lineRule="auto"/>
        <w:jc w:val="both"/>
        <w:sectPr>
          <w:footerReference w:type="default" r:id="rId30"/>
          <w:pgSz w:w="11910" w:h="16840"/>
          <w:pgMar w:footer="1173" w:header="884" w:top="1140" w:bottom="1360" w:left="1660" w:right="1280"/>
          <w:pgNumType w:start="51"/>
        </w:sectPr>
      </w:pPr>
    </w:p>
    <w:p>
      <w:pPr>
        <w:spacing w:line="240" w:lineRule="auto" w:before="11"/>
        <w:rPr>
          <w:rFonts w:ascii="宋体" w:hAnsi="宋体" w:cs="宋体" w:eastAsia="宋体" w:hint="default"/>
          <w:sz w:val="16"/>
          <w:szCs w:val="16"/>
        </w:rPr>
      </w:pPr>
    </w:p>
    <w:p>
      <w:pPr>
        <w:pStyle w:val="Heading4"/>
        <w:spacing w:line="240" w:lineRule="auto" w:before="14"/>
        <w:ind w:left="398" w:right="102"/>
        <w:jc w:val="left"/>
        <w:rPr>
          <w:b w:val="0"/>
          <w:bCs w:val="0"/>
        </w:rPr>
      </w:pPr>
      <w:bookmarkStart w:name="_TOC_250061" w:id="27"/>
      <w:r>
        <w:rPr/>
        <w:t>（二）公司利润分配政策和前三年利润分配情况</w:t>
      </w:r>
      <w:bookmarkEnd w:id="27"/>
      <w:r>
        <w:rPr>
          <w:b w:val="0"/>
          <w:bCs w:val="0"/>
        </w:rPr>
      </w:r>
    </w:p>
    <w:p>
      <w:pPr>
        <w:spacing w:line="240" w:lineRule="auto" w:before="6"/>
        <w:rPr>
          <w:rFonts w:ascii="宋体" w:hAnsi="宋体" w:cs="宋体" w:eastAsia="宋体" w:hint="default"/>
          <w:b/>
          <w:bCs/>
          <w:sz w:val="40"/>
          <w:szCs w:val="40"/>
        </w:rPr>
      </w:pPr>
    </w:p>
    <w:p>
      <w:pPr>
        <w:pStyle w:val="BodyText"/>
        <w:spacing w:line="357" w:lineRule="auto"/>
        <w:ind w:left="398" w:right="234" w:firstLine="383"/>
        <w:jc w:val="both"/>
        <w:rPr>
          <w:sz w:val="21"/>
          <w:szCs w:val="21"/>
        </w:rPr>
      </w:pPr>
      <w:r>
        <w:rPr>
          <w:spacing w:val="-3"/>
        </w:rPr>
        <w:t>根据公司章程第一百五十五条的规定，公司利润分配政策为：按照股东持有的股</w:t>
      </w:r>
      <w:r>
        <w:rPr/>
        <w:t> 份比例分配利润；可以采取现金或者股票方式分配利润；重视对投资者的合理投资</w:t>
      </w:r>
      <w:r>
        <w:rPr>
          <w:spacing w:val="-77"/>
        </w:rPr>
        <w:t> </w:t>
      </w:r>
      <w:r>
        <w:rPr>
          <w:spacing w:val="-77"/>
        </w:rPr>
      </w:r>
      <w:r>
        <w:rPr/>
        <w:t>回报，每连续三年以现金方式累计分配的利润不少于该三年实现的年均可分配利润</w:t>
      </w:r>
      <w:r>
        <w:rPr>
          <w:spacing w:val="-78"/>
        </w:rPr>
        <w:t> </w:t>
      </w:r>
      <w:r>
        <w:rPr>
          <w:spacing w:val="-78"/>
        </w:rPr>
      </w:r>
      <w:r>
        <w:rPr/>
        <w:t>的百分之三十；董事会未做出现金利润分配预案的，应当在定期报告中披露原因，</w:t>
      </w:r>
      <w:r>
        <w:rPr>
          <w:spacing w:val="-76"/>
        </w:rPr>
        <w:t> </w:t>
      </w:r>
      <w:r>
        <w:rPr>
          <w:spacing w:val="-76"/>
        </w:rPr>
      </w:r>
      <w:r>
        <w:rPr/>
        <w:t>独立董事应当对此发表独立意见</w:t>
      </w:r>
      <w:r>
        <w:rPr>
          <w:sz w:val="21"/>
          <w:szCs w:val="21"/>
        </w:rPr>
        <w:t>。</w:t>
      </w:r>
    </w:p>
    <w:p>
      <w:pPr>
        <w:pStyle w:val="BodyText"/>
        <w:spacing w:line="240" w:lineRule="auto" w:before="34"/>
        <w:ind w:left="781" w:right="102"/>
        <w:jc w:val="left"/>
      </w:pPr>
      <w:r>
        <w:rPr/>
        <w:t>公司近三年的利润分配情况如下表：</w:t>
      </w:r>
    </w:p>
    <w:p>
      <w:pPr>
        <w:spacing w:before="160"/>
        <w:ind w:left="0" w:right="232" w:firstLine="0"/>
        <w:jc w:val="right"/>
        <w:rPr>
          <w:rFonts w:ascii="宋体" w:hAnsi="宋体" w:cs="宋体" w:eastAsia="宋体" w:hint="default"/>
          <w:sz w:val="21"/>
          <w:szCs w:val="21"/>
        </w:rPr>
      </w:pPr>
      <w:r>
        <w:rPr>
          <w:rFonts w:ascii="宋体" w:hAnsi="宋体" w:cs="宋体" w:eastAsia="宋体" w:hint="default"/>
          <w:b/>
          <w:bCs/>
          <w:sz w:val="21"/>
          <w:szCs w:val="21"/>
        </w:rPr>
        <w:t>单位：元</w:t>
      </w:r>
      <w:r>
        <w:rPr>
          <w:rFonts w:ascii="宋体" w:hAnsi="宋体" w:cs="宋体" w:eastAsia="宋体" w:hint="default"/>
          <w:sz w:val="21"/>
          <w:szCs w:val="21"/>
        </w:rPr>
      </w:r>
    </w:p>
    <w:p>
      <w:pPr>
        <w:spacing w:line="240" w:lineRule="auto" w:before="4"/>
        <w:rPr>
          <w:rFonts w:ascii="宋体" w:hAnsi="宋体" w:cs="宋体" w:eastAsia="宋体" w:hint="default"/>
          <w:b/>
          <w:bCs/>
          <w:sz w:val="2"/>
          <w:szCs w:val="2"/>
        </w:rPr>
      </w:pPr>
    </w:p>
    <w:tbl>
      <w:tblPr>
        <w:tblW w:w="0" w:type="auto"/>
        <w:jc w:val="left"/>
        <w:tblInd w:w="100" w:type="dxa"/>
        <w:tblLayout w:type="fixed"/>
        <w:tblCellMar>
          <w:top w:w="0" w:type="dxa"/>
          <w:left w:w="0" w:type="dxa"/>
          <w:bottom w:w="0" w:type="dxa"/>
          <w:right w:w="0" w:type="dxa"/>
        </w:tblCellMar>
        <w:tblLook w:val="01E0"/>
      </w:tblPr>
      <w:tblGrid>
        <w:gridCol w:w="655"/>
        <w:gridCol w:w="3740"/>
        <w:gridCol w:w="1421"/>
        <w:gridCol w:w="1558"/>
        <w:gridCol w:w="1558"/>
      </w:tblGrid>
      <w:tr>
        <w:trPr>
          <w:trHeight w:val="732" w:hRule="exact"/>
        </w:trPr>
        <w:tc>
          <w:tcPr>
            <w:tcW w:w="65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b/>
                <w:bCs/>
                <w:sz w:val="21"/>
                <w:szCs w:val="21"/>
              </w:rPr>
              <w:t>年度</w:t>
            </w:r>
            <w:r>
              <w:rPr>
                <w:rFonts w:ascii="宋体" w:hAnsi="宋体" w:cs="宋体" w:eastAsia="宋体" w:hint="default"/>
                <w:sz w:val="21"/>
                <w:szCs w:val="21"/>
              </w:rPr>
            </w:r>
          </w:p>
        </w:tc>
        <w:tc>
          <w:tcPr>
            <w:tcW w:w="37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b/>
                <w:bCs/>
                <w:sz w:val="21"/>
                <w:szCs w:val="21"/>
              </w:rPr>
              <w:t>利润分配方案</w:t>
            </w:r>
            <w:r>
              <w:rPr>
                <w:rFonts w:ascii="宋体" w:hAnsi="宋体" w:cs="宋体" w:eastAsia="宋体" w:hint="default"/>
                <w:sz w:val="21"/>
                <w:szCs w:val="21"/>
              </w:rPr>
            </w:r>
          </w:p>
        </w:tc>
        <w:tc>
          <w:tcPr>
            <w:tcW w:w="142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77"/>
              <w:ind w:right="191" w:firstLine="45"/>
              <w:jc w:val="left"/>
              <w:rPr>
                <w:rFonts w:ascii="宋体" w:hAnsi="宋体" w:cs="宋体" w:eastAsia="宋体" w:hint="default"/>
                <w:sz w:val="21"/>
                <w:szCs w:val="21"/>
              </w:rPr>
            </w:pPr>
            <w:r>
              <w:rPr>
                <w:rFonts w:ascii="宋体" w:hAnsi="宋体" w:cs="宋体" w:eastAsia="宋体" w:hint="default"/>
                <w:b/>
                <w:bCs/>
                <w:sz w:val="21"/>
                <w:szCs w:val="21"/>
              </w:rPr>
              <w:t>现</w:t>
            </w:r>
            <w:r>
              <w:rPr>
                <w:rFonts w:ascii="宋体" w:hAnsi="宋体" w:cs="宋体" w:eastAsia="宋体" w:hint="default"/>
                <w:b/>
                <w:bCs/>
                <w:spacing w:val="-78"/>
                <w:sz w:val="21"/>
                <w:szCs w:val="21"/>
              </w:rPr>
              <w:t> </w:t>
            </w:r>
            <w:r>
              <w:rPr>
                <w:rFonts w:ascii="宋体" w:hAnsi="宋体" w:cs="宋体" w:eastAsia="宋体" w:hint="default"/>
                <w:b/>
                <w:bCs/>
                <w:sz w:val="21"/>
                <w:szCs w:val="21"/>
              </w:rPr>
              <w:t>金</w:t>
            </w:r>
            <w:r>
              <w:rPr>
                <w:rFonts w:ascii="宋体" w:hAnsi="宋体" w:cs="宋体" w:eastAsia="宋体" w:hint="default"/>
                <w:b/>
                <w:bCs/>
                <w:spacing w:val="-78"/>
                <w:sz w:val="21"/>
                <w:szCs w:val="21"/>
              </w:rPr>
              <w:t> </w:t>
            </w:r>
            <w:r>
              <w:rPr>
                <w:rFonts w:ascii="宋体" w:hAnsi="宋体" w:cs="宋体" w:eastAsia="宋体" w:hint="default"/>
                <w:b/>
                <w:bCs/>
                <w:sz w:val="21"/>
                <w:szCs w:val="21"/>
              </w:rPr>
              <w:t>分</w:t>
            </w:r>
            <w:r>
              <w:rPr>
                <w:rFonts w:ascii="宋体" w:hAnsi="宋体" w:cs="宋体" w:eastAsia="宋体" w:hint="default"/>
                <w:b/>
                <w:bCs/>
                <w:spacing w:val="-80"/>
                <w:sz w:val="21"/>
                <w:szCs w:val="21"/>
              </w:rPr>
              <w:t> </w:t>
            </w:r>
            <w:r>
              <w:rPr>
                <w:rFonts w:ascii="宋体" w:hAnsi="宋体" w:cs="宋体" w:eastAsia="宋体" w:hint="default"/>
                <w:b/>
                <w:bCs/>
                <w:sz w:val="21"/>
                <w:szCs w:val="21"/>
              </w:rPr>
              <w:t>红</w:t>
            </w:r>
            <w:r>
              <w:rPr>
                <w:rFonts w:ascii="宋体" w:hAnsi="宋体" w:cs="宋体" w:eastAsia="宋体" w:hint="default"/>
                <w:b/>
                <w:bCs/>
                <w:spacing w:val="-78"/>
                <w:sz w:val="21"/>
                <w:szCs w:val="21"/>
              </w:rPr>
              <w:t> </w:t>
            </w:r>
            <w:r>
              <w:rPr>
                <w:rFonts w:ascii="宋体" w:hAnsi="宋体" w:cs="宋体" w:eastAsia="宋体" w:hint="default"/>
                <w:b/>
                <w:bCs/>
                <w:sz w:val="21"/>
                <w:szCs w:val="21"/>
              </w:rPr>
              <w:t>金</w:t>
            </w:r>
            <w:r>
              <w:rPr>
                <w:rFonts w:ascii="宋体" w:hAnsi="宋体" w:cs="宋体" w:eastAsia="宋体" w:hint="default"/>
                <w:b/>
                <w:bCs/>
                <w:w w:val="100"/>
                <w:sz w:val="21"/>
                <w:szCs w:val="21"/>
              </w:rPr>
              <w:t> </w:t>
            </w:r>
            <w:r>
              <w:rPr>
                <w:rFonts w:ascii="宋体" w:hAnsi="宋体" w:cs="宋体" w:eastAsia="宋体" w:hint="default"/>
                <w:b/>
                <w:bCs/>
                <w:sz w:val="21"/>
                <w:szCs w:val="21"/>
              </w:rPr>
              <w:t>额（含税）</w:t>
            </w:r>
            <w:r>
              <w:rPr>
                <w:rFonts w:ascii="宋体" w:hAnsi="宋体" w:cs="宋体" w:eastAsia="宋体" w:hint="default"/>
                <w:sz w:val="21"/>
                <w:szCs w:val="21"/>
              </w:rPr>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77"/>
              <w:ind w:right="172" w:firstLine="84"/>
              <w:jc w:val="left"/>
              <w:rPr>
                <w:rFonts w:ascii="宋体" w:hAnsi="宋体" w:cs="宋体" w:eastAsia="宋体" w:hint="default"/>
                <w:sz w:val="21"/>
                <w:szCs w:val="21"/>
              </w:rPr>
            </w:pPr>
            <w:r>
              <w:rPr>
                <w:rFonts w:ascii="宋体" w:hAnsi="宋体" w:cs="宋体" w:eastAsia="宋体" w:hint="default"/>
                <w:b/>
                <w:bCs/>
                <w:spacing w:val="2"/>
                <w:sz w:val="21"/>
                <w:szCs w:val="21"/>
              </w:rPr>
              <w:t>分红年度的净</w:t>
            </w:r>
            <w:r>
              <w:rPr>
                <w:rFonts w:ascii="宋体" w:hAnsi="宋体" w:cs="宋体" w:eastAsia="宋体" w:hint="default"/>
                <w:b/>
                <w:bCs/>
                <w:w w:val="100"/>
                <w:sz w:val="21"/>
                <w:szCs w:val="21"/>
              </w:rPr>
              <w:t> </w:t>
            </w:r>
            <w:r>
              <w:rPr>
                <w:rFonts w:ascii="宋体" w:hAnsi="宋体" w:cs="宋体" w:eastAsia="宋体" w:hint="default"/>
                <w:b/>
                <w:bCs/>
                <w:sz w:val="21"/>
                <w:szCs w:val="21"/>
              </w:rPr>
              <w:t>利润</w:t>
            </w:r>
            <w:r>
              <w:rPr>
                <w:rFonts w:ascii="宋体" w:hAnsi="宋体" w:cs="宋体" w:eastAsia="宋体" w:hint="default"/>
                <w:sz w:val="21"/>
                <w:szCs w:val="21"/>
              </w:rPr>
            </w:r>
          </w:p>
        </w:tc>
        <w:tc>
          <w:tcPr>
            <w:tcW w:w="1558"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77"/>
              <w:ind w:left="-1" w:right="155" w:firstLine="108"/>
              <w:jc w:val="left"/>
              <w:rPr>
                <w:rFonts w:ascii="宋体" w:hAnsi="宋体" w:cs="宋体" w:eastAsia="宋体" w:hint="default"/>
                <w:sz w:val="21"/>
                <w:szCs w:val="21"/>
              </w:rPr>
            </w:pPr>
            <w:r>
              <w:rPr>
                <w:rFonts w:ascii="宋体" w:hAnsi="宋体" w:cs="宋体" w:eastAsia="宋体" w:hint="default"/>
                <w:b/>
                <w:bCs/>
                <w:spacing w:val="33"/>
                <w:sz w:val="21"/>
                <w:szCs w:val="21"/>
              </w:rPr>
              <w:t>占分红年度</w:t>
            </w:r>
            <w:r>
              <w:rPr>
                <w:rFonts w:ascii="宋体" w:hAnsi="宋体" w:cs="宋体" w:eastAsia="宋体" w:hint="default"/>
                <w:b/>
                <w:bCs/>
                <w:spacing w:val="-63"/>
                <w:sz w:val="21"/>
                <w:szCs w:val="21"/>
              </w:rPr>
              <w:t> </w:t>
            </w:r>
            <w:r>
              <w:rPr>
                <w:rFonts w:ascii="宋体" w:hAnsi="宋体" w:cs="宋体" w:eastAsia="宋体" w:hint="default"/>
                <w:b/>
                <w:bCs/>
                <w:sz w:val="21"/>
                <w:szCs w:val="21"/>
              </w:rPr>
              <w:t>净利润比率</w:t>
            </w:r>
            <w:r>
              <w:rPr>
                <w:rFonts w:ascii="宋体" w:hAnsi="宋体" w:cs="宋体" w:eastAsia="宋体" w:hint="default"/>
                <w:sz w:val="21"/>
                <w:szCs w:val="21"/>
              </w:rPr>
            </w:r>
          </w:p>
        </w:tc>
      </w:tr>
      <w:tr>
        <w:trPr>
          <w:trHeight w:val="1150" w:hRule="exact"/>
        </w:trPr>
        <w:tc>
          <w:tcPr>
            <w:tcW w:w="6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p>
        </w:tc>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8"/>
              <w:ind w:left="-3" w:right="193" w:firstLine="40"/>
              <w:jc w:val="both"/>
              <w:rPr>
                <w:rFonts w:ascii="宋体" w:hAnsi="宋体" w:cs="宋体" w:eastAsia="宋体" w:hint="default"/>
                <w:sz w:val="18"/>
                <w:szCs w:val="18"/>
              </w:rPr>
            </w:pPr>
            <w:r>
              <w:rPr>
                <w:rFonts w:ascii="宋体" w:hAnsi="宋体" w:cs="宋体" w:eastAsia="宋体" w:hint="default"/>
                <w:spacing w:val="-1"/>
                <w:sz w:val="18"/>
                <w:szCs w:val="18"/>
              </w:rPr>
              <w:t>以</w:t>
            </w:r>
            <w:r>
              <w:rPr>
                <w:rFonts w:ascii="Times New Roman" w:hAnsi="Times New Roman" w:cs="Times New Roman" w:eastAsia="Times New Roman" w:hint="default"/>
                <w:spacing w:val="-1"/>
                <w:sz w:val="18"/>
                <w:szCs w:val="18"/>
              </w:rPr>
              <w:t>7500</w:t>
            </w:r>
            <w:r>
              <w:rPr>
                <w:rFonts w:ascii="宋体" w:hAnsi="宋体" w:cs="宋体" w:eastAsia="宋体" w:hint="default"/>
                <w:spacing w:val="-1"/>
                <w:sz w:val="18"/>
                <w:szCs w:val="18"/>
              </w:rPr>
              <w:t>万股本为基数，每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股派发现金红利</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元（含税），另以资本公积金向全体股东每</w:t>
            </w:r>
            <w:r>
              <w:rPr>
                <w:rFonts w:ascii="Times New Roman" w:hAnsi="Times New Roman" w:cs="Times New Roman" w:eastAsia="Times New Roman" w:hint="default"/>
                <w:spacing w:val="-4"/>
                <w:sz w:val="18"/>
                <w:szCs w:val="18"/>
              </w:rPr>
              <w:t>10</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股转增</w:t>
            </w:r>
            <w:r>
              <w:rPr>
                <w:rFonts w:ascii="Times New Roman" w:hAnsi="Times New Roman" w:cs="Times New Roman" w:eastAsia="Times New Roman" w:hint="default"/>
                <w:sz w:val="18"/>
                <w:szCs w:val="18"/>
              </w:rPr>
              <w:t>6</w:t>
            </w:r>
            <w:r>
              <w:rPr>
                <w:rFonts w:ascii="宋体" w:hAnsi="宋体" w:cs="宋体" w:eastAsia="宋体" w:hint="default"/>
                <w:sz w:val="18"/>
                <w:szCs w:val="18"/>
              </w:rPr>
              <w:t>股</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51"/>
              <w:jc w:val="center"/>
              <w:rPr>
                <w:rFonts w:ascii="Times New Roman" w:hAnsi="Times New Roman" w:cs="Times New Roman" w:eastAsia="Times New Roman" w:hint="default"/>
                <w:sz w:val="18"/>
                <w:szCs w:val="18"/>
              </w:rPr>
            </w:pPr>
            <w:r>
              <w:rPr>
                <w:rFonts w:ascii="Times New Roman"/>
                <w:sz w:val="18"/>
              </w:rPr>
              <w:t>15,000,000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45,074,544.68</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07"/>
              <w:jc w:val="center"/>
              <w:rPr>
                <w:rFonts w:ascii="Times New Roman" w:hAnsi="Times New Roman" w:cs="Times New Roman" w:eastAsia="Times New Roman" w:hint="default"/>
                <w:sz w:val="18"/>
                <w:szCs w:val="18"/>
              </w:rPr>
            </w:pPr>
            <w:r>
              <w:rPr>
                <w:rFonts w:ascii="Times New Roman"/>
                <w:sz w:val="18"/>
              </w:rPr>
              <w:t>33.28%</w:t>
            </w:r>
          </w:p>
        </w:tc>
      </w:tr>
      <w:tr>
        <w:trPr>
          <w:trHeight w:val="708" w:hRule="exact"/>
        </w:trPr>
        <w:tc>
          <w:tcPr>
            <w:tcW w:w="65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7"/>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p>
        </w:tc>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3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7500</w:t>
            </w:r>
            <w:r>
              <w:rPr>
                <w:rFonts w:ascii="宋体" w:hAnsi="宋体" w:cs="宋体" w:eastAsia="宋体" w:hint="default"/>
                <w:sz w:val="18"/>
                <w:szCs w:val="18"/>
              </w:rPr>
              <w:t>万股本为基数，每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2</w:t>
            </w:r>
          </w:p>
          <w:p>
            <w:pPr>
              <w:pStyle w:val="TableParagraph"/>
              <w:spacing w:line="240" w:lineRule="auto" w:before="101"/>
              <w:ind w:left="-3" w:right="0"/>
              <w:jc w:val="left"/>
              <w:rPr>
                <w:rFonts w:ascii="宋体" w:hAnsi="宋体" w:cs="宋体" w:eastAsia="宋体" w:hint="default"/>
                <w:sz w:val="18"/>
                <w:szCs w:val="18"/>
              </w:rPr>
            </w:pPr>
            <w:r>
              <w:rPr>
                <w:rFonts w:ascii="宋体" w:hAnsi="宋体" w:cs="宋体" w:eastAsia="宋体" w:hint="default"/>
                <w:sz w:val="18"/>
                <w:szCs w:val="18"/>
              </w:rPr>
              <w:t>元（含税）</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51"/>
              <w:jc w:val="center"/>
              <w:rPr>
                <w:rFonts w:ascii="Times New Roman" w:hAnsi="Times New Roman" w:cs="Times New Roman" w:eastAsia="Times New Roman" w:hint="default"/>
                <w:sz w:val="18"/>
                <w:szCs w:val="18"/>
              </w:rPr>
            </w:pPr>
            <w:r>
              <w:rPr>
                <w:rFonts w:ascii="Times New Roman"/>
                <w:sz w:val="18"/>
              </w:rPr>
              <w:t>15,000,000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31,537,303.24</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107"/>
              <w:jc w:val="center"/>
              <w:rPr>
                <w:rFonts w:ascii="Times New Roman" w:hAnsi="Times New Roman" w:cs="Times New Roman" w:eastAsia="Times New Roman" w:hint="default"/>
                <w:sz w:val="18"/>
                <w:szCs w:val="18"/>
              </w:rPr>
            </w:pPr>
            <w:r>
              <w:rPr>
                <w:rFonts w:ascii="Times New Roman"/>
                <w:sz w:val="18"/>
              </w:rPr>
              <w:t>47.56%</w:t>
            </w:r>
          </w:p>
        </w:tc>
      </w:tr>
      <w:tr>
        <w:trPr>
          <w:trHeight w:val="351" w:hRule="exact"/>
        </w:trPr>
        <w:tc>
          <w:tcPr>
            <w:tcW w:w="655" w:type="dxa"/>
            <w:tcBorders>
              <w:top w:val="single" w:sz="6" w:space="0" w:color="000000"/>
              <w:left w:val="single" w:sz="12" w:space="0" w:color="000000"/>
              <w:bottom w:val="single" w:sz="6" w:space="0" w:color="000000"/>
              <w:right w:val="single" w:sz="6" w:space="0" w:color="000000"/>
            </w:tcBorders>
          </w:tcPr>
          <w:p>
            <w:pPr>
              <w:pStyle w:val="TableParagraph"/>
              <w:spacing w:line="217" w:lineRule="exact"/>
              <w:ind w:left="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tc>
        <w:tc>
          <w:tcPr>
            <w:tcW w:w="374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8" w:right="0"/>
              <w:jc w:val="left"/>
              <w:rPr>
                <w:rFonts w:ascii="宋体" w:hAnsi="宋体" w:cs="宋体" w:eastAsia="宋体" w:hint="default"/>
                <w:sz w:val="18"/>
                <w:szCs w:val="18"/>
              </w:rPr>
            </w:pPr>
            <w:r>
              <w:rPr>
                <w:rFonts w:ascii="宋体" w:hAnsi="宋体" w:cs="宋体" w:eastAsia="宋体" w:hint="default"/>
                <w:sz w:val="18"/>
                <w:szCs w:val="18"/>
              </w:rPr>
              <w:t>公司未上市，未分配利润。</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52"/>
              <w:jc w:val="center"/>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01" w:right="0"/>
              <w:jc w:val="left"/>
              <w:rPr>
                <w:rFonts w:ascii="Times New Roman" w:hAnsi="Times New Roman" w:cs="Times New Roman" w:eastAsia="Times New Roman" w:hint="default"/>
                <w:sz w:val="18"/>
                <w:szCs w:val="18"/>
              </w:rPr>
            </w:pPr>
            <w:r>
              <w:rPr>
                <w:rFonts w:ascii="Times New Roman"/>
                <w:sz w:val="18"/>
              </w:rPr>
              <w:t>20,210,957.01</w:t>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109"/>
              <w:jc w:val="center"/>
              <w:rPr>
                <w:rFonts w:ascii="Times New Roman" w:hAnsi="Times New Roman" w:cs="Times New Roman" w:eastAsia="Times New Roman" w:hint="default"/>
                <w:sz w:val="18"/>
                <w:szCs w:val="18"/>
              </w:rPr>
            </w:pPr>
            <w:r>
              <w:rPr>
                <w:rFonts w:ascii="Times New Roman"/>
                <w:sz w:val="18"/>
              </w:rPr>
              <w:t>0</w:t>
            </w:r>
          </w:p>
        </w:tc>
      </w:tr>
      <w:tr>
        <w:trPr>
          <w:trHeight w:val="794" w:hRule="exact"/>
        </w:trPr>
        <w:tc>
          <w:tcPr>
            <w:tcW w:w="4395"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147"/>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5"/>
              <w:ind w:left="62" w:right="236" w:firstLine="21"/>
              <w:jc w:val="center"/>
              <w:rPr>
                <w:rFonts w:ascii="宋体" w:hAnsi="宋体" w:cs="宋体" w:eastAsia="宋体" w:hint="default"/>
                <w:sz w:val="18"/>
                <w:szCs w:val="18"/>
              </w:rPr>
            </w:pPr>
            <w:r>
              <w:rPr>
                <w:rFonts w:ascii="宋体" w:hAnsi="宋体" w:cs="宋体" w:eastAsia="宋体" w:hint="default"/>
                <w:b/>
                <w:bCs/>
                <w:sz w:val="18"/>
                <w:szCs w:val="18"/>
              </w:rPr>
              <w:t>三年累计现金</w:t>
            </w:r>
            <w:r>
              <w:rPr>
                <w:rFonts w:ascii="宋体" w:hAnsi="宋体" w:cs="宋体" w:eastAsia="宋体" w:hint="default"/>
                <w:b/>
                <w:bCs/>
                <w:w w:val="99"/>
                <w:sz w:val="18"/>
                <w:szCs w:val="18"/>
              </w:rPr>
              <w:t> </w:t>
            </w:r>
            <w:r>
              <w:rPr>
                <w:rFonts w:ascii="宋体" w:hAnsi="宋体" w:cs="宋体" w:eastAsia="宋体" w:hint="default"/>
                <w:b/>
                <w:bCs/>
                <w:sz w:val="18"/>
                <w:szCs w:val="18"/>
              </w:rPr>
              <w:t>分红金额（含</w:t>
            </w:r>
            <w:r>
              <w:rPr>
                <w:rFonts w:ascii="宋体" w:hAnsi="宋体" w:cs="宋体" w:eastAsia="宋体" w:hint="default"/>
                <w:sz w:val="18"/>
                <w:szCs w:val="18"/>
              </w:rPr>
            </w:r>
          </w:p>
          <w:p>
            <w:pPr>
              <w:pStyle w:val="TableParagraph"/>
              <w:spacing w:line="212" w:lineRule="exact"/>
              <w:ind w:right="190"/>
              <w:jc w:val="center"/>
              <w:rPr>
                <w:rFonts w:ascii="宋体" w:hAnsi="宋体" w:cs="宋体" w:eastAsia="宋体" w:hint="default"/>
                <w:sz w:val="18"/>
                <w:szCs w:val="18"/>
              </w:rPr>
            </w:pPr>
            <w:r>
              <w:rPr>
                <w:rFonts w:ascii="宋体" w:hAnsi="宋体" w:cs="宋体" w:eastAsia="宋体" w:hint="default"/>
                <w:b/>
                <w:bCs/>
                <w:sz w:val="18"/>
                <w:szCs w:val="18"/>
              </w:rPr>
              <w:t>税）</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321" w:right="191" w:hanging="236"/>
              <w:jc w:val="left"/>
              <w:rPr>
                <w:rFonts w:ascii="宋体" w:hAnsi="宋体" w:cs="宋体" w:eastAsia="宋体" w:hint="default"/>
                <w:sz w:val="18"/>
                <w:szCs w:val="18"/>
              </w:rPr>
            </w:pPr>
            <w:r>
              <w:rPr>
                <w:rFonts w:ascii="宋体" w:hAnsi="宋体" w:cs="宋体" w:eastAsia="宋体" w:hint="default"/>
                <w:b/>
                <w:bCs/>
                <w:sz w:val="18"/>
                <w:szCs w:val="18"/>
              </w:rPr>
              <w:t>最近三年平均年</w:t>
            </w:r>
            <w:r>
              <w:rPr>
                <w:rFonts w:ascii="宋体" w:hAnsi="宋体" w:cs="宋体" w:eastAsia="宋体" w:hint="default"/>
                <w:b/>
                <w:bCs/>
                <w:w w:val="99"/>
                <w:sz w:val="18"/>
                <w:szCs w:val="18"/>
              </w:rPr>
              <w:t> </w:t>
            </w:r>
            <w:r>
              <w:rPr>
                <w:rFonts w:ascii="宋体" w:hAnsi="宋体" w:cs="宋体" w:eastAsia="宋体" w:hint="default"/>
                <w:b/>
                <w:bCs/>
                <w:sz w:val="18"/>
                <w:szCs w:val="18"/>
              </w:rPr>
              <w:t>度净利润</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12" w:space="0" w:color="000000"/>
            </w:tcBorders>
          </w:tcPr>
          <w:p>
            <w:pPr>
              <w:pStyle w:val="TableParagraph"/>
              <w:spacing w:line="232" w:lineRule="exact" w:before="35"/>
              <w:ind w:left="33" w:right="236"/>
              <w:jc w:val="center"/>
              <w:rPr>
                <w:rFonts w:ascii="宋体" w:hAnsi="宋体" w:cs="宋体" w:eastAsia="宋体" w:hint="default"/>
                <w:sz w:val="18"/>
                <w:szCs w:val="18"/>
              </w:rPr>
            </w:pPr>
            <w:r>
              <w:rPr>
                <w:rFonts w:ascii="宋体" w:hAnsi="宋体" w:cs="宋体" w:eastAsia="宋体" w:hint="default"/>
                <w:b/>
                <w:bCs/>
                <w:sz w:val="18"/>
                <w:szCs w:val="18"/>
              </w:rPr>
              <w:t>占最近三年平均</w:t>
            </w:r>
            <w:r>
              <w:rPr>
                <w:rFonts w:ascii="宋体" w:hAnsi="宋体" w:cs="宋体" w:eastAsia="宋体" w:hint="default"/>
                <w:b/>
                <w:bCs/>
                <w:w w:val="99"/>
                <w:sz w:val="18"/>
                <w:szCs w:val="18"/>
              </w:rPr>
              <w:t> </w:t>
            </w:r>
            <w:r>
              <w:rPr>
                <w:rFonts w:ascii="宋体" w:hAnsi="宋体" w:cs="宋体" w:eastAsia="宋体" w:hint="default"/>
                <w:b/>
                <w:bCs/>
                <w:sz w:val="18"/>
                <w:szCs w:val="18"/>
              </w:rPr>
              <w:t>年度净利润的比</w:t>
            </w:r>
            <w:r>
              <w:rPr>
                <w:rFonts w:ascii="宋体" w:hAnsi="宋体" w:cs="宋体" w:eastAsia="宋体" w:hint="default"/>
                <w:b/>
                <w:bCs/>
                <w:w w:val="99"/>
                <w:sz w:val="18"/>
                <w:szCs w:val="18"/>
              </w:rPr>
              <w:t> </w:t>
            </w:r>
            <w:r>
              <w:rPr>
                <w:rFonts w:ascii="宋体" w:hAnsi="宋体" w:cs="宋体" w:eastAsia="宋体" w:hint="default"/>
                <w:b/>
                <w:bCs/>
                <w:sz w:val="18"/>
                <w:szCs w:val="18"/>
              </w:rPr>
              <w:t>率</w:t>
            </w:r>
            <w:r>
              <w:rPr>
                <w:rFonts w:ascii="宋体" w:hAnsi="宋体" w:cs="宋体" w:eastAsia="宋体" w:hint="default"/>
                <w:sz w:val="18"/>
                <w:szCs w:val="18"/>
              </w:rPr>
            </w:r>
          </w:p>
        </w:tc>
      </w:tr>
      <w:tr>
        <w:trPr>
          <w:trHeight w:val="574" w:hRule="exact"/>
        </w:trPr>
        <w:tc>
          <w:tcPr>
            <w:tcW w:w="4395"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8"/>
              <w:ind w:right="147"/>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4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7"/>
              <w:ind w:right="151"/>
              <w:jc w:val="center"/>
              <w:rPr>
                <w:rFonts w:ascii="Times New Roman" w:hAnsi="Times New Roman" w:cs="Times New Roman" w:eastAsia="Times New Roman" w:hint="default"/>
                <w:sz w:val="18"/>
                <w:szCs w:val="18"/>
              </w:rPr>
            </w:pPr>
            <w:r>
              <w:rPr>
                <w:rFonts w:ascii="Times New Roman"/>
                <w:sz w:val="18"/>
              </w:rPr>
              <w:t>30,000,000</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7"/>
              <w:ind w:left="201" w:right="0"/>
              <w:jc w:val="left"/>
              <w:rPr>
                <w:rFonts w:ascii="Times New Roman" w:hAnsi="Times New Roman" w:cs="Times New Roman" w:eastAsia="Times New Roman" w:hint="default"/>
                <w:sz w:val="18"/>
                <w:szCs w:val="18"/>
              </w:rPr>
            </w:pPr>
            <w:r>
              <w:rPr>
                <w:rFonts w:ascii="Times New Roman"/>
                <w:sz w:val="18"/>
              </w:rPr>
              <w:t>32,274,268.31</w:t>
            </w:r>
          </w:p>
        </w:tc>
        <w:tc>
          <w:tcPr>
            <w:tcW w:w="155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17"/>
              <w:ind w:right="107"/>
              <w:jc w:val="center"/>
              <w:rPr>
                <w:rFonts w:ascii="Times New Roman" w:hAnsi="Times New Roman" w:cs="Times New Roman" w:eastAsia="Times New Roman" w:hint="default"/>
                <w:sz w:val="18"/>
                <w:szCs w:val="18"/>
              </w:rPr>
            </w:pPr>
            <w:r>
              <w:rPr>
                <w:rFonts w:ascii="Times New Roman"/>
                <w:sz w:val="18"/>
              </w:rPr>
              <w:t>92.95%</w:t>
            </w:r>
          </w:p>
        </w:tc>
      </w:tr>
    </w:tbl>
    <w:p>
      <w:pPr>
        <w:pStyle w:val="BodyText"/>
        <w:spacing w:line="274" w:lineRule="exact"/>
        <w:ind w:left="398" w:right="102" w:firstLine="479"/>
        <w:jc w:val="left"/>
      </w:pPr>
      <w:r>
        <w:rPr/>
        <w:t>公司现金分红政策由公司董事会根据公司盈利情况以及公司未来发展情况，结</w:t>
      </w:r>
    </w:p>
    <w:p>
      <w:pPr>
        <w:pStyle w:val="BodyText"/>
        <w:spacing w:line="357" w:lineRule="auto" w:before="154"/>
        <w:ind w:left="398" w:right="102"/>
        <w:jc w:val="left"/>
      </w:pPr>
      <w:r>
        <w:rPr/>
        <w:t>合中小股东的建议和意见制定，并提请股东大会通过。公司上市以来的现金分红政</w:t>
      </w:r>
      <w:r>
        <w:rPr>
          <w:spacing w:val="-75"/>
        </w:rPr>
        <w:t> </w:t>
      </w:r>
      <w:r>
        <w:rPr>
          <w:spacing w:val="-75"/>
        </w:rPr>
      </w:r>
      <w:r>
        <w:rPr>
          <w:spacing w:val="-2"/>
        </w:rPr>
        <w:t>策符合公司章程的规定，分红标准和比例明确清晰，决策程序符合法律法规的规定，</w:t>
      </w:r>
      <w:r>
        <w:rPr>
          <w:spacing w:val="-115"/>
        </w:rPr>
        <w:t> </w:t>
      </w:r>
      <w:r>
        <w:rPr>
          <w:spacing w:val="-115"/>
        </w:rPr>
      </w:r>
      <w:r>
        <w:rPr/>
        <w:t>独立董事均充分发表了独立意见。</w:t>
      </w:r>
    </w:p>
    <w:p>
      <w:pPr>
        <w:pStyle w:val="BodyText"/>
        <w:spacing w:line="240" w:lineRule="auto" w:before="34"/>
        <w:ind w:left="878" w:right="102"/>
        <w:jc w:val="left"/>
      </w:pPr>
      <w:r>
        <w:rPr/>
        <w:t>以上分红政策均得到了有效执行。</w:t>
      </w:r>
    </w:p>
    <w:p>
      <w:pPr>
        <w:spacing w:line="240" w:lineRule="auto" w:before="2"/>
        <w:rPr>
          <w:rFonts w:ascii="宋体" w:hAnsi="宋体" w:cs="宋体" w:eastAsia="宋体" w:hint="default"/>
          <w:sz w:val="31"/>
          <w:szCs w:val="31"/>
        </w:rPr>
      </w:pPr>
    </w:p>
    <w:p>
      <w:pPr>
        <w:pStyle w:val="Heading4"/>
        <w:spacing w:line="240" w:lineRule="auto"/>
        <w:ind w:left="398" w:right="102"/>
        <w:jc w:val="left"/>
        <w:rPr>
          <w:b w:val="0"/>
          <w:bCs w:val="0"/>
        </w:rPr>
      </w:pPr>
      <w:bookmarkStart w:name="_TOC_250060" w:id="28"/>
      <w:r>
        <w:rPr/>
        <w:t>（三）公司最近三年股本具体变动情况</w:t>
      </w:r>
      <w:bookmarkEnd w:id="28"/>
      <w:r>
        <w:rPr>
          <w:b w:val="0"/>
          <w:bCs w:val="0"/>
        </w:rPr>
      </w:r>
    </w:p>
    <w:p>
      <w:pPr>
        <w:spacing w:line="770" w:lineRule="atLeast" w:before="113"/>
        <w:ind w:left="878" w:right="228"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2009 </w:t>
      </w:r>
      <w:r>
        <w:rPr>
          <w:rFonts w:ascii="宋体" w:hAnsi="宋体" w:cs="宋体" w:eastAsia="宋体" w:hint="default"/>
          <w:b/>
          <w:bCs/>
          <w:sz w:val="24"/>
          <w:szCs w:val="24"/>
        </w:rPr>
        <w:t>年股本变动情况</w:t>
      </w:r>
      <w:r>
        <w:rPr>
          <w:rFonts w:ascii="宋体" w:hAnsi="宋体" w:cs="宋体" w:eastAsia="宋体" w:hint="default"/>
          <w:b/>
          <w:bCs/>
          <w:w w:val="99"/>
          <w:sz w:val="24"/>
          <w:szCs w:val="24"/>
        </w:rPr>
        <w:t> </w:t>
      </w:r>
      <w:r>
        <w:rPr>
          <w:rFonts w:ascii="宋体" w:hAnsi="宋体" w:cs="宋体" w:eastAsia="宋体" w:hint="default"/>
          <w:spacing w:val="-3"/>
          <w:sz w:val="24"/>
          <w:szCs w:val="24"/>
        </w:rPr>
        <w:t>经中国证券监督管理委员会证监许可</w:t>
      </w:r>
      <w:r>
        <w:rPr>
          <w:rFonts w:ascii="Times New Roman" w:hAnsi="Times New Roman" w:cs="Times New Roman" w:eastAsia="Times New Roman" w:hint="default"/>
          <w:spacing w:val="-3"/>
          <w:sz w:val="24"/>
          <w:szCs w:val="24"/>
        </w:rPr>
        <w:t>[2009]1313</w:t>
      </w:r>
      <w:r>
        <w:rPr>
          <w:rFonts w:ascii="宋体" w:hAnsi="宋体" w:cs="宋体" w:eastAsia="宋体" w:hint="default"/>
          <w:spacing w:val="-3"/>
          <w:sz w:val="24"/>
          <w:szCs w:val="24"/>
        </w:rPr>
        <w:t>号文核准，本公司首次公开发行</w:t>
      </w:r>
    </w:p>
    <w:p>
      <w:pPr>
        <w:pStyle w:val="BodyText"/>
        <w:spacing w:line="336" w:lineRule="auto" w:before="136"/>
        <w:ind w:left="398" w:right="102"/>
        <w:jc w:val="left"/>
      </w:pPr>
      <w:r>
        <w:rPr>
          <w:rFonts w:ascii="Times New Roman" w:hAnsi="Times New Roman" w:cs="Times New Roman" w:eastAsia="Times New Roman" w:hint="default"/>
          <w:spacing w:val="-1"/>
        </w:rPr>
        <w:t>1,900</w:t>
      </w:r>
      <w:r>
        <w:rPr>
          <w:spacing w:val="-1"/>
        </w:rPr>
        <w:t>万股人民币普通股股票。发行采用网下向配售对象询价配售（以下简称“网下</w:t>
      </w:r>
      <w:r>
        <w:rPr>
          <w:spacing w:val="-91"/>
        </w:rPr>
        <w:t> </w:t>
      </w:r>
      <w:r>
        <w:rPr>
          <w:spacing w:val="-91"/>
        </w:rPr>
      </w:r>
      <w:r>
        <w:rPr/>
        <w:t>发行”）与网上资金申购定价发行（以下简称“网上发行”）相结合的方式，发行</w:t>
      </w:r>
    </w:p>
    <w:p>
      <w:pPr>
        <w:spacing w:after="0" w:line="336" w:lineRule="auto"/>
        <w:jc w:val="left"/>
        <w:sectPr>
          <w:pgSz w:w="11910" w:h="16840"/>
          <w:pgMar w:header="884" w:footer="1173" w:top="1140" w:bottom="1360" w:left="1400" w:right="1180"/>
        </w:sectPr>
      </w:pPr>
    </w:p>
    <w:p>
      <w:pPr>
        <w:spacing w:line="240" w:lineRule="auto" w:before="6"/>
        <w:rPr>
          <w:rFonts w:ascii="宋体" w:hAnsi="宋体" w:cs="宋体" w:eastAsia="宋体" w:hint="default"/>
          <w:sz w:val="16"/>
          <w:szCs w:val="16"/>
        </w:rPr>
      </w:pPr>
    </w:p>
    <w:p>
      <w:pPr>
        <w:pStyle w:val="BodyText"/>
        <w:spacing w:line="343" w:lineRule="auto" w:before="26"/>
        <w:ind w:right="136"/>
        <w:jc w:val="both"/>
      </w:pPr>
      <w:r>
        <w:rPr>
          <w:spacing w:val="-1"/>
        </w:rPr>
        <w:t>时间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16</w:t>
      </w:r>
      <w:r>
        <w:rPr>
          <w:spacing w:val="-1"/>
        </w:rPr>
        <w:t>日，网下配售</w:t>
      </w:r>
      <w:r>
        <w:rPr>
          <w:rFonts w:ascii="Times New Roman" w:hAnsi="Times New Roman" w:cs="Times New Roman" w:eastAsia="Times New Roman" w:hint="default"/>
          <w:spacing w:val="-1"/>
        </w:rPr>
        <w:t>380</w:t>
      </w:r>
      <w:r>
        <w:rPr>
          <w:spacing w:val="-1"/>
        </w:rPr>
        <w:t>万股，网上发行</w:t>
      </w:r>
      <w:r>
        <w:rPr>
          <w:rFonts w:ascii="Times New Roman" w:hAnsi="Times New Roman" w:cs="Times New Roman" w:eastAsia="Times New Roman" w:hint="default"/>
          <w:spacing w:val="-1"/>
        </w:rPr>
        <w:t>1,520</w:t>
      </w:r>
      <w:r>
        <w:rPr>
          <w:spacing w:val="-1"/>
        </w:rPr>
        <w:t>万股，发行价格为</w:t>
      </w:r>
      <w:r>
        <w:rPr>
          <w:rFonts w:ascii="Times New Roman" w:hAnsi="Times New Roman" w:cs="Times New Roman" w:eastAsia="Times New Roman" w:hint="default"/>
          <w:spacing w:val="-1"/>
        </w:rPr>
        <w:t>19.60</w:t>
      </w:r>
      <w:r>
        <w:rPr>
          <w:spacing w:val="-1"/>
        </w:rPr>
        <w:t>元</w:t>
      </w:r>
      <w:r>
        <w:rPr>
          <w:rFonts w:ascii="Times New Roman" w:hAnsi="Times New Roman" w:cs="Times New Roman" w:eastAsia="Times New Roman" w:hint="default"/>
          <w:spacing w:val="-1"/>
        </w:rPr>
        <w:t>/</w:t>
      </w:r>
      <w:r>
        <w:rPr>
          <w:spacing w:val="-1"/>
        </w:rPr>
        <w:t>股。发</w:t>
      </w:r>
      <w:r>
        <w:rPr>
          <w:spacing w:val="-95"/>
        </w:rPr>
        <w:t> </w:t>
      </w:r>
      <w:r>
        <w:rPr>
          <w:spacing w:val="-95"/>
        </w:rPr>
      </w:r>
      <w:r>
        <w:rPr>
          <w:spacing w:val="-1"/>
        </w:rPr>
        <w:t>行后股本总额</w:t>
      </w:r>
      <w:r>
        <w:rPr>
          <w:rFonts w:ascii="Times New Roman" w:hAnsi="Times New Roman" w:cs="Times New Roman" w:eastAsia="Times New Roman" w:hint="default"/>
          <w:spacing w:val="-1"/>
        </w:rPr>
        <w:t>7,500</w:t>
      </w:r>
      <w:r>
        <w:rPr>
          <w:spacing w:val="-1"/>
        </w:rPr>
        <w:t>万元。经深圳证券交易所《关于北京超图软件股份有限公司人民</w:t>
      </w:r>
      <w:r>
        <w:rPr>
          <w:spacing w:val="-91"/>
        </w:rPr>
        <w:t> </w:t>
      </w:r>
      <w:r>
        <w:rPr>
          <w:spacing w:val="-91"/>
        </w:rPr>
      </w:r>
      <w:r>
        <w:rPr>
          <w:spacing w:val="-6"/>
        </w:rPr>
        <w:t>币普通股股票在创业板上市的通知》（深证上</w:t>
      </w:r>
      <w:r>
        <w:rPr>
          <w:rFonts w:ascii="Times New Roman" w:hAnsi="Times New Roman" w:cs="Times New Roman" w:eastAsia="Times New Roman" w:hint="default"/>
          <w:spacing w:val="-6"/>
        </w:rPr>
        <w:t>[2009]196</w:t>
      </w:r>
      <w:r>
        <w:rPr>
          <w:spacing w:val="-6"/>
        </w:rPr>
        <w:t>号）同意，本公司发行的人民</w:t>
      </w:r>
      <w:r>
        <w:rPr>
          <w:spacing w:val="-100"/>
        </w:rPr>
        <w:t> </w:t>
      </w:r>
      <w:r>
        <w:rPr>
          <w:spacing w:val="-100"/>
        </w:rPr>
      </w:r>
      <w:r>
        <w:rPr>
          <w:spacing w:val="7"/>
        </w:rPr>
        <w:t>币普通股股票在深圳证券交易所创业板上市，股票简称“超图软件”，股票代码</w:t>
      </w:r>
      <w:r>
        <w:rPr>
          <w:spacing w:val="-102"/>
        </w:rPr>
        <w:t> </w:t>
      </w:r>
      <w:r>
        <w:rPr>
          <w:spacing w:val="-102"/>
        </w:rPr>
      </w:r>
      <w:r>
        <w:rPr/>
        <w:t>“</w:t>
      </w:r>
      <w:r>
        <w:rPr>
          <w:rFonts w:ascii="Times New Roman" w:hAnsi="Times New Roman" w:cs="Times New Roman" w:eastAsia="Times New Roman" w:hint="default"/>
        </w:rPr>
        <w:t>300036</w:t>
      </w:r>
      <w:r>
        <w:rPr/>
        <w:t>”。</w:t>
      </w:r>
    </w:p>
    <w:p>
      <w:pPr>
        <w:spacing w:line="240" w:lineRule="auto" w:before="1"/>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年股本变动情况</w:t>
      </w:r>
      <w:r>
        <w:rPr>
          <w:b w:val="0"/>
          <w:bCs w:val="0"/>
        </w:rPr>
      </w:r>
    </w:p>
    <w:p>
      <w:pPr>
        <w:spacing w:line="240" w:lineRule="auto" w:before="12"/>
        <w:rPr>
          <w:rFonts w:ascii="宋体" w:hAnsi="宋体" w:cs="宋体" w:eastAsia="宋体" w:hint="default"/>
          <w:b/>
          <w:bCs/>
          <w:sz w:val="33"/>
          <w:szCs w:val="33"/>
        </w:rPr>
      </w:pPr>
    </w:p>
    <w:p>
      <w:pPr>
        <w:pStyle w:val="BodyText"/>
        <w:spacing w:line="240" w:lineRule="auto"/>
        <w:ind w:right="0"/>
        <w:jc w:val="both"/>
      </w:pPr>
      <w:r>
        <w:rPr>
          <w:rFonts w:ascii="Times New Roman" w:hAnsi="Times New Roman" w:cs="Times New Roman" w:eastAsia="Times New Roman" w:hint="default"/>
        </w:rPr>
        <w:t>2010</w:t>
      </w:r>
      <w:r>
        <w:rPr/>
        <w:t>年公司股本未发生变动，股本总额为</w:t>
      </w:r>
      <w:r>
        <w:rPr>
          <w:rFonts w:ascii="Times New Roman" w:hAnsi="Times New Roman" w:cs="Times New Roman" w:eastAsia="Times New Roman" w:hint="default"/>
        </w:rPr>
        <w:t>7,500</w:t>
      </w:r>
      <w:r>
        <w:rPr/>
        <w:t>万股。</w:t>
      </w:r>
    </w:p>
    <w:p>
      <w:pPr>
        <w:spacing w:line="240" w:lineRule="auto" w:before="11"/>
        <w:rPr>
          <w:rFonts w:ascii="宋体" w:hAnsi="宋体" w:cs="宋体" w:eastAsia="宋体" w:hint="default"/>
          <w:sz w:val="31"/>
          <w:szCs w:val="31"/>
        </w:rPr>
      </w:pPr>
    </w:p>
    <w:p>
      <w:pPr>
        <w:pStyle w:val="Heading5"/>
        <w:spacing w:line="240" w:lineRule="auto"/>
        <w:ind w:right="0"/>
        <w:jc w:val="both"/>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年股本变动情况</w:t>
      </w:r>
      <w:r>
        <w:rPr>
          <w:b w:val="0"/>
          <w:bCs w:val="0"/>
        </w:rPr>
      </w:r>
    </w:p>
    <w:p>
      <w:pPr>
        <w:spacing w:line="240" w:lineRule="auto" w:before="0"/>
        <w:rPr>
          <w:rFonts w:ascii="宋体" w:hAnsi="宋体" w:cs="宋体" w:eastAsia="宋体" w:hint="default"/>
          <w:b/>
          <w:bCs/>
          <w:sz w:val="34"/>
          <w:szCs w:val="34"/>
        </w:rPr>
      </w:pPr>
    </w:p>
    <w:p>
      <w:pPr>
        <w:pStyle w:val="BodyText"/>
        <w:spacing w:line="240" w:lineRule="auto"/>
        <w:ind w:left="618" w:right="0"/>
        <w:jc w:val="left"/>
      </w:pPr>
      <w:r>
        <w:rPr/>
        <w:t>根据</w:t>
      </w:r>
      <w:r>
        <w:rPr>
          <w:spacing w:val="-60"/>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18 </w:t>
      </w:r>
      <w:r>
        <w:rPr/>
        <w:t>日召开的</w:t>
      </w:r>
      <w:r>
        <w:rPr>
          <w:spacing w:val="-60"/>
        </w:rPr>
        <w:t> </w:t>
      </w:r>
      <w:r>
        <w:rPr>
          <w:rFonts w:ascii="Times New Roman" w:hAnsi="Times New Roman" w:cs="Times New Roman" w:eastAsia="Times New Roman" w:hint="default"/>
        </w:rPr>
        <w:t>2010 </w:t>
      </w:r>
      <w:r>
        <w:rPr>
          <w:spacing w:val="-4"/>
        </w:rPr>
        <w:t>年度股东大会审议通过的利润分配方案，公</w:t>
      </w:r>
    </w:p>
    <w:p>
      <w:pPr>
        <w:pStyle w:val="BodyText"/>
        <w:spacing w:line="240" w:lineRule="auto" w:before="133"/>
        <w:ind w:right="0"/>
        <w:jc w:val="both"/>
      </w:pPr>
      <w:r>
        <w:rPr/>
        <w:t>司于</w:t>
      </w:r>
      <w:r>
        <w:rPr>
          <w:spacing w:val="-6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日以</w:t>
      </w:r>
      <w:r>
        <w:rPr>
          <w:spacing w:val="-6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年末总股本</w:t>
      </w:r>
      <w:r>
        <w:rPr>
          <w:spacing w:val="-61"/>
        </w:rPr>
        <w:t> </w:t>
      </w:r>
      <w:r>
        <w:rPr>
          <w:rFonts w:ascii="Times New Roman" w:hAnsi="Times New Roman" w:cs="Times New Roman" w:eastAsia="Times New Roman" w:hint="default"/>
        </w:rPr>
        <w:t>7,500</w:t>
      </w:r>
      <w:r>
        <w:rPr>
          <w:rFonts w:ascii="Times New Roman" w:hAnsi="Times New Roman" w:cs="Times New Roman" w:eastAsia="Times New Roman" w:hint="default"/>
          <w:spacing w:val="-1"/>
        </w:rPr>
        <w:t> </w:t>
      </w:r>
      <w:r>
        <w:rPr/>
        <w:t>万股为基数，以资本公积金向全体</w:t>
      </w:r>
    </w:p>
    <w:p>
      <w:pPr>
        <w:pStyle w:val="BodyText"/>
        <w:spacing w:line="240" w:lineRule="auto" w:before="135"/>
        <w:ind w:right="0"/>
        <w:jc w:val="both"/>
      </w:pPr>
      <w:r>
        <w:rPr/>
        <w:t>股东每</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63"/>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5"/>
        </w:rPr>
        <w:t>股，共转增</w:t>
      </w:r>
      <w:r>
        <w:rPr>
          <w:spacing w:val="-63"/>
        </w:rPr>
        <w:t> </w:t>
      </w:r>
      <w:r>
        <w:rPr>
          <w:rFonts w:ascii="Times New Roman" w:hAnsi="Times New Roman" w:cs="Times New Roman" w:eastAsia="Times New Roman" w:hint="default"/>
        </w:rPr>
        <w:t>4,500</w:t>
      </w:r>
      <w:r>
        <w:rPr>
          <w:rFonts w:ascii="Times New Roman" w:hAnsi="Times New Roman" w:cs="Times New Roman" w:eastAsia="Times New Roman" w:hint="default"/>
          <w:spacing w:val="-3"/>
        </w:rPr>
        <w:t> </w:t>
      </w:r>
      <w:r>
        <w:rPr/>
        <w:t>万股。转增后的股本总数为</w:t>
      </w:r>
      <w:r>
        <w:rPr>
          <w:spacing w:val="-63"/>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3"/>
        </w:rPr>
        <w:t> </w:t>
      </w:r>
      <w:r>
        <w:rPr>
          <w:spacing w:val="-5"/>
        </w:rPr>
        <w:t>万股，公司</w:t>
      </w:r>
    </w:p>
    <w:p>
      <w:pPr>
        <w:pStyle w:val="BodyText"/>
        <w:spacing w:line="240" w:lineRule="auto" w:before="133"/>
        <w:ind w:right="0"/>
        <w:jc w:val="both"/>
      </w:pPr>
      <w:r>
        <w:rPr/>
        <w:t>于</w:t>
      </w:r>
      <w:r>
        <w:rPr>
          <w:spacing w:val="-61"/>
        </w:rPr>
        <w:t> </w:t>
      </w:r>
      <w:r>
        <w:rPr>
          <w:rFonts w:ascii="Times New Roman" w:hAnsi="Times New Roman" w:cs="Times New Roman" w:eastAsia="Times New Roman" w:hint="default"/>
        </w:rPr>
        <w:t>2011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21 </w:t>
      </w:r>
      <w:r>
        <w:rPr/>
        <w:t>日完成了此次工商变更手续，并领取了新营业执照。</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bookmarkStart w:name="_TOC_250059" w:id="29"/>
      <w:r>
        <w:rPr/>
        <w:t>六、董事会内部控制责任的声明</w:t>
      </w:r>
      <w:bookmarkEnd w:id="29"/>
      <w:r>
        <w:rPr>
          <w:b w:val="0"/>
          <w:bCs w:val="0"/>
        </w:rPr>
      </w:r>
    </w:p>
    <w:p>
      <w:pPr>
        <w:spacing w:line="240" w:lineRule="auto" w:before="4"/>
        <w:rPr>
          <w:rFonts w:ascii="宋体" w:hAnsi="宋体" w:cs="宋体" w:eastAsia="宋体" w:hint="default"/>
          <w:b/>
          <w:bCs/>
          <w:sz w:val="42"/>
          <w:szCs w:val="42"/>
        </w:rPr>
      </w:pPr>
    </w:p>
    <w:p>
      <w:pPr>
        <w:pStyle w:val="BodyText"/>
        <w:spacing w:line="357" w:lineRule="auto"/>
        <w:ind w:right="132" w:firstLine="479"/>
        <w:jc w:val="both"/>
      </w:pPr>
      <w:r>
        <w:rPr/>
        <w:t>为规范经营管理，控制风险，保证经营业务活动的正常开展，公司根据《公司 </w:t>
      </w:r>
      <w:r>
        <w:rPr>
          <w:spacing w:val="-12"/>
        </w:rPr>
        <w:t>法》、《证券法》、《企业内部控制基本规范》等有关法律、法规和规章制度，结合公</w:t>
      </w:r>
      <w:r>
        <w:rPr>
          <w:spacing w:val="-99"/>
        </w:rPr>
        <w:t> </w:t>
      </w:r>
      <w:r>
        <w:rPr>
          <w:spacing w:val="-99"/>
        </w:rPr>
      </w:r>
      <w:r>
        <w:rPr/>
        <w:t>司的实际情况、自身特点和管理需要，制定了贯穿于公司生产经营各层面、各环节</w:t>
      </w:r>
      <w:r>
        <w:rPr>
          <w:spacing w:val="-72"/>
        </w:rPr>
        <w:t> </w:t>
      </w:r>
      <w:r>
        <w:rPr>
          <w:spacing w:val="-72"/>
        </w:rPr>
      </w:r>
      <w:r>
        <w:rPr/>
        <w:t>的内部控制体系，并不断完善。通过对公司各项治理制度的规范和落实，公司的治</w:t>
      </w:r>
      <w:r>
        <w:rPr>
          <w:spacing w:val="-77"/>
        </w:rPr>
        <w:t> </w:t>
      </w:r>
      <w:r>
        <w:rPr>
          <w:spacing w:val="-77"/>
        </w:rPr>
      </w:r>
      <w:r>
        <w:rPr/>
        <w:t>理水平不断提高，有效的保证了公司各项经营目标的实现。</w:t>
      </w:r>
    </w:p>
    <w:p>
      <w:pPr>
        <w:pStyle w:val="BodyText"/>
        <w:spacing w:line="357" w:lineRule="auto" w:before="36"/>
        <w:ind w:right="136" w:firstLine="479"/>
        <w:jc w:val="both"/>
      </w:pPr>
      <w:r>
        <w:rPr>
          <w:spacing w:val="-13"/>
        </w:rPr>
        <w:t>公司董事会认为公司现有的内部控制制度符合《公司法》、《证券法》、《深圳证</w:t>
      </w:r>
      <w:r>
        <w:rPr/>
        <w:t> </w:t>
      </w:r>
      <w:r>
        <w:rPr>
          <w:spacing w:val="-6"/>
        </w:rPr>
        <w:t>券交易所创业板上市规则》、《深圳证券交易所创业板上市公司规范运作指引》等有</w:t>
      </w:r>
      <w:r>
        <w:rPr>
          <w:spacing w:val="-93"/>
        </w:rPr>
        <w:t> </w:t>
      </w:r>
      <w:r>
        <w:rPr>
          <w:spacing w:val="-93"/>
        </w:rPr>
      </w:r>
      <w:r>
        <w:rPr/>
        <w:t>关法律法规的要求以及证券监管部门的要求，符合当前公司经营实际情况的需要。</w:t>
      </w:r>
      <w:r>
        <w:rPr>
          <w:spacing w:val="-77"/>
        </w:rPr>
        <w:t> </w:t>
      </w:r>
      <w:r>
        <w:rPr>
          <w:spacing w:val="-77"/>
        </w:rPr>
      </w:r>
      <w:r>
        <w:rPr/>
        <w:t>公司目前的内部控制体系能有效的防范运营风险，保证公司经营活动的有序进行，</w:t>
      </w:r>
      <w:r>
        <w:rPr>
          <w:spacing w:val="-77"/>
        </w:rPr>
        <w:t> </w:t>
      </w:r>
      <w:r>
        <w:rPr>
          <w:spacing w:val="-77"/>
        </w:rPr>
      </w:r>
      <w:r>
        <w:rPr/>
        <w:t>确保公司的财务状况能准确真实的反映公司经营情况。</w:t>
      </w:r>
    </w:p>
    <w:p>
      <w:pPr>
        <w:pStyle w:val="BodyText"/>
        <w:spacing w:line="357" w:lineRule="auto" w:before="34"/>
        <w:ind w:right="129" w:firstLine="479"/>
        <w:jc w:val="both"/>
        <w:rPr>
          <w:rFonts w:ascii="Times New Roman" w:hAnsi="Times New Roman" w:cs="Times New Roman" w:eastAsia="Times New Roman" w:hint="default"/>
        </w:rPr>
      </w:pPr>
      <w:r>
        <w:rPr/>
        <w:t>京都天华会计师事务所有限公司对公司内部控制情况进行了鉴证，其鉴证意见 </w:t>
      </w:r>
      <w:r>
        <w:rPr>
          <w:spacing w:val="-5"/>
        </w:rPr>
        <w:t>与公司的自我评价意见一致，认为公司按照《企业内部控制基本》及相关规范于</w:t>
      </w:r>
      <w:r>
        <w:rPr>
          <w:rFonts w:ascii="Times New Roman" w:hAnsi="Times New Roman" w:cs="Times New Roman" w:eastAsia="Times New Roman" w:hint="default"/>
          <w:spacing w:val="-5"/>
        </w:rPr>
        <w:t>2011</w:t>
      </w:r>
    </w:p>
    <w:p>
      <w:pPr>
        <w:spacing w:after="0" w:line="357" w:lineRule="auto"/>
        <w:jc w:val="both"/>
        <w:rPr>
          <w:rFonts w:ascii="Times New Roman" w:hAnsi="Times New Roman" w:cs="Times New Roman" w:eastAsia="Times New Roman" w:hint="default"/>
        </w:rPr>
        <w:sectPr>
          <w:footerReference w:type="default" r:id="rId31"/>
          <w:pgSz w:w="11910" w:h="16840"/>
          <w:pgMar w:footer="1173" w:header="884" w:top="1140" w:bottom="1360" w:left="1660" w:right="1280"/>
          <w:pgNumType w:start="53"/>
        </w:sectPr>
      </w:pPr>
    </w:p>
    <w:p>
      <w:pPr>
        <w:spacing w:line="240" w:lineRule="auto" w:before="8"/>
        <w:rPr>
          <w:rFonts w:ascii="Times New Roman" w:hAnsi="Times New Roman" w:cs="Times New Roman" w:eastAsia="Times New Roman" w:hint="default"/>
          <w:sz w:val="18"/>
          <w:szCs w:val="18"/>
        </w:rPr>
      </w:pPr>
    </w:p>
    <w:p>
      <w:pPr>
        <w:pStyle w:val="BodyText"/>
        <w:spacing w:line="240" w:lineRule="auto" w:before="26"/>
        <w:ind w:right="124"/>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日在所有重大方面保持了与财务报表相关的有效的内部控制。</w:t>
      </w:r>
    </w:p>
    <w:p>
      <w:pPr>
        <w:pStyle w:val="BodyText"/>
        <w:spacing w:line="336" w:lineRule="auto" w:before="135"/>
        <w:ind w:right="134" w:firstLine="479"/>
        <w:jc w:val="both"/>
      </w:pPr>
      <w:r>
        <w:rPr>
          <w:spacing w:val="-2"/>
        </w:rPr>
        <w:t>《北京超图软件股份有限公司内部控制自我评价报告》刊登在</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日的</w:t>
      </w:r>
      <w:r>
        <w:rPr/>
        <w:t> 巨潮咨询网等证监会指定信息披露网站上。</w:t>
      </w:r>
    </w:p>
    <w:p>
      <w:pPr>
        <w:spacing w:line="240" w:lineRule="auto" w:before="6"/>
        <w:rPr>
          <w:rFonts w:ascii="宋体" w:hAnsi="宋体" w:cs="宋体" w:eastAsia="宋体" w:hint="default"/>
          <w:sz w:val="23"/>
          <w:szCs w:val="23"/>
        </w:rPr>
      </w:pPr>
    </w:p>
    <w:p>
      <w:pPr>
        <w:pStyle w:val="Heading3"/>
        <w:spacing w:line="240" w:lineRule="auto"/>
        <w:ind w:right="124"/>
        <w:jc w:val="left"/>
        <w:rPr>
          <w:b w:val="0"/>
          <w:bCs w:val="0"/>
        </w:rPr>
      </w:pPr>
      <w:bookmarkStart w:name="_TOC_250058" w:id="30"/>
      <w:r>
        <w:rPr/>
        <w:t>七、内幕信息知情人管理制度的执行情况</w:t>
      </w:r>
      <w:bookmarkEnd w:id="30"/>
      <w:r>
        <w:rPr>
          <w:b w:val="0"/>
          <w:bCs w:val="0"/>
        </w:rPr>
      </w:r>
    </w:p>
    <w:p>
      <w:pPr>
        <w:spacing w:line="240" w:lineRule="auto" w:before="1"/>
        <w:rPr>
          <w:rFonts w:ascii="宋体" w:hAnsi="宋体" w:cs="宋体" w:eastAsia="宋体" w:hint="default"/>
          <w:b/>
          <w:bCs/>
          <w:sz w:val="42"/>
          <w:szCs w:val="42"/>
        </w:rPr>
      </w:pPr>
    </w:p>
    <w:p>
      <w:pPr>
        <w:pStyle w:val="BodyText"/>
        <w:spacing w:line="348" w:lineRule="auto"/>
        <w:ind w:right="131" w:firstLine="479"/>
        <w:jc w:val="both"/>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3</w:t>
      </w:r>
      <w:r>
        <w:rPr/>
        <w:t>日制定了《内幕信息知情人登记制度》，对内幕信息及内幕 信息知情人的范围管理、登记管理、保密管理以及责任追究进行了明确规定。并于</w:t>
      </w:r>
      <w:r>
        <w:rPr>
          <w:spacing w:val="-73"/>
        </w:rPr>
        <w:t> </w:t>
      </w:r>
      <w:r>
        <w:rPr>
          <w:spacing w:val="-73"/>
        </w:rPr>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日以及</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日对该制度进行修订，进一步详细规范和加强了</w:t>
      </w:r>
      <w:r>
        <w:rPr>
          <w:spacing w:val="-77"/>
        </w:rPr>
        <w:t> </w:t>
      </w:r>
      <w:r>
        <w:rPr>
          <w:spacing w:val="-77"/>
        </w:rPr>
      </w:r>
      <w:r>
        <w:rPr/>
        <w:t>内幕信息知情人登记，并进一步扩大了内幕信息范围，在涉及内幕信息时，公司均</w:t>
      </w:r>
      <w:r>
        <w:rPr>
          <w:spacing w:val="-73"/>
        </w:rPr>
        <w:t> </w:t>
      </w:r>
      <w:r>
        <w:rPr>
          <w:spacing w:val="-73"/>
        </w:rPr>
      </w:r>
      <w:r>
        <w:rPr/>
        <w:t>严格按照该制度进行了内幕信息登记档案建设。</w:t>
      </w:r>
    </w:p>
    <w:p>
      <w:pPr>
        <w:pStyle w:val="BodyText"/>
        <w:spacing w:line="355" w:lineRule="auto" w:before="46"/>
        <w:ind w:right="136" w:firstLine="479"/>
        <w:jc w:val="both"/>
      </w:pPr>
      <w:r>
        <w:rPr/>
        <w:t>报告期内，公司的内幕信息的披露符合相关法律法规的规定，未发生内幕信息 泄露的情况。</w:t>
      </w:r>
    </w:p>
    <w:p>
      <w:pPr>
        <w:pStyle w:val="BodyText"/>
        <w:spacing w:line="350" w:lineRule="auto" w:before="38"/>
        <w:ind w:right="134" w:firstLine="479"/>
        <w:jc w:val="both"/>
      </w:pPr>
      <w:r>
        <w:rPr/>
        <w:t>报告期内，公司未发生董事、监事、高级管理人员及其他内幕信息知情人员在 定期报告公告前</w:t>
      </w:r>
      <w:r>
        <w:rPr>
          <w:rFonts w:ascii="Times New Roman" w:hAnsi="Times New Roman" w:cs="Times New Roman" w:eastAsia="Times New Roman" w:hint="default"/>
        </w:rPr>
        <w:t>30</w:t>
      </w:r>
      <w:r>
        <w:rPr/>
        <w:t>日内、业绩预告和业绩快报公告前</w:t>
      </w:r>
      <w:r>
        <w:rPr>
          <w:rFonts w:ascii="Times New Roman" w:hAnsi="Times New Roman" w:cs="Times New Roman" w:eastAsia="Times New Roman" w:hint="default"/>
        </w:rPr>
        <w:t>10</w:t>
      </w:r>
      <w:r>
        <w:rPr/>
        <w:t>日内以及其他重大事项披露</w:t>
      </w:r>
      <w:r>
        <w:rPr>
          <w:spacing w:val="-74"/>
        </w:rPr>
        <w:t> </w:t>
      </w:r>
      <w:r>
        <w:rPr>
          <w:spacing w:val="-74"/>
        </w:rPr>
      </w:r>
      <w:r>
        <w:rPr/>
        <w:t>期间等敏感期内买卖公司股票的情况，未发生相关人员利用内幕信息从事内幕交易</w:t>
      </w:r>
      <w:r>
        <w:rPr>
          <w:spacing w:val="-77"/>
        </w:rPr>
        <w:t> </w:t>
      </w:r>
      <w:r>
        <w:rPr>
          <w:spacing w:val="-77"/>
        </w:rPr>
      </w:r>
      <w:r>
        <w:rPr/>
        <w:t>等违法违规的情况。</w:t>
      </w:r>
    </w:p>
    <w:p>
      <w:pPr>
        <w:pStyle w:val="BodyText"/>
        <w:spacing w:line="357" w:lineRule="auto" w:before="41"/>
        <w:ind w:right="130" w:firstLine="479"/>
        <w:jc w:val="both"/>
      </w:pPr>
      <w:r>
        <w:rPr/>
        <w:t>报告期内，公司依据法律法规的规定向特定外部信息使用人报送公司的重大信 息如财务数据等相关信息时，公司会尽量提供公司已公告的内容，对于超过过公司</w:t>
      </w:r>
      <w:r>
        <w:rPr>
          <w:spacing w:val="-75"/>
        </w:rPr>
        <w:t> </w:t>
      </w:r>
      <w:r>
        <w:rPr>
          <w:spacing w:val="-75"/>
        </w:rPr>
      </w:r>
      <w:r>
        <w:rPr/>
        <w:t>已公告内容的，公司均做好了内幕信息知人登记，并提示特定外部信息使用人保密</w:t>
      </w:r>
      <w:r>
        <w:rPr>
          <w:spacing w:val="-77"/>
        </w:rPr>
        <w:t> </w:t>
      </w:r>
      <w:r>
        <w:rPr>
          <w:spacing w:val="-77"/>
        </w:rPr>
      </w:r>
      <w:r>
        <w:rPr/>
        <w:t>责任。</w:t>
      </w:r>
    </w:p>
    <w:p>
      <w:pPr>
        <w:pStyle w:val="BodyText"/>
        <w:spacing w:line="357" w:lineRule="auto" w:before="34"/>
        <w:ind w:right="136" w:firstLine="479"/>
        <w:jc w:val="both"/>
      </w:pPr>
      <w:r>
        <w:rPr/>
        <w:t>报告期内，未发生公司及相关人员因内幕信息知情人登记管理制度执行或涉嫌 内幕交易被监管部门采取监管措施及行政处罚情况。</w:t>
      </w:r>
    </w:p>
    <w:p>
      <w:pPr>
        <w:spacing w:after="0" w:line="357" w:lineRule="auto"/>
        <w:jc w:val="both"/>
        <w:sectPr>
          <w:pgSz w:w="11910" w:h="16840"/>
          <w:pgMar w:header="884" w:footer="1173" w:top="1140" w:bottom="1360" w:left="1660" w:right="12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Heading1"/>
        <w:spacing w:line="460" w:lineRule="exact"/>
        <w:ind w:left="3095" w:right="3097"/>
        <w:jc w:val="center"/>
        <w:rPr>
          <w:b w:val="0"/>
          <w:bCs w:val="0"/>
        </w:rPr>
      </w:pPr>
      <w:bookmarkStart w:name="_TOC_250057" w:id="31"/>
      <w:r>
        <w:rPr>
          <w:spacing w:val="3"/>
        </w:rPr>
        <w:t>第五节</w:t>
      </w:r>
      <w:r>
        <w:rPr>
          <w:spacing w:val="2"/>
        </w:rPr>
        <w:t> </w:t>
      </w:r>
      <w:r>
        <w:rPr>
          <w:spacing w:val="3"/>
        </w:rPr>
        <w:t>重要事项</w:t>
      </w:r>
      <w:bookmarkEnd w:id="31"/>
      <w:r>
        <w:rPr>
          <w:b w:val="0"/>
          <w:bCs w:val="0"/>
          <w:spacing w:val="3"/>
        </w:rPr>
      </w:r>
    </w:p>
    <w:p>
      <w:pPr>
        <w:spacing w:line="240" w:lineRule="auto" w:before="8"/>
        <w:rPr>
          <w:rFonts w:ascii="宋体" w:hAnsi="宋体" w:cs="宋体" w:eastAsia="宋体" w:hint="default"/>
          <w:b/>
          <w:bCs/>
          <w:sz w:val="43"/>
          <w:szCs w:val="43"/>
        </w:rPr>
      </w:pPr>
    </w:p>
    <w:p>
      <w:pPr>
        <w:pStyle w:val="Heading3"/>
        <w:spacing w:line="240" w:lineRule="auto"/>
        <w:ind w:right="0"/>
        <w:jc w:val="both"/>
        <w:rPr>
          <w:b w:val="0"/>
          <w:bCs w:val="0"/>
        </w:rPr>
      </w:pPr>
      <w:bookmarkStart w:name="_TOC_250056" w:id="32"/>
      <w:r>
        <w:rPr/>
        <w:t>一、重大诉讼、仲裁事项</w:t>
      </w:r>
      <w:bookmarkEnd w:id="32"/>
      <w:r>
        <w:rPr>
          <w:b w:val="0"/>
          <w:bCs w:val="0"/>
        </w:rPr>
      </w:r>
    </w:p>
    <w:p>
      <w:pPr>
        <w:spacing w:line="240" w:lineRule="auto" w:before="1"/>
        <w:rPr>
          <w:rFonts w:ascii="宋体" w:hAnsi="宋体" w:cs="宋体" w:eastAsia="宋体" w:hint="default"/>
          <w:b/>
          <w:bCs/>
          <w:sz w:val="42"/>
          <w:szCs w:val="42"/>
        </w:rPr>
      </w:pPr>
    </w:p>
    <w:p>
      <w:pPr>
        <w:pStyle w:val="BodyText"/>
        <w:spacing w:line="357" w:lineRule="auto"/>
        <w:ind w:right="136" w:firstLine="479"/>
        <w:jc w:val="both"/>
      </w:pPr>
      <w:r>
        <w:rPr/>
        <w:t>报告期内，公司无重大诉讼、仲裁事项，也无以前期间发生但持续到报告期的 重大诉讼、仲裁事项。</w:t>
      </w:r>
    </w:p>
    <w:p>
      <w:pPr>
        <w:spacing w:line="240" w:lineRule="auto" w:before="9"/>
        <w:rPr>
          <w:rFonts w:ascii="宋体" w:hAnsi="宋体" w:cs="宋体" w:eastAsia="宋体" w:hint="default"/>
          <w:sz w:val="21"/>
          <w:szCs w:val="21"/>
        </w:rPr>
      </w:pPr>
    </w:p>
    <w:p>
      <w:pPr>
        <w:pStyle w:val="Heading3"/>
        <w:spacing w:line="240" w:lineRule="auto"/>
        <w:ind w:right="0"/>
        <w:jc w:val="both"/>
        <w:rPr>
          <w:b w:val="0"/>
          <w:bCs w:val="0"/>
        </w:rPr>
      </w:pPr>
      <w:bookmarkStart w:name="_TOC_250055" w:id="33"/>
      <w:r>
        <w:rPr/>
        <w:t>二、破产重组相关事项</w:t>
      </w:r>
      <w:bookmarkEnd w:id="33"/>
      <w:r>
        <w:rPr>
          <w:b w:val="0"/>
          <w:bCs w:val="0"/>
        </w:rPr>
      </w:r>
    </w:p>
    <w:p>
      <w:pPr>
        <w:spacing w:line="240" w:lineRule="auto" w:before="4"/>
        <w:rPr>
          <w:rFonts w:ascii="宋体" w:hAnsi="宋体" w:cs="宋体" w:eastAsia="宋体" w:hint="default"/>
          <w:b/>
          <w:bCs/>
          <w:sz w:val="42"/>
          <w:szCs w:val="42"/>
        </w:rPr>
      </w:pPr>
    </w:p>
    <w:p>
      <w:pPr>
        <w:pStyle w:val="BodyText"/>
        <w:spacing w:line="240" w:lineRule="auto"/>
        <w:ind w:left="618" w:right="124"/>
        <w:jc w:val="left"/>
      </w:pPr>
      <w:r>
        <w:rPr/>
        <w:t>报告期内，公司未发生破产重组等相关事项。</w:t>
      </w:r>
    </w:p>
    <w:p>
      <w:pPr>
        <w:spacing w:line="240" w:lineRule="auto" w:before="10"/>
        <w:rPr>
          <w:rFonts w:ascii="宋体" w:hAnsi="宋体" w:cs="宋体" w:eastAsia="宋体" w:hint="default"/>
          <w:sz w:val="30"/>
          <w:szCs w:val="30"/>
        </w:rPr>
      </w:pPr>
    </w:p>
    <w:p>
      <w:pPr>
        <w:pStyle w:val="Heading3"/>
        <w:spacing w:line="240" w:lineRule="auto"/>
        <w:ind w:right="0"/>
        <w:jc w:val="both"/>
        <w:rPr>
          <w:b w:val="0"/>
          <w:bCs w:val="0"/>
        </w:rPr>
      </w:pPr>
      <w:bookmarkStart w:name="_TOC_250054" w:id="34"/>
      <w:r>
        <w:rPr/>
        <w:t>三、重大收购及出售资产、吸收合并事项</w:t>
      </w:r>
      <w:bookmarkEnd w:id="34"/>
      <w:r>
        <w:rPr>
          <w:b w:val="0"/>
          <w:bCs w:val="0"/>
        </w:rPr>
      </w:r>
    </w:p>
    <w:p>
      <w:pPr>
        <w:spacing w:line="240" w:lineRule="auto" w:before="1"/>
        <w:rPr>
          <w:rFonts w:ascii="宋体" w:hAnsi="宋体" w:cs="宋体" w:eastAsia="宋体" w:hint="default"/>
          <w:b/>
          <w:bCs/>
          <w:sz w:val="42"/>
          <w:szCs w:val="42"/>
        </w:rPr>
      </w:pPr>
    </w:p>
    <w:p>
      <w:pPr>
        <w:pStyle w:val="BodyText"/>
        <w:spacing w:line="240" w:lineRule="auto"/>
        <w:ind w:left="618" w:right="124"/>
        <w:jc w:val="left"/>
      </w:pPr>
      <w:r>
        <w:rPr/>
        <w:t>报告期内，公司重大资产收购、出售及资产重组情况如下：</w:t>
      </w:r>
    </w:p>
    <w:p>
      <w:pPr>
        <w:spacing w:line="240" w:lineRule="auto" w:before="2"/>
        <w:rPr>
          <w:rFonts w:ascii="宋体" w:hAnsi="宋体" w:cs="宋体" w:eastAsia="宋体" w:hint="default"/>
          <w:sz w:val="31"/>
          <w:szCs w:val="31"/>
        </w:rPr>
      </w:pPr>
    </w:p>
    <w:p>
      <w:pPr>
        <w:pStyle w:val="Heading4"/>
        <w:spacing w:line="240" w:lineRule="auto"/>
        <w:ind w:right="0"/>
        <w:jc w:val="both"/>
        <w:rPr>
          <w:b w:val="0"/>
          <w:bCs w:val="0"/>
        </w:rPr>
      </w:pPr>
      <w:bookmarkStart w:name="_TOC_250053" w:id="35"/>
      <w:r>
        <w:rPr/>
        <w:t>（一）北京研发及办公用房购置情况</w:t>
      </w:r>
      <w:bookmarkEnd w:id="35"/>
      <w:r>
        <w:rPr>
          <w:b w:val="0"/>
          <w:bCs w:val="0"/>
        </w:rPr>
      </w:r>
    </w:p>
    <w:p>
      <w:pPr>
        <w:spacing w:line="240" w:lineRule="auto" w:before="6"/>
        <w:rPr>
          <w:rFonts w:ascii="宋体" w:hAnsi="宋体" w:cs="宋体" w:eastAsia="宋体" w:hint="default"/>
          <w:b/>
          <w:bCs/>
          <w:sz w:val="40"/>
          <w:szCs w:val="40"/>
        </w:rPr>
      </w:pPr>
    </w:p>
    <w:p>
      <w:pPr>
        <w:pStyle w:val="BodyText"/>
        <w:spacing w:line="240" w:lineRule="auto"/>
        <w:ind w:left="618" w:right="0"/>
        <w:jc w:val="left"/>
        <w:rPr>
          <w:rFonts w:ascii="Times New Roman" w:hAnsi="Times New Roman" w:cs="Times New Roman" w:eastAsia="Times New Roman" w:hint="default"/>
        </w:rPr>
      </w:pPr>
      <w:r>
        <w:rPr/>
        <w:t>公司第一届董事会第十八次会议以及公司 </w:t>
      </w:r>
      <w:r>
        <w:rPr>
          <w:rFonts w:ascii="Times New Roman" w:hAnsi="Times New Roman" w:cs="Times New Roman" w:eastAsia="Times New Roman" w:hint="default"/>
        </w:rPr>
        <w:t>2010 </w:t>
      </w:r>
      <w:r>
        <w:rPr/>
        <w:t>年度股东大会分别于 </w:t>
      </w:r>
      <w:r>
        <w:rPr>
          <w:rFonts w:ascii="Times New Roman" w:hAnsi="Times New Roman" w:cs="Times New Roman" w:eastAsia="Times New Roman" w:hint="default"/>
          <w:spacing w:val="-3"/>
        </w:rPr>
        <w:t>2011 </w:t>
      </w:r>
      <w:r>
        <w:rPr/>
        <w:t>年</w:t>
      </w:r>
      <w:r>
        <w:rPr>
          <w:spacing w:val="-55"/>
        </w:rPr>
        <w:t> </w:t>
      </w:r>
      <w:r>
        <w:rPr>
          <w:rFonts w:ascii="Times New Roman" w:hAnsi="Times New Roman" w:cs="Times New Roman" w:eastAsia="Times New Roman" w:hint="default"/>
        </w:rPr>
        <w:t>4</w:t>
      </w:r>
    </w:p>
    <w:p>
      <w:pPr>
        <w:pStyle w:val="BodyText"/>
        <w:spacing w:line="240" w:lineRule="auto" w:before="133"/>
        <w:ind w:right="0"/>
        <w:jc w:val="both"/>
      </w:pPr>
      <w:r>
        <w:rPr/>
        <w:t>月</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日以及</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spacing w:val="-3"/>
        </w:rPr>
        <w:t>日审议通过了《关于购置房产及超募资金使用计划的议</w:t>
      </w:r>
    </w:p>
    <w:p>
      <w:pPr>
        <w:pStyle w:val="BodyText"/>
        <w:spacing w:line="350" w:lineRule="auto" w:before="135"/>
        <w:ind w:right="133"/>
        <w:jc w:val="both"/>
      </w:pPr>
      <w:r>
        <w:rPr>
          <w:spacing w:val="-11"/>
        </w:rPr>
        <w:t>案》，决议公司拟利用约</w:t>
      </w:r>
      <w:r>
        <w:rPr/>
        <w:t> </w:t>
      </w:r>
      <w:r>
        <w:rPr>
          <w:rFonts w:ascii="Times New Roman" w:hAnsi="Times New Roman" w:cs="Times New Roman" w:eastAsia="Times New Roman" w:hint="default"/>
        </w:rPr>
        <w:t>18,700</w:t>
      </w:r>
      <w:r>
        <w:rPr>
          <w:rFonts w:ascii="Times New Roman" w:hAnsi="Times New Roman" w:cs="Times New Roman" w:eastAsia="Times New Roman" w:hint="default"/>
          <w:spacing w:val="50"/>
        </w:rPr>
        <w:t> </w:t>
      </w:r>
      <w:r>
        <w:rPr/>
        <w:t>万元（暂估价格，具体以双方签署的协议为准）资 金，进行研发及办公用房的建设，作为公司全国的营运中枢，将北京辖区内的公司</w:t>
      </w:r>
      <w:r>
        <w:rPr>
          <w:spacing w:val="-73"/>
        </w:rPr>
        <w:t> </w:t>
      </w:r>
      <w:r>
        <w:rPr>
          <w:spacing w:val="-73"/>
        </w:rPr>
      </w:r>
      <w:r>
        <w:rPr/>
        <w:t>所有机构及人员整建制迁入，以进一步改善办公环境，提升公司在研发人才市场的</w:t>
      </w:r>
      <w:r>
        <w:rPr>
          <w:spacing w:val="-77"/>
        </w:rPr>
        <w:t> </w:t>
      </w:r>
      <w:r>
        <w:rPr>
          <w:spacing w:val="-77"/>
        </w:rPr>
      </w:r>
      <w:r>
        <w:rPr/>
        <w:t>竞争力。项目预计使用超募资金</w:t>
      </w:r>
      <w:r>
        <w:rPr>
          <w:spacing w:val="-61"/>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万元，其余资金由公司自筹解决。</w:t>
      </w:r>
    </w:p>
    <w:p>
      <w:pPr>
        <w:pStyle w:val="BodyText"/>
        <w:spacing w:line="338" w:lineRule="auto" w:before="13"/>
        <w:ind w:right="129" w:firstLine="479"/>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日，公司与北京电子城有限责任公司签署了《电子城</w:t>
      </w:r>
      <w:r>
        <w:rPr>
          <w:rFonts w:ascii="Times New Roman" w:hAnsi="Times New Roman" w:cs="Times New Roman" w:eastAsia="Times New Roman" w:hint="default"/>
        </w:rPr>
        <w:t>IT</w:t>
      </w:r>
      <w:r>
        <w:rPr/>
        <w:t>产业园超</w:t>
      </w:r>
      <w:r>
        <w:rPr>
          <w:spacing w:val="2"/>
        </w:rPr>
        <w:t> </w:t>
      </w:r>
      <w:r>
        <w:rPr>
          <w:spacing w:val="-5"/>
        </w:rPr>
        <w:t>图总部项目之协议书》，协议约定了标的房屋价款暂定为人民币</w:t>
      </w:r>
      <w:r>
        <w:rPr>
          <w:rFonts w:ascii="Times New Roman" w:hAnsi="Times New Roman" w:cs="Times New Roman" w:eastAsia="Times New Roman" w:hint="default"/>
          <w:spacing w:val="-5"/>
        </w:rPr>
        <w:t>194,250,236</w:t>
      </w:r>
      <w:r>
        <w:rPr>
          <w:spacing w:val="-5"/>
        </w:rPr>
        <w:t>元。最终</w:t>
      </w:r>
      <w:r>
        <w:rPr>
          <w:spacing w:val="-93"/>
        </w:rPr>
        <w:t> </w:t>
      </w:r>
      <w:r>
        <w:rPr>
          <w:spacing w:val="-93"/>
        </w:rPr>
      </w:r>
      <w:r>
        <w:rPr/>
        <w:t>价款按照测绘报告的实测面积进行调整和结算；公司应于协议签订后</w:t>
      </w:r>
      <w:r>
        <w:rPr>
          <w:rFonts w:ascii="Times New Roman" w:hAnsi="Times New Roman" w:cs="Times New Roman" w:eastAsia="Times New Roman" w:hint="default"/>
        </w:rPr>
        <w:t>30</w:t>
      </w:r>
      <w:r>
        <w:rPr/>
        <w:t>个工作日内</w:t>
      </w:r>
      <w:r>
        <w:rPr>
          <w:spacing w:val="-72"/>
        </w:rPr>
        <w:t> </w:t>
      </w:r>
      <w:r>
        <w:rPr>
          <w:spacing w:val="-72"/>
        </w:rPr>
      </w:r>
      <w:r>
        <w:rPr>
          <w:spacing w:val="-4"/>
        </w:rPr>
        <w:t>支付房屋价款的</w:t>
      </w:r>
      <w:r>
        <w:rPr>
          <w:rFonts w:ascii="Times New Roman" w:hAnsi="Times New Roman" w:cs="Times New Roman" w:eastAsia="Times New Roman" w:hint="default"/>
          <w:spacing w:val="-4"/>
        </w:rPr>
        <w:t>70%</w:t>
      </w:r>
      <w:r>
        <w:rPr>
          <w:spacing w:val="-4"/>
        </w:rPr>
        <w:t>，并于标的房屋取得《竣工验收备案表》，并送达至公司后</w:t>
      </w:r>
      <w:r>
        <w:rPr>
          <w:rFonts w:ascii="Times New Roman" w:hAnsi="Times New Roman" w:cs="Times New Roman" w:eastAsia="Times New Roman" w:hint="default"/>
          <w:spacing w:val="-4"/>
        </w:rPr>
        <w:t>30</w:t>
      </w:r>
      <w:r>
        <w:rPr>
          <w:spacing w:val="-4"/>
        </w:rPr>
        <w:t>个</w:t>
      </w:r>
      <w:r>
        <w:rPr>
          <w:spacing w:val="-115"/>
        </w:rPr>
        <w:t> </w:t>
      </w:r>
      <w:r>
        <w:rPr/>
        <w:t>工作日内支付剩余房款；标的房屋最迟于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日完成房屋建设及验收；</w:t>
      </w:r>
    </w:p>
    <w:p>
      <w:pPr>
        <w:pStyle w:val="BodyText"/>
        <w:spacing w:line="338" w:lineRule="auto" w:before="24"/>
        <w:ind w:right="136" w:firstLine="479"/>
        <w:jc w:val="both"/>
      </w:pPr>
      <w:r>
        <w:rPr>
          <w:spacing w:val="2"/>
        </w:rPr>
        <w:t>根据协议，公司已于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9</w:t>
      </w:r>
      <w:r>
        <w:rPr>
          <w:spacing w:val="2"/>
        </w:rPr>
        <w:t>日支付房屋价款的</w:t>
      </w:r>
      <w:r>
        <w:rPr>
          <w:rFonts w:ascii="Times New Roman" w:hAnsi="Times New Roman" w:cs="Times New Roman" w:eastAsia="Times New Roman" w:hint="default"/>
          <w:spacing w:val="2"/>
        </w:rPr>
        <w:t>70%</w:t>
      </w:r>
      <w:r>
        <w:rPr>
          <w:spacing w:val="2"/>
        </w:rPr>
        <w:t>，其中从超募资金中支</w:t>
      </w:r>
      <w:r>
        <w:rPr/>
        <w:t> 付</w:t>
      </w:r>
      <w:r>
        <w:rPr>
          <w:rFonts w:ascii="Times New Roman" w:hAnsi="Times New Roman" w:cs="Times New Roman" w:eastAsia="Times New Roman" w:hint="default"/>
        </w:rPr>
        <w:t>8,000</w:t>
      </w:r>
      <w:r>
        <w:rPr/>
        <w:t>万元。</w:t>
      </w:r>
    </w:p>
    <w:p>
      <w:pPr>
        <w:spacing w:after="0" w:line="338" w:lineRule="auto"/>
        <w:jc w:val="both"/>
        <w:sectPr>
          <w:pgSz w:w="11910" w:h="16840"/>
          <w:pgMar w:header="884" w:footer="1173" w:top="1140" w:bottom="1360" w:left="1660" w:right="1280"/>
        </w:sectPr>
      </w:pPr>
    </w:p>
    <w:p>
      <w:pPr>
        <w:spacing w:line="240" w:lineRule="auto" w:before="6"/>
        <w:rPr>
          <w:rFonts w:ascii="宋体" w:hAnsi="宋体" w:cs="宋体" w:eastAsia="宋体" w:hint="default"/>
          <w:sz w:val="16"/>
          <w:szCs w:val="16"/>
        </w:rPr>
      </w:pPr>
    </w:p>
    <w:p>
      <w:pPr>
        <w:pStyle w:val="BodyText"/>
        <w:spacing w:line="357" w:lineRule="auto" w:before="26"/>
        <w:ind w:right="230" w:firstLine="479"/>
        <w:jc w:val="both"/>
      </w:pPr>
      <w:r>
        <w:rPr/>
        <w:t>本次资产购置有利于促进人才培养与引进，实现公司人力资源计划；有利于降 低沟通成本，提高管理效率，促进企业文化建设；有助于优化研发环境建设，避免</w:t>
      </w:r>
      <w:r>
        <w:rPr>
          <w:spacing w:val="-73"/>
        </w:rPr>
        <w:t> </w:t>
      </w:r>
      <w:r>
        <w:rPr>
          <w:spacing w:val="-73"/>
        </w:rPr>
      </w:r>
      <w:r>
        <w:rPr/>
        <w:t>资源不平衡的情况；有利于数据和项目的安全管理；有利于改善公司资产结构。</w:t>
      </w:r>
    </w:p>
    <w:p>
      <w:pPr>
        <w:spacing w:line="240" w:lineRule="auto" w:before="2"/>
        <w:rPr>
          <w:rFonts w:ascii="宋体" w:hAnsi="宋体" w:cs="宋体" w:eastAsia="宋体" w:hint="default"/>
          <w:sz w:val="22"/>
          <w:szCs w:val="22"/>
        </w:rPr>
      </w:pPr>
    </w:p>
    <w:p>
      <w:pPr>
        <w:pStyle w:val="Heading4"/>
        <w:spacing w:line="240" w:lineRule="auto"/>
        <w:ind w:right="100"/>
        <w:jc w:val="left"/>
        <w:rPr>
          <w:b w:val="0"/>
          <w:bCs w:val="0"/>
        </w:rPr>
      </w:pPr>
      <w:bookmarkStart w:name="_TOC_250052" w:id="36"/>
      <w:r>
        <w:rPr/>
        <w:t>（二）成都技术中心建设所涉房产购置情况</w:t>
      </w:r>
      <w:bookmarkEnd w:id="36"/>
      <w:r>
        <w:rPr>
          <w:b w:val="0"/>
          <w:bCs w:val="0"/>
        </w:rPr>
      </w:r>
    </w:p>
    <w:p>
      <w:pPr>
        <w:spacing w:line="240" w:lineRule="auto" w:before="6"/>
        <w:rPr>
          <w:rFonts w:ascii="宋体" w:hAnsi="宋体" w:cs="宋体" w:eastAsia="宋体" w:hint="default"/>
          <w:b/>
          <w:bCs/>
          <w:sz w:val="40"/>
          <w:szCs w:val="40"/>
        </w:rPr>
      </w:pPr>
    </w:p>
    <w:p>
      <w:pPr>
        <w:pStyle w:val="BodyText"/>
        <w:spacing w:line="240" w:lineRule="auto"/>
        <w:ind w:left="618" w:right="100"/>
        <w:jc w:val="left"/>
      </w:pPr>
      <w:r>
        <w:rPr/>
        <w:t>公司第二届董事会第三次会议于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日审议通过了《关于使用超募</w:t>
      </w:r>
    </w:p>
    <w:p>
      <w:pPr>
        <w:pStyle w:val="BodyText"/>
        <w:spacing w:line="240" w:lineRule="auto" w:before="133"/>
        <w:ind w:right="100"/>
        <w:jc w:val="left"/>
      </w:pPr>
      <w:r>
        <w:rPr/>
        <w:t>资金建设成都技术中心的议案</w:t>
      </w:r>
      <w:r>
        <w:rPr>
          <w:spacing w:val="-120"/>
        </w:rPr>
        <w:t>》</w:t>
      </w:r>
      <w:r>
        <w:rPr/>
        <w:t>，决议公司使用超募资金</w:t>
      </w:r>
      <w:r>
        <w:rPr>
          <w:spacing w:val="-34"/>
        </w:rPr>
        <w:t> </w:t>
      </w:r>
      <w:r>
        <w:rPr>
          <w:rFonts w:ascii="Times New Roman" w:hAnsi="Times New Roman" w:cs="Times New Roman" w:eastAsia="Times New Roman" w:hint="default"/>
        </w:rPr>
        <w:t>4,152.5</w:t>
      </w:r>
      <w:r>
        <w:rPr>
          <w:rFonts w:ascii="Times New Roman" w:hAnsi="Times New Roman" w:cs="Times New Roman" w:eastAsia="Times New Roman" w:hint="default"/>
          <w:spacing w:val="26"/>
        </w:rPr>
        <w:t> </w:t>
      </w:r>
      <w:r>
        <w:rPr>
          <w:spacing w:val="-3"/>
        </w:rPr>
        <w:t>万</w:t>
      </w:r>
      <w:r>
        <w:rPr/>
        <w:t>元建设成都技术</w:t>
      </w:r>
    </w:p>
    <w:p>
      <w:pPr>
        <w:pStyle w:val="BodyText"/>
        <w:spacing w:line="240" w:lineRule="auto" w:before="136"/>
        <w:ind w:right="100"/>
        <w:jc w:val="left"/>
      </w:pPr>
      <w:r>
        <w:rPr/>
        <w:t>中心，其中拟利用</w:t>
      </w:r>
      <w:r>
        <w:rPr>
          <w:spacing w:val="-61"/>
        </w:rPr>
        <w:t> </w:t>
      </w:r>
      <w:r>
        <w:rPr>
          <w:rFonts w:ascii="Times New Roman" w:hAnsi="Times New Roman" w:cs="Times New Roman" w:eastAsia="Times New Roman" w:hint="default"/>
        </w:rPr>
        <w:t>1,650</w:t>
      </w:r>
      <w:r>
        <w:rPr>
          <w:rFonts w:ascii="Times New Roman" w:hAnsi="Times New Roman" w:cs="Times New Roman" w:eastAsia="Times New Roman" w:hint="default"/>
          <w:spacing w:val="-1"/>
        </w:rPr>
        <w:t> </w:t>
      </w:r>
      <w:r>
        <w:rPr/>
        <w:t>万元在成都天府软件园购买办公用房。</w:t>
      </w:r>
    </w:p>
    <w:p>
      <w:pPr>
        <w:spacing w:line="240" w:lineRule="auto" w:before="3"/>
        <w:rPr>
          <w:rFonts w:ascii="宋体" w:hAnsi="宋体" w:cs="宋体" w:eastAsia="宋体" w:hint="default"/>
          <w:sz w:val="21"/>
          <w:szCs w:val="21"/>
        </w:rPr>
      </w:pPr>
    </w:p>
    <w:p>
      <w:pPr>
        <w:pStyle w:val="BodyText"/>
        <w:spacing w:line="352" w:lineRule="auto"/>
        <w:ind w:right="225" w:firstLine="53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日以及</w:t>
      </w:r>
      <w:r>
        <w:rPr>
          <w:spacing w:val="-5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26</w:t>
      </w:r>
      <w:r>
        <w:rPr>
          <w:rFonts w:ascii="Times New Roman" w:hAnsi="Times New Roman" w:cs="Times New Roman" w:eastAsia="Times New Roman" w:hint="default"/>
          <w:spacing w:val="6"/>
        </w:rPr>
        <w:t> </w:t>
      </w:r>
      <w:r>
        <w:rPr/>
        <w:t>日，公司与成都高投置业有限公司签 </w:t>
      </w:r>
      <w:r>
        <w:rPr>
          <w:spacing w:val="-6"/>
        </w:rPr>
        <w:t>署了《认购协议》和《房屋销售合同》，合同约定，公司购买其开发的位于成都市高</w:t>
      </w:r>
      <w:r>
        <w:rPr>
          <w:spacing w:val="-90"/>
        </w:rPr>
        <w:t> </w:t>
      </w:r>
      <w:r>
        <w:rPr>
          <w:spacing w:val="-90"/>
        </w:rPr>
      </w:r>
      <w:r>
        <w:rPr/>
        <w:t>新区天府大道中段</w:t>
      </w:r>
      <w:r>
        <w:rPr>
          <w:spacing w:val="-60"/>
        </w:rPr>
        <w:t> </w:t>
      </w:r>
      <w:r>
        <w:rPr>
          <w:rFonts w:ascii="Times New Roman" w:hAnsi="Times New Roman" w:cs="Times New Roman" w:eastAsia="Times New Roman" w:hint="default"/>
        </w:rPr>
        <w:t>1366</w:t>
      </w:r>
      <w:r>
        <w:rPr>
          <w:rFonts w:ascii="Times New Roman" w:hAnsi="Times New Roman" w:cs="Times New Roman" w:eastAsia="Times New Roman" w:hint="default"/>
          <w:spacing w:val="1"/>
        </w:rPr>
        <w:t> </w:t>
      </w:r>
      <w:r>
        <w:rPr/>
        <w:t>号的财智立方的</w:t>
      </w:r>
      <w:r>
        <w:rPr>
          <w:spacing w:val="-59"/>
        </w:rPr>
        <w:t> </w:t>
      </w:r>
      <w:r>
        <w:rPr>
          <w:rFonts w:ascii="Times New Roman" w:hAnsi="Times New Roman" w:cs="Times New Roman" w:eastAsia="Times New Roman" w:hint="default"/>
        </w:rPr>
        <w:t>E6</w:t>
      </w:r>
      <w:r>
        <w:rPr>
          <w:rFonts w:ascii="Times New Roman" w:hAnsi="Times New Roman" w:cs="Times New Roman" w:eastAsia="Times New Roman" w:hint="default"/>
          <w:spacing w:val="1"/>
        </w:rPr>
        <w:t> </w:t>
      </w:r>
      <w:r>
        <w:rPr/>
        <w:t>栋</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层</w:t>
      </w:r>
      <w:r>
        <w:rPr>
          <w:spacing w:val="-59"/>
        </w:rPr>
        <w:t> </w:t>
      </w:r>
      <w:r>
        <w:rPr>
          <w:rFonts w:ascii="Times New Roman" w:hAnsi="Times New Roman" w:cs="Times New Roman" w:eastAsia="Times New Roman" w:hint="default"/>
          <w:spacing w:val="-11"/>
        </w:rPr>
        <w:t>8</w:t>
      </w:r>
      <w:r>
        <w:rPr>
          <w:spacing w:val="-11"/>
        </w:rPr>
        <w:t>、</w:t>
      </w:r>
      <w:r>
        <w:rPr>
          <w:rFonts w:ascii="Times New Roman" w:hAnsi="Times New Roman" w:cs="Times New Roman" w:eastAsia="Times New Roman" w:hint="default"/>
          <w:spacing w:val="-11"/>
        </w:rPr>
        <w:t>9</w:t>
      </w:r>
      <w:r>
        <w:rPr>
          <w:spacing w:val="-11"/>
        </w:rPr>
        <w:t>、</w:t>
      </w:r>
      <w:r>
        <w:rPr>
          <w:rFonts w:ascii="Times New Roman" w:hAnsi="Times New Roman" w:cs="Times New Roman" w:eastAsia="Times New Roman" w:hint="default"/>
          <w:spacing w:val="-11"/>
        </w:rPr>
        <w:t>10</w:t>
      </w:r>
      <w:r>
        <w:rPr>
          <w:rFonts w:ascii="Times New Roman" w:hAnsi="Times New Roman" w:cs="Times New Roman" w:eastAsia="Times New Roman" w:hint="default"/>
          <w:spacing w:val="1"/>
        </w:rPr>
        <w:t> </w:t>
      </w:r>
      <w:r>
        <w:rPr>
          <w:spacing w:val="-4"/>
        </w:rPr>
        <w:t>号房产用于办公，拟购</w:t>
      </w:r>
      <w:r>
        <w:rPr/>
        <w:t> 买房产的建筑面积共计</w:t>
      </w:r>
      <w:r>
        <w:rPr>
          <w:spacing w:val="-51"/>
        </w:rPr>
        <w:t> </w:t>
      </w:r>
      <w:r>
        <w:rPr>
          <w:rFonts w:ascii="Times New Roman" w:hAnsi="Times New Roman" w:cs="Times New Roman" w:eastAsia="Times New Roman" w:hint="default"/>
        </w:rPr>
        <w:t>1482.26</w:t>
      </w:r>
      <w:r>
        <w:rPr>
          <w:rFonts w:ascii="Times New Roman" w:hAnsi="Times New Roman" w:cs="Times New Roman" w:eastAsia="Times New Roman" w:hint="default"/>
          <w:spacing w:val="9"/>
        </w:rPr>
        <w:t> </w:t>
      </w:r>
      <w:r>
        <w:rPr>
          <w:spacing w:val="-6"/>
        </w:rPr>
        <w:t>平方米（最终面积以产权监理机关实测面积为准），</w:t>
      </w:r>
    </w:p>
    <w:p>
      <w:pPr>
        <w:pStyle w:val="BodyText"/>
        <w:spacing w:line="240" w:lineRule="auto" w:before="23"/>
        <w:ind w:right="100"/>
        <w:jc w:val="left"/>
        <w:rPr>
          <w:rFonts w:ascii="Times New Roman" w:hAnsi="Times New Roman" w:cs="Times New Roman" w:eastAsia="Times New Roman" w:hint="default"/>
        </w:rPr>
      </w:pPr>
      <w:r>
        <w:rPr/>
        <w:t>购房总价款为</w:t>
      </w:r>
      <w:r>
        <w:rPr>
          <w:spacing w:val="-63"/>
        </w:rPr>
        <w:t> </w:t>
      </w:r>
      <w:r>
        <w:rPr>
          <w:rFonts w:ascii="Times New Roman" w:hAnsi="Times New Roman" w:cs="Times New Roman" w:eastAsia="Times New Roman" w:hint="default"/>
        </w:rPr>
        <w:t>16,552,665.6</w:t>
      </w:r>
      <w:r>
        <w:rPr>
          <w:rFonts w:ascii="Times New Roman" w:hAnsi="Times New Roman" w:cs="Times New Roman" w:eastAsia="Times New Roman" w:hint="default"/>
          <w:spacing w:val="-2"/>
        </w:rPr>
        <w:t> </w:t>
      </w:r>
      <w:r>
        <w:rPr/>
        <w:t>元，其中房价总计为</w:t>
      </w:r>
      <w:r>
        <w:rPr>
          <w:spacing w:val="-62"/>
        </w:rPr>
        <w:t> </w:t>
      </w:r>
      <w:r>
        <w:rPr>
          <w:rFonts w:ascii="Times New Roman" w:hAnsi="Times New Roman" w:cs="Times New Roman" w:eastAsia="Times New Roman" w:hint="default"/>
        </w:rPr>
        <w:t>15,652,665.6</w:t>
      </w:r>
      <w:r>
        <w:rPr>
          <w:rFonts w:ascii="Times New Roman" w:hAnsi="Times New Roman" w:cs="Times New Roman" w:eastAsia="Times New Roman" w:hint="default"/>
          <w:spacing w:val="-2"/>
        </w:rPr>
        <w:t> </w:t>
      </w:r>
      <w:r>
        <w:rPr/>
        <w:t>元，捆绑销售的车位</w:t>
      </w:r>
      <w:r>
        <w:rPr>
          <w:spacing w:val="-62"/>
        </w:rPr>
        <w:t> </w:t>
      </w:r>
      <w:r>
        <w:rPr>
          <w:rFonts w:ascii="Times New Roman" w:hAnsi="Times New Roman" w:cs="Times New Roman" w:eastAsia="Times New Roman" w:hint="default"/>
        </w:rPr>
        <w:t>5</w:t>
      </w:r>
    </w:p>
    <w:p>
      <w:pPr>
        <w:pStyle w:val="BodyText"/>
        <w:spacing w:line="240" w:lineRule="auto" w:before="148"/>
        <w:ind w:right="100"/>
        <w:jc w:val="left"/>
      </w:pPr>
      <w:r>
        <w:rPr/>
        <w:t>个共计</w:t>
      </w:r>
      <w:r>
        <w:rPr>
          <w:spacing w:val="-61"/>
        </w:rPr>
        <w:t> </w:t>
      </w:r>
      <w:r>
        <w:rPr>
          <w:rFonts w:ascii="Times New Roman" w:hAnsi="Times New Roman" w:cs="Times New Roman" w:eastAsia="Times New Roman" w:hint="default"/>
        </w:rPr>
        <w:t>90 </w:t>
      </w:r>
      <w:r>
        <w:rPr/>
        <w:t>万元。</w:t>
      </w:r>
    </w:p>
    <w:p>
      <w:pPr>
        <w:pStyle w:val="BodyText"/>
        <w:spacing w:line="240" w:lineRule="auto" w:before="3"/>
        <w:ind w:left="618" w:right="100"/>
        <w:jc w:val="left"/>
      </w:pPr>
      <w:r>
        <w:rPr/>
        <w:t>按照协议，公司于</w:t>
      </w:r>
      <w:r>
        <w:rPr>
          <w:spacing w:val="-5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日支付了房屋认购订金，并于</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p>
    <w:p>
      <w:pPr>
        <w:pStyle w:val="BodyText"/>
        <w:spacing w:line="336" w:lineRule="auto" w:before="135"/>
        <w:ind w:left="618" w:right="100" w:hanging="48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日一次性支付了房屋总价款。 目前，该房屋已建设完成，公司收房、装修等正在进行中。</w:t>
      </w:r>
    </w:p>
    <w:p>
      <w:pPr>
        <w:pStyle w:val="BodyText"/>
        <w:spacing w:line="367" w:lineRule="auto" w:before="202"/>
        <w:ind w:right="102" w:firstLine="539"/>
        <w:jc w:val="left"/>
      </w:pPr>
      <w:r>
        <w:rPr/>
        <w:t>本次资产购置为建设成都技术中心的重要内容，有助于降低公司研发费用；有 助于提升员工满意度和幸福指数，增强团队稳定性；有助于公司加强西部地区、中</w:t>
      </w:r>
      <w:r>
        <w:rPr>
          <w:spacing w:val="-77"/>
        </w:rPr>
        <w:t> </w:t>
      </w:r>
      <w:r>
        <w:rPr>
          <w:spacing w:val="-77"/>
        </w:rPr>
      </w:r>
      <w:r>
        <w:rPr>
          <w:spacing w:val="-2"/>
        </w:rPr>
        <w:t>部地区的市场开拓，从而可以直接带动区域市场收入的增长，产生直接的经济效益；</w:t>
      </w:r>
      <w:r>
        <w:rPr>
          <w:spacing w:val="-114"/>
        </w:rPr>
        <w:t> </w:t>
      </w:r>
      <w:r>
        <w:rPr>
          <w:spacing w:val="-114"/>
        </w:rPr>
      </w:r>
      <w:r>
        <w:rPr/>
        <w:t>同时项目能将实现更为贴近的本地化开发和服务，降低项目服务和实施成本。</w:t>
      </w:r>
    </w:p>
    <w:p>
      <w:pPr>
        <w:pStyle w:val="Heading3"/>
        <w:spacing w:line="240" w:lineRule="auto" w:before="144"/>
        <w:ind w:right="100"/>
        <w:jc w:val="left"/>
        <w:rPr>
          <w:b w:val="0"/>
          <w:bCs w:val="0"/>
        </w:rPr>
      </w:pPr>
      <w:bookmarkStart w:name="_TOC_250051" w:id="37"/>
      <w:r>
        <w:rPr/>
        <w:t>四、股权激励计划情况</w:t>
      </w:r>
      <w:bookmarkEnd w:id="37"/>
      <w:r>
        <w:rPr>
          <w:b w:val="0"/>
          <w:bCs w:val="0"/>
        </w:rPr>
      </w:r>
    </w:p>
    <w:p>
      <w:pPr>
        <w:spacing w:line="240" w:lineRule="auto" w:before="1"/>
        <w:rPr>
          <w:rFonts w:ascii="宋体" w:hAnsi="宋体" w:cs="宋体" w:eastAsia="宋体" w:hint="default"/>
          <w:b/>
          <w:bCs/>
          <w:sz w:val="42"/>
          <w:szCs w:val="42"/>
        </w:rPr>
      </w:pPr>
    </w:p>
    <w:p>
      <w:pPr>
        <w:pStyle w:val="BodyText"/>
        <w:spacing w:line="240" w:lineRule="auto"/>
        <w:ind w:left="618" w:right="100"/>
        <w:jc w:val="left"/>
      </w:pPr>
      <w:r>
        <w:rPr/>
        <w:t>（一）股权激励方案所履行的相关程序及总体情况</w:t>
      </w:r>
    </w:p>
    <w:p>
      <w:pPr>
        <w:spacing w:line="240" w:lineRule="auto" w:before="12"/>
        <w:rPr>
          <w:rFonts w:ascii="宋体" w:hAnsi="宋体" w:cs="宋体" w:eastAsia="宋体" w:hint="default"/>
          <w:sz w:val="20"/>
          <w:szCs w:val="20"/>
        </w:rPr>
      </w:pPr>
    </w:p>
    <w:p>
      <w:pPr>
        <w:pStyle w:val="BodyText"/>
        <w:spacing w:line="343" w:lineRule="auto"/>
        <w:ind w:right="101" w:firstLine="359"/>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spacing w:val="-5"/>
        </w:rPr>
        <w:t>日，公司第一届董事会第十七次会议和第一届监事会第九次会议，</w:t>
      </w:r>
      <w:r>
        <w:rPr/>
        <w:t> </w:t>
      </w:r>
      <w:r>
        <w:rPr>
          <w:spacing w:val="-6"/>
        </w:rPr>
        <w:t>审议通过了《北京超图软件股份有限公司股票期权激励计划（草案）》及其摘要，拟</w:t>
      </w:r>
      <w:r>
        <w:rPr>
          <w:spacing w:val="-87"/>
        </w:rPr>
        <w:t> </w:t>
      </w:r>
      <w:r>
        <w:rPr>
          <w:spacing w:val="-87"/>
        </w:rPr>
      </w:r>
      <w:r>
        <w:rPr/>
        <w:t>向</w:t>
      </w:r>
      <w:r>
        <w:rPr>
          <w:spacing w:val="-49"/>
        </w:rPr>
        <w:t> </w:t>
      </w:r>
      <w:r>
        <w:rPr>
          <w:rFonts w:ascii="Times New Roman" w:hAnsi="Times New Roman" w:cs="Times New Roman" w:eastAsia="Times New Roman" w:hint="default"/>
        </w:rPr>
        <w:t>125</w:t>
      </w:r>
      <w:r>
        <w:rPr>
          <w:rFonts w:ascii="Times New Roman" w:hAnsi="Times New Roman" w:cs="Times New Roman" w:eastAsia="Times New Roman" w:hint="default"/>
          <w:spacing w:val="12"/>
        </w:rPr>
        <w:t> </w:t>
      </w:r>
      <w:r>
        <w:rPr/>
        <w:t>名激励对象（包括一名高管人员以及其他核心技术（业务）人员</w:t>
      </w:r>
      <w:r>
        <w:rPr>
          <w:spacing w:val="-47"/>
        </w:rPr>
        <w:t> </w:t>
      </w:r>
      <w:r>
        <w:rPr>
          <w:rFonts w:ascii="Times New Roman" w:hAnsi="Times New Roman" w:cs="Times New Roman" w:eastAsia="Times New Roman" w:hint="default"/>
        </w:rPr>
        <w:t>124</w:t>
      </w:r>
      <w:r>
        <w:rPr>
          <w:rFonts w:ascii="Times New Roman" w:hAnsi="Times New Roman" w:cs="Times New Roman" w:eastAsia="Times New Roman" w:hint="default"/>
          <w:spacing w:val="12"/>
        </w:rPr>
        <w:t> </w:t>
      </w:r>
      <w:r>
        <w:rPr/>
        <w:t>名）授 予</w:t>
      </w:r>
      <w:r>
        <w:rPr>
          <w:spacing w:val="-61"/>
        </w:rPr>
        <w:t> </w:t>
      </w:r>
      <w:r>
        <w:rPr>
          <w:rFonts w:ascii="Times New Roman" w:hAnsi="Times New Roman" w:cs="Times New Roman" w:eastAsia="Times New Roman" w:hint="default"/>
        </w:rPr>
        <w:t>200 </w:t>
      </w:r>
      <w:r>
        <w:rPr/>
        <w:t>万份股票期权，涉及的标的股票种类为人民币</w:t>
      </w:r>
      <w:r>
        <w:rPr>
          <w:spacing w:val="-59"/>
        </w:rPr>
        <w:t> </w:t>
      </w:r>
      <w:r>
        <w:rPr>
          <w:rFonts w:ascii="Times New Roman" w:hAnsi="Times New Roman" w:cs="Times New Roman" w:eastAsia="Times New Roman" w:hint="default"/>
        </w:rPr>
        <w:t>A</w:t>
      </w:r>
      <w:r>
        <w:rPr>
          <w:rFonts w:ascii="Times New Roman" w:hAnsi="Times New Roman" w:cs="Times New Roman" w:eastAsia="Times New Roman" w:hint="default"/>
          <w:spacing w:val="-1"/>
        </w:rPr>
        <w:t> </w:t>
      </w:r>
      <w:r>
        <w:rPr/>
        <w:t>股普通股，约占激励计划签</w:t>
      </w:r>
    </w:p>
    <w:p>
      <w:pPr>
        <w:spacing w:after="0" w:line="343" w:lineRule="auto"/>
        <w:jc w:val="left"/>
        <w:sectPr>
          <w:pgSz w:w="11910" w:h="16840"/>
          <w:pgMar w:header="884" w:footer="1173" w:top="1140" w:bottom="1360" w:left="1660" w:right="1180"/>
        </w:sectPr>
      </w:pPr>
    </w:p>
    <w:p>
      <w:pPr>
        <w:spacing w:line="240" w:lineRule="auto" w:before="6"/>
        <w:rPr>
          <w:rFonts w:ascii="宋体" w:hAnsi="宋体" w:cs="宋体" w:eastAsia="宋体" w:hint="default"/>
          <w:sz w:val="16"/>
          <w:szCs w:val="16"/>
        </w:rPr>
      </w:pPr>
    </w:p>
    <w:p>
      <w:pPr>
        <w:pStyle w:val="BodyText"/>
        <w:spacing w:line="348" w:lineRule="auto" w:before="26"/>
        <w:ind w:left="238" w:right="186"/>
        <w:jc w:val="both"/>
      </w:pPr>
      <w:r>
        <w:rPr/>
        <w:t>署时公司股本总额的</w:t>
      </w:r>
      <w:r>
        <w:rPr>
          <w:spacing w:val="-68"/>
        </w:rPr>
        <w:t> </w:t>
      </w:r>
      <w:r>
        <w:rPr>
          <w:rFonts w:ascii="Times New Roman" w:hAnsi="Times New Roman" w:cs="Times New Roman" w:eastAsia="Times New Roman" w:hint="default"/>
        </w:rPr>
        <w:t>7500</w:t>
      </w:r>
      <w:r>
        <w:rPr>
          <w:rFonts w:ascii="Times New Roman" w:hAnsi="Times New Roman" w:cs="Times New Roman" w:eastAsia="Times New Roman" w:hint="default"/>
          <w:spacing w:val="-8"/>
        </w:rPr>
        <w:t> </w:t>
      </w:r>
      <w:r>
        <w:rPr/>
        <w:t>万股的</w:t>
      </w:r>
      <w:r>
        <w:rPr>
          <w:spacing w:val="-68"/>
        </w:rPr>
        <w:t> </w:t>
      </w:r>
      <w:r>
        <w:rPr>
          <w:rFonts w:ascii="Times New Roman" w:hAnsi="Times New Roman" w:cs="Times New Roman" w:eastAsia="Times New Roman" w:hint="default"/>
        </w:rPr>
        <w:t>2.67%</w:t>
      </w:r>
      <w:r>
        <w:rPr/>
        <w:t>。公司独立董事刘先林、董云庭、谢德仁已 </w:t>
      </w:r>
      <w:r>
        <w:rPr>
          <w:spacing w:val="-4"/>
        </w:rPr>
        <w:t>就该《北京超图软件股份有限公司股票期权激励计划（草案）》发表独立董事意见；</w:t>
      </w:r>
      <w:r>
        <w:rPr>
          <w:spacing w:val="-92"/>
        </w:rPr>
        <w:t> </w:t>
      </w:r>
      <w:r>
        <w:rPr>
          <w:spacing w:val="-92"/>
        </w:rPr>
      </w:r>
      <w:r>
        <w:rPr/>
        <w:t>公司将前述股权激励计划（草案）上报中国证监会备案。</w:t>
      </w:r>
    </w:p>
    <w:p>
      <w:pPr>
        <w:pStyle w:val="BodyText"/>
        <w:spacing w:line="348" w:lineRule="auto" w:before="166"/>
        <w:ind w:left="238" w:right="128" w:firstLine="479"/>
        <w:jc w:val="left"/>
      </w:pPr>
      <w:r>
        <w:rPr/>
        <w:t>根据中国证券监督管理委员会的反馈意见，公司于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日召开公司 第一届董事会第二十次会议、第一届监事会第十二次会议审议通过了《北京超图软</w:t>
      </w:r>
      <w:r>
        <w:rPr>
          <w:spacing w:val="-75"/>
        </w:rPr>
        <w:t> </w:t>
      </w:r>
      <w:r>
        <w:rPr>
          <w:spacing w:val="-75"/>
        </w:rPr>
      </w:r>
      <w:r>
        <w:rPr>
          <w:spacing w:val="-20"/>
        </w:rPr>
        <w:t>件股份有限公司股票期权激励计划（草案修订稿）》（以下简称《股票期权激励计划》），</w:t>
      </w:r>
      <w:r>
        <w:rPr>
          <w:spacing w:val="-112"/>
        </w:rPr>
        <w:t> </w:t>
      </w:r>
      <w:r>
        <w:rPr>
          <w:spacing w:val="-112"/>
        </w:rPr>
      </w:r>
      <w:r>
        <w:rPr/>
        <w:t>将股票期权激励对象人员数量由</w:t>
      </w:r>
      <w:r>
        <w:rPr>
          <w:spacing w:val="-45"/>
        </w:rPr>
        <w:t> </w:t>
      </w:r>
      <w:r>
        <w:rPr>
          <w:rFonts w:ascii="Times New Roman" w:hAnsi="Times New Roman" w:cs="Times New Roman" w:eastAsia="Times New Roman" w:hint="default"/>
        </w:rPr>
        <w:t>125</w:t>
      </w:r>
      <w:r>
        <w:rPr>
          <w:rFonts w:ascii="Times New Roman" w:hAnsi="Times New Roman" w:cs="Times New Roman" w:eastAsia="Times New Roman" w:hint="default"/>
          <w:spacing w:val="15"/>
        </w:rPr>
        <w:t> </w:t>
      </w:r>
      <w:r>
        <w:rPr/>
        <w:t>名调整到</w:t>
      </w:r>
      <w:r>
        <w:rPr>
          <w:spacing w:val="-44"/>
        </w:rPr>
        <w:t> </w:t>
      </w:r>
      <w:r>
        <w:rPr>
          <w:rFonts w:ascii="Times New Roman" w:hAnsi="Times New Roman" w:cs="Times New Roman" w:eastAsia="Times New Roman" w:hint="default"/>
          <w:spacing w:val="-4"/>
        </w:rPr>
        <w:t>116</w:t>
      </w:r>
      <w:r>
        <w:rPr>
          <w:rFonts w:ascii="Times New Roman" w:hAnsi="Times New Roman" w:cs="Times New Roman" w:eastAsia="Times New Roman" w:hint="default"/>
          <w:spacing w:val="15"/>
        </w:rPr>
        <w:t> </w:t>
      </w:r>
      <w:r>
        <w:rPr/>
        <w:t>名，在行权条件中增加了与“加 权平均净资产收益率”相关联的业绩考核指标。</w:t>
      </w:r>
    </w:p>
    <w:p>
      <w:pPr>
        <w:pStyle w:val="BodyText"/>
        <w:spacing w:line="240" w:lineRule="auto" w:before="43"/>
        <w:ind w:left="718" w:right="121"/>
        <w:jc w:val="left"/>
      </w:pPr>
      <w:r>
        <w:rPr/>
        <w:t>《股票期权激励计划》经中国证监会备案无异议后，</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日，公司召</w:t>
      </w:r>
    </w:p>
    <w:p>
      <w:pPr>
        <w:pStyle w:val="BodyText"/>
        <w:spacing w:line="350" w:lineRule="auto" w:before="135"/>
        <w:ind w:left="238" w:right="252"/>
        <w:jc w:val="both"/>
      </w:pPr>
      <w:r>
        <w:rPr/>
        <w:t>开</w:t>
      </w:r>
      <w:r>
        <w:rPr>
          <w:spacing w:val="-8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年第一次临时股东大会审议通过了《股票期权激励计划》以及《授权董事会 </w:t>
      </w:r>
      <w:r>
        <w:rPr>
          <w:spacing w:val="-6"/>
        </w:rPr>
        <w:t>办理公司股票期权激励计划相关事宜的议案》，董事会被授权确定期权授权日、在激</w:t>
      </w:r>
      <w:r>
        <w:rPr>
          <w:spacing w:val="-85"/>
        </w:rPr>
        <w:t> </w:t>
      </w:r>
      <w:r>
        <w:rPr>
          <w:spacing w:val="-85"/>
        </w:rPr>
      </w:r>
      <w:r>
        <w:rPr>
          <w:spacing w:val="7"/>
        </w:rPr>
        <w:t>励对象符合条件时向激励对象授予股票期权并办理授予股票期权所必须的全部事</w:t>
      </w:r>
      <w:r>
        <w:rPr>
          <w:spacing w:val="-96"/>
        </w:rPr>
        <w:t> </w:t>
      </w:r>
      <w:r>
        <w:rPr>
          <w:spacing w:val="-96"/>
        </w:rPr>
      </w:r>
      <w:r>
        <w:rPr/>
        <w:t>宜。</w:t>
      </w:r>
    </w:p>
    <w:p>
      <w:pPr>
        <w:pStyle w:val="BodyText"/>
        <w:spacing w:line="338" w:lineRule="auto" w:before="43"/>
        <w:ind w:left="238" w:right="252" w:firstLine="479"/>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日分别召开第二届董事会第一次、第二届监事会第一次会议审 议通过了《关于对</w:t>
      </w:r>
      <w:r>
        <w:rPr>
          <w:rFonts w:ascii="Times New Roman" w:hAnsi="Times New Roman" w:cs="Times New Roman" w:eastAsia="Times New Roman" w:hint="default"/>
        </w:rPr>
        <w:t>&lt;</w:t>
      </w:r>
      <w:r>
        <w:rPr/>
        <w:t>股票期权激励计划</w:t>
      </w:r>
      <w:r>
        <w:rPr>
          <w:rFonts w:ascii="Times New Roman" w:hAnsi="Times New Roman" w:cs="Times New Roman" w:eastAsia="Times New Roman" w:hint="default"/>
        </w:rPr>
        <w:t>&gt;</w:t>
      </w:r>
      <w:r>
        <w:rPr/>
        <w:t>激励对象及涉及股票期权数量和行权价格进</w:t>
      </w:r>
      <w:r>
        <w:rPr>
          <w:spacing w:val="-108"/>
        </w:rPr>
        <w:t> </w:t>
      </w:r>
      <w:r>
        <w:rPr>
          <w:spacing w:val="-108"/>
        </w:rPr>
      </w:r>
      <w:r>
        <w:rPr>
          <w:spacing w:val="-9"/>
        </w:rPr>
        <w:t>行调整的议案》，将激励对象由</w:t>
      </w:r>
      <w:r>
        <w:rPr>
          <w:spacing w:val="-47"/>
        </w:rPr>
        <w:t> </w:t>
      </w:r>
      <w:r>
        <w:rPr>
          <w:rFonts w:ascii="Times New Roman" w:hAnsi="Times New Roman" w:cs="Times New Roman" w:eastAsia="Times New Roman" w:hint="default"/>
          <w:spacing w:val="-4"/>
        </w:rPr>
        <w:t>116</w:t>
      </w:r>
      <w:r>
        <w:rPr>
          <w:rFonts w:ascii="Times New Roman" w:hAnsi="Times New Roman" w:cs="Times New Roman" w:eastAsia="Times New Roman" w:hint="default"/>
          <w:spacing w:val="13"/>
        </w:rPr>
        <w:t> </w:t>
      </w:r>
      <w:r>
        <w:rPr/>
        <w:t>名调整为</w:t>
      </w:r>
      <w:r>
        <w:rPr>
          <w:spacing w:val="-47"/>
        </w:rPr>
        <w:t> </w:t>
      </w:r>
      <w:r>
        <w:rPr>
          <w:rFonts w:ascii="Times New Roman" w:hAnsi="Times New Roman" w:cs="Times New Roman" w:eastAsia="Times New Roman" w:hint="default"/>
          <w:spacing w:val="-4"/>
        </w:rPr>
        <w:t>114</w:t>
      </w:r>
      <w:r>
        <w:rPr>
          <w:rFonts w:ascii="Times New Roman" w:hAnsi="Times New Roman" w:cs="Times New Roman" w:eastAsia="Times New Roman" w:hint="default"/>
          <w:spacing w:val="13"/>
        </w:rPr>
        <w:t> </w:t>
      </w:r>
      <w:r>
        <w:rPr/>
        <w:t>名，同时根据公司</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3"/>
        </w:rPr>
        <w:t> </w:t>
      </w:r>
      <w:r>
        <w:rPr/>
        <w:t>年度股东</w:t>
      </w:r>
    </w:p>
    <w:p>
      <w:pPr>
        <w:pStyle w:val="BodyText"/>
        <w:spacing w:line="350" w:lineRule="auto" w:before="27"/>
        <w:ind w:left="238" w:right="135"/>
        <w:jc w:val="both"/>
      </w:pPr>
      <w:r>
        <w:rPr>
          <w:spacing w:val="-4"/>
        </w:rPr>
        <w:t>大会通过的《关于</w:t>
      </w:r>
      <w:r>
        <w:rPr>
          <w:spacing w:val="-7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年度利润分配及资本公积金转增股本的预案》以及《股票期 权激励计划》的相关规定，对股票期权数量及行权价格进行了调整。此外，会议审</w:t>
      </w:r>
      <w:r>
        <w:rPr>
          <w:spacing w:val="-77"/>
        </w:rPr>
        <w:t> </w:t>
      </w:r>
      <w:r>
        <w:rPr>
          <w:spacing w:val="-77"/>
        </w:rPr>
      </w:r>
      <w:r>
        <w:rPr>
          <w:spacing w:val="-6"/>
        </w:rPr>
        <w:t>议通过了《关于公司股票期权激励计划所涉股票期权首次期权授予事项的议案》，确</w:t>
      </w:r>
      <w:r>
        <w:rPr>
          <w:spacing w:val="-34"/>
        </w:rPr>
        <w:t> </w:t>
      </w:r>
      <w:r>
        <w:rPr>
          <w:spacing w:val="-4"/>
        </w:rPr>
        <w:t>认：本次</w:t>
      </w:r>
      <w:r>
        <w:rPr>
          <w:spacing w:val="-84"/>
        </w:rPr>
        <w:t> </w:t>
      </w:r>
      <w:r>
        <w:rPr>
          <w:rFonts w:ascii="Times New Roman" w:hAnsi="Times New Roman" w:cs="Times New Roman" w:eastAsia="Times New Roman" w:hint="default"/>
          <w:spacing w:val="-4"/>
        </w:rPr>
        <w:t>114</w:t>
      </w:r>
      <w:r>
        <w:rPr>
          <w:rFonts w:ascii="Times New Roman" w:hAnsi="Times New Roman" w:cs="Times New Roman" w:eastAsia="Times New Roman" w:hint="default"/>
          <w:spacing w:val="-23"/>
        </w:rPr>
        <w:t> </w:t>
      </w:r>
      <w:r>
        <w:rPr/>
        <w:t>名股权激励对象的主体资格合法、有效，且满足《股票期权激励计划》</w:t>
      </w:r>
    </w:p>
    <w:p>
      <w:pPr>
        <w:pStyle w:val="BodyText"/>
        <w:spacing w:line="240" w:lineRule="auto" w:before="13"/>
        <w:ind w:left="238" w:right="0"/>
        <w:jc w:val="both"/>
      </w:pPr>
      <w:r>
        <w:rPr/>
        <w:t>规定的获授条件，同意激励对象按照《股票期权激励计划》有关规定获授</w:t>
      </w:r>
      <w:r>
        <w:rPr>
          <w:spacing w:val="-64"/>
        </w:rPr>
        <w:t> </w:t>
      </w:r>
      <w:r>
        <w:rPr>
          <w:rFonts w:ascii="Times New Roman" w:hAnsi="Times New Roman" w:cs="Times New Roman" w:eastAsia="Times New Roman" w:hint="default"/>
        </w:rPr>
        <w:t>314.88</w:t>
      </w:r>
      <w:r>
        <w:rPr>
          <w:rFonts w:ascii="Times New Roman" w:hAnsi="Times New Roman" w:cs="Times New Roman" w:eastAsia="Times New Roman" w:hint="default"/>
          <w:spacing w:val="-5"/>
        </w:rPr>
        <w:t> </w:t>
      </w:r>
      <w:r>
        <w:rPr/>
        <w:t>万</w:t>
      </w:r>
    </w:p>
    <w:p>
      <w:pPr>
        <w:pStyle w:val="BodyText"/>
        <w:spacing w:line="240" w:lineRule="auto" w:before="134"/>
        <w:ind w:left="238" w:right="0"/>
        <w:jc w:val="both"/>
      </w:pPr>
      <w:r>
        <w:rPr/>
        <w:t>份股票期权，授予日为</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10 </w:t>
      </w:r>
      <w:r>
        <w:rPr/>
        <w:t>日。</w:t>
      </w:r>
    </w:p>
    <w:p>
      <w:pPr>
        <w:pStyle w:val="BodyText"/>
        <w:spacing w:line="336" w:lineRule="auto" w:before="135"/>
        <w:ind w:left="238" w:right="241" w:firstLine="479"/>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7 </w:t>
      </w:r>
      <w:r>
        <w:rPr/>
        <w:t>日，公司完成股票期权激励计划首次授予的期权登记，具体情况 为：</w:t>
      </w:r>
    </w:p>
    <w:p>
      <w:pPr>
        <w:pStyle w:val="BodyText"/>
        <w:tabs>
          <w:tab w:pos="3819" w:val="left" w:leader="none"/>
        </w:tabs>
        <w:spacing w:line="240" w:lineRule="auto" w:before="58"/>
        <w:ind w:left="718" w:right="12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、期权简称：超图</w:t>
      </w:r>
      <w:r>
        <w:rPr>
          <w:spacing w:val="-62"/>
        </w:rPr>
        <w:t> </w:t>
      </w:r>
      <w:r>
        <w:rPr>
          <w:rFonts w:ascii="Times New Roman" w:hAnsi="Times New Roman" w:cs="Times New Roman" w:eastAsia="Times New Roman" w:hint="default"/>
        </w:rPr>
        <w:t>JLC1</w:t>
        <w:tab/>
      </w:r>
      <w:r>
        <w:rPr/>
        <w:t>期权代码：</w:t>
      </w:r>
      <w:r>
        <w:rPr>
          <w:rFonts w:ascii="Times New Roman" w:hAnsi="Times New Roman" w:cs="Times New Roman" w:eastAsia="Times New Roman" w:hint="default"/>
        </w:rPr>
        <w:t>036010</w:t>
      </w:r>
    </w:p>
    <w:p>
      <w:pPr>
        <w:pStyle w:val="BodyText"/>
        <w:spacing w:line="240" w:lineRule="auto" w:before="133"/>
        <w:ind w:left="718" w:right="121"/>
        <w:jc w:val="left"/>
      </w:pPr>
      <w:r>
        <w:rPr>
          <w:rFonts w:ascii="Times New Roman" w:hAnsi="Times New Roman" w:cs="Times New Roman" w:eastAsia="Times New Roman" w:hint="default"/>
        </w:rPr>
        <w:t>2</w:t>
      </w:r>
      <w:r>
        <w:rPr/>
        <w:t>、经登记的首次授予人员名单及分配比例：</w:t>
      </w:r>
    </w:p>
    <w:p>
      <w:pPr>
        <w:spacing w:line="240" w:lineRule="auto" w:before="6"/>
        <w:rPr>
          <w:rFonts w:ascii="宋体" w:hAnsi="宋体" w:cs="宋体" w:eastAsia="宋体" w:hint="default"/>
          <w:sz w:val="13"/>
          <w:szCs w:val="13"/>
        </w:rPr>
      </w:pPr>
    </w:p>
    <w:tbl>
      <w:tblPr>
        <w:tblW w:w="0" w:type="auto"/>
        <w:jc w:val="left"/>
        <w:tblInd w:w="115" w:type="dxa"/>
        <w:tblLayout w:type="fixed"/>
        <w:tblCellMar>
          <w:top w:w="0" w:type="dxa"/>
          <w:left w:w="0" w:type="dxa"/>
          <w:bottom w:w="0" w:type="dxa"/>
          <w:right w:w="0" w:type="dxa"/>
        </w:tblCellMar>
        <w:tblLook w:val="01E0"/>
      </w:tblPr>
      <w:tblGrid>
        <w:gridCol w:w="1373"/>
        <w:gridCol w:w="1942"/>
        <w:gridCol w:w="2204"/>
        <w:gridCol w:w="1875"/>
        <w:gridCol w:w="1514"/>
      </w:tblGrid>
      <w:tr>
        <w:trPr>
          <w:trHeight w:val="840" w:hRule="exact"/>
        </w:trPr>
        <w:tc>
          <w:tcPr>
            <w:tcW w:w="13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70"/>
              <w:ind w:right="410"/>
              <w:jc w:val="righ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9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0"/>
              <w:ind w:left="523" w:right="0"/>
              <w:jc w:val="left"/>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220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8"/>
                <w:sz w:val="21"/>
                <w:szCs w:val="21"/>
              </w:rPr>
              <w:t>本次获授的股票期权</w:t>
            </w:r>
            <w:r>
              <w:rPr>
                <w:rFonts w:ascii="宋体" w:hAnsi="宋体" w:cs="宋体" w:eastAsia="宋体" w:hint="default"/>
                <w:spacing w:val="8"/>
                <w:sz w:val="21"/>
                <w:szCs w:val="21"/>
              </w:rPr>
            </w: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份数</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万份</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75"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75"/>
                <w:sz w:val="21"/>
                <w:szCs w:val="21"/>
              </w:rPr>
              <w:t> </w:t>
            </w:r>
            <w:r>
              <w:rPr>
                <w:rFonts w:ascii="宋体" w:hAnsi="宋体" w:cs="宋体" w:eastAsia="宋体" w:hint="default"/>
                <w:b/>
                <w:bCs/>
                <w:sz w:val="21"/>
                <w:szCs w:val="21"/>
              </w:rPr>
              <w:t>本</w:t>
            </w:r>
            <w:r>
              <w:rPr>
                <w:rFonts w:ascii="宋体" w:hAnsi="宋体" w:cs="宋体" w:eastAsia="宋体" w:hint="default"/>
                <w:b/>
                <w:bCs/>
                <w:spacing w:val="-75"/>
                <w:sz w:val="21"/>
                <w:szCs w:val="21"/>
              </w:rPr>
              <w:t> </w:t>
            </w:r>
            <w:r>
              <w:rPr>
                <w:rFonts w:ascii="宋体" w:hAnsi="宋体" w:cs="宋体" w:eastAsia="宋体" w:hint="default"/>
                <w:b/>
                <w:bCs/>
                <w:sz w:val="21"/>
                <w:szCs w:val="21"/>
              </w:rPr>
              <w:t>次</w:t>
            </w:r>
            <w:r>
              <w:rPr>
                <w:rFonts w:ascii="宋体" w:hAnsi="宋体" w:cs="宋体" w:eastAsia="宋体" w:hint="default"/>
                <w:b/>
                <w:bCs/>
                <w:spacing w:val="-75"/>
                <w:sz w:val="21"/>
                <w:szCs w:val="21"/>
              </w:rPr>
              <w:t> </w:t>
            </w:r>
            <w:r>
              <w:rPr>
                <w:rFonts w:ascii="宋体" w:hAnsi="宋体" w:cs="宋体" w:eastAsia="宋体" w:hint="default"/>
                <w:b/>
                <w:bCs/>
                <w:sz w:val="21"/>
                <w:szCs w:val="21"/>
              </w:rPr>
              <w:t>授</w:t>
            </w:r>
            <w:r>
              <w:rPr>
                <w:rFonts w:ascii="宋体" w:hAnsi="宋体" w:cs="宋体" w:eastAsia="宋体" w:hint="default"/>
                <w:b/>
                <w:bCs/>
                <w:spacing w:val="-78"/>
                <w:sz w:val="21"/>
                <w:szCs w:val="21"/>
              </w:rPr>
              <w:t> </w:t>
            </w:r>
            <w:r>
              <w:rPr>
                <w:rFonts w:ascii="宋体" w:hAnsi="宋体" w:cs="宋体" w:eastAsia="宋体" w:hint="default"/>
                <w:b/>
                <w:bCs/>
                <w:sz w:val="21"/>
                <w:szCs w:val="21"/>
              </w:rPr>
              <w:t>予</w:t>
            </w:r>
            <w:r>
              <w:rPr>
                <w:rFonts w:ascii="宋体" w:hAnsi="宋体" w:cs="宋体" w:eastAsia="宋体" w:hint="default"/>
                <w:b/>
                <w:bCs/>
                <w:spacing w:val="-75"/>
                <w:sz w:val="21"/>
                <w:szCs w:val="21"/>
              </w:rPr>
              <w:t> </w:t>
            </w:r>
            <w:r>
              <w:rPr>
                <w:rFonts w:ascii="宋体" w:hAnsi="宋体" w:cs="宋体" w:eastAsia="宋体" w:hint="default"/>
                <w:b/>
                <w:bCs/>
                <w:sz w:val="21"/>
                <w:szCs w:val="21"/>
              </w:rPr>
              <w:t>期</w:t>
            </w:r>
            <w:r>
              <w:rPr>
                <w:rFonts w:ascii="宋体" w:hAnsi="宋体" w:cs="宋体" w:eastAsia="宋体" w:hint="default"/>
                <w:b/>
                <w:bCs/>
                <w:spacing w:val="-75"/>
                <w:sz w:val="21"/>
                <w:szCs w:val="21"/>
              </w:rPr>
              <w:t> </w:t>
            </w:r>
            <w:r>
              <w:rPr>
                <w:rFonts w:ascii="宋体" w:hAnsi="宋体" w:cs="宋体" w:eastAsia="宋体" w:hint="default"/>
                <w:b/>
                <w:bCs/>
                <w:sz w:val="21"/>
                <w:szCs w:val="21"/>
              </w:rPr>
              <w:t>权</w:t>
            </w:r>
            <w:r>
              <w:rPr>
                <w:rFonts w:ascii="宋体" w:hAnsi="宋体" w:cs="宋体" w:eastAsia="宋体" w:hint="default"/>
                <w:sz w:val="21"/>
                <w:szCs w:val="21"/>
              </w:rPr>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b/>
                <w:bCs/>
                <w:sz w:val="21"/>
                <w:szCs w:val="21"/>
              </w:rPr>
              <w:t>总数的比例</w:t>
            </w:r>
            <w:r>
              <w:rPr>
                <w:rFonts w:ascii="宋体" w:hAnsi="宋体" w:cs="宋体" w:eastAsia="宋体" w:hint="default"/>
                <w:sz w:val="21"/>
                <w:szCs w:val="21"/>
              </w:rPr>
            </w:r>
          </w:p>
        </w:tc>
        <w:tc>
          <w:tcPr>
            <w:tcW w:w="1514"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pacing w:val="4"/>
                <w:sz w:val="21"/>
                <w:szCs w:val="21"/>
              </w:rPr>
              <w:t>占目前总股本</w:t>
            </w:r>
            <w:r>
              <w:rPr>
                <w:rFonts w:ascii="宋体" w:hAnsi="宋体" w:cs="宋体" w:eastAsia="宋体" w:hint="default"/>
                <w:spacing w:val="4"/>
                <w:sz w:val="21"/>
                <w:szCs w:val="21"/>
              </w:rPr>
            </w:r>
          </w:p>
          <w:p>
            <w:pPr>
              <w:pStyle w:val="TableParagraph"/>
              <w:spacing w:line="240" w:lineRule="auto" w:before="135"/>
              <w:ind w:left="100" w:right="0"/>
              <w:jc w:val="left"/>
              <w:rPr>
                <w:rFonts w:ascii="宋体" w:hAnsi="宋体" w:cs="宋体" w:eastAsia="宋体" w:hint="default"/>
                <w:sz w:val="21"/>
                <w:szCs w:val="21"/>
              </w:rPr>
            </w:pPr>
            <w:r>
              <w:rPr>
                <w:rFonts w:ascii="宋体" w:hAnsi="宋体" w:cs="宋体" w:eastAsia="宋体" w:hint="default"/>
                <w:b/>
                <w:bCs/>
                <w:sz w:val="21"/>
                <w:szCs w:val="21"/>
              </w:rPr>
              <w:t>的比例</w:t>
            </w:r>
            <w:r>
              <w:rPr>
                <w:rFonts w:ascii="宋体" w:hAnsi="宋体" w:cs="宋体" w:eastAsia="宋体" w:hint="default"/>
                <w:sz w:val="21"/>
                <w:szCs w:val="21"/>
              </w:rPr>
            </w:r>
          </w:p>
        </w:tc>
      </w:tr>
      <w:tr>
        <w:trPr>
          <w:trHeight w:val="430" w:hRule="exact"/>
        </w:trPr>
        <w:tc>
          <w:tcPr>
            <w:tcW w:w="137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413"/>
              <w:jc w:val="right"/>
              <w:rPr>
                <w:rFonts w:ascii="宋体" w:hAnsi="宋体" w:cs="宋体" w:eastAsia="宋体" w:hint="default"/>
                <w:sz w:val="21"/>
                <w:szCs w:val="21"/>
              </w:rPr>
            </w:pPr>
            <w:r>
              <w:rPr>
                <w:rFonts w:ascii="宋体" w:hAnsi="宋体" w:cs="宋体" w:eastAsia="宋体" w:hint="default"/>
                <w:sz w:val="21"/>
                <w:szCs w:val="21"/>
              </w:rPr>
              <w:t>鹿麒</w:t>
            </w:r>
          </w:p>
        </w:tc>
        <w:tc>
          <w:tcPr>
            <w:tcW w:w="1942"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520" w:right="0"/>
              <w:jc w:val="left"/>
              <w:rPr>
                <w:rFonts w:ascii="Times New Roman" w:hAnsi="Times New Roman" w:cs="Times New Roman" w:eastAsia="Times New Roman" w:hint="default"/>
                <w:sz w:val="21"/>
                <w:szCs w:val="21"/>
              </w:rPr>
            </w:pPr>
            <w:r>
              <w:rPr>
                <w:rFonts w:ascii="Times New Roman"/>
                <w:sz w:val="21"/>
              </w:rPr>
              <w:t>9.6</w:t>
            </w:r>
          </w:p>
        </w:tc>
        <w:tc>
          <w:tcPr>
            <w:tcW w:w="18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
              <w:ind w:left="520" w:right="0"/>
              <w:jc w:val="left"/>
              <w:rPr>
                <w:rFonts w:ascii="Times New Roman" w:hAnsi="Times New Roman" w:cs="Times New Roman" w:eastAsia="Times New Roman" w:hint="default"/>
                <w:sz w:val="21"/>
                <w:szCs w:val="21"/>
              </w:rPr>
            </w:pPr>
            <w:r>
              <w:rPr>
                <w:rFonts w:ascii="Times New Roman"/>
                <w:sz w:val="21"/>
              </w:rPr>
              <w:t>1.91%</w:t>
            </w:r>
          </w:p>
        </w:tc>
        <w:tc>
          <w:tcPr>
            <w:tcW w:w="15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8"/>
              <w:ind w:left="520" w:right="0"/>
              <w:jc w:val="left"/>
              <w:rPr>
                <w:rFonts w:ascii="Times New Roman" w:hAnsi="Times New Roman" w:cs="Times New Roman" w:eastAsia="Times New Roman" w:hint="default"/>
                <w:sz w:val="21"/>
                <w:szCs w:val="21"/>
              </w:rPr>
            </w:pPr>
            <w:r>
              <w:rPr>
                <w:rFonts w:ascii="Times New Roman"/>
                <w:sz w:val="21"/>
              </w:rPr>
              <w:t>0.08%</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1173" w:top="1140" w:bottom="1360" w:left="1560" w:right="1160"/>
        </w:sectPr>
      </w:pPr>
    </w:p>
    <w:p>
      <w:pPr>
        <w:spacing w:line="240" w:lineRule="auto" w:before="6"/>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3315"/>
        <w:gridCol w:w="2204"/>
        <w:gridCol w:w="1875"/>
        <w:gridCol w:w="1514"/>
      </w:tblGrid>
      <w:tr>
        <w:trPr>
          <w:trHeight w:val="840" w:hRule="exact"/>
        </w:trPr>
        <w:tc>
          <w:tcPr>
            <w:tcW w:w="3315" w:type="dxa"/>
            <w:tcBorders>
              <w:top w:val="single" w:sz="12" w:space="0" w:color="000000"/>
              <w:left w:val="single" w:sz="12" w:space="0" w:color="000000"/>
              <w:bottom w:val="single" w:sz="6" w:space="0" w:color="000000"/>
              <w:right w:val="single" w:sz="6" w:space="0" w:color="000000"/>
            </w:tcBorders>
          </w:tcPr>
          <w:p>
            <w:pPr>
              <w:pStyle w:val="TableParagraph"/>
              <w:spacing w:line="244" w:lineRule="exact"/>
              <w:ind w:left="93" w:right="0"/>
              <w:jc w:val="left"/>
              <w:rPr>
                <w:rFonts w:ascii="宋体" w:hAnsi="宋体" w:cs="宋体" w:eastAsia="宋体" w:hint="default"/>
                <w:sz w:val="21"/>
                <w:szCs w:val="21"/>
              </w:rPr>
            </w:pPr>
            <w:r>
              <w:rPr>
                <w:rFonts w:ascii="宋体" w:hAnsi="宋体" w:cs="宋体" w:eastAsia="宋体" w:hint="default"/>
                <w:sz w:val="21"/>
                <w:szCs w:val="21"/>
              </w:rPr>
              <w:t>其他核心技术（业务）人员合计</w:t>
            </w:r>
          </w:p>
          <w:p>
            <w:pPr>
              <w:pStyle w:val="TableParagraph"/>
              <w:spacing w:line="240" w:lineRule="auto" w:before="133"/>
              <w:ind w:left="51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名</w:t>
            </w:r>
          </w:p>
        </w:tc>
        <w:tc>
          <w:tcPr>
            <w:tcW w:w="22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20" w:right="0"/>
              <w:jc w:val="left"/>
              <w:rPr>
                <w:rFonts w:ascii="Times New Roman" w:hAnsi="Times New Roman" w:cs="Times New Roman" w:eastAsia="Times New Roman" w:hint="default"/>
                <w:sz w:val="21"/>
                <w:szCs w:val="21"/>
              </w:rPr>
            </w:pPr>
            <w:r>
              <w:rPr>
                <w:rFonts w:ascii="Times New Roman"/>
                <w:sz w:val="21"/>
              </w:rPr>
              <w:t>305.28</w:t>
            </w:r>
          </w:p>
        </w:tc>
        <w:tc>
          <w:tcPr>
            <w:tcW w:w="187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20" w:right="0"/>
              <w:jc w:val="left"/>
              <w:rPr>
                <w:rFonts w:ascii="Times New Roman" w:hAnsi="Times New Roman" w:cs="Times New Roman" w:eastAsia="Times New Roman" w:hint="default"/>
                <w:sz w:val="21"/>
                <w:szCs w:val="21"/>
              </w:rPr>
            </w:pPr>
            <w:r>
              <w:rPr>
                <w:rFonts w:ascii="Times New Roman"/>
                <w:sz w:val="21"/>
              </w:rPr>
              <w:t>98.09%</w:t>
            </w:r>
          </w:p>
        </w:tc>
        <w:tc>
          <w:tcPr>
            <w:tcW w:w="151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424"/>
              <w:jc w:val="right"/>
              <w:rPr>
                <w:rFonts w:ascii="Times New Roman" w:hAnsi="Times New Roman" w:cs="Times New Roman" w:eastAsia="Times New Roman" w:hint="default"/>
                <w:sz w:val="21"/>
                <w:szCs w:val="21"/>
              </w:rPr>
            </w:pPr>
            <w:r>
              <w:rPr>
                <w:rFonts w:ascii="Times New Roman"/>
                <w:sz w:val="21"/>
              </w:rPr>
              <w:t>2.54%</w:t>
            </w:r>
          </w:p>
        </w:tc>
      </w:tr>
      <w:tr>
        <w:trPr>
          <w:trHeight w:val="430" w:hRule="exact"/>
        </w:trPr>
        <w:tc>
          <w:tcPr>
            <w:tcW w:w="3315"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20" w:right="0"/>
              <w:jc w:val="left"/>
              <w:rPr>
                <w:rFonts w:ascii="Times New Roman" w:hAnsi="Times New Roman" w:cs="Times New Roman" w:eastAsia="Times New Roman" w:hint="default"/>
                <w:sz w:val="21"/>
                <w:szCs w:val="21"/>
              </w:rPr>
            </w:pPr>
            <w:r>
              <w:rPr>
                <w:rFonts w:ascii="Times New Roman"/>
                <w:sz w:val="21"/>
              </w:rPr>
              <w:t>314.88</w:t>
            </w:r>
          </w:p>
        </w:tc>
        <w:tc>
          <w:tcPr>
            <w:tcW w:w="18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20" w:right="0"/>
              <w:jc w:val="left"/>
              <w:rPr>
                <w:rFonts w:ascii="Times New Roman" w:hAnsi="Times New Roman" w:cs="Times New Roman" w:eastAsia="Times New Roman" w:hint="default"/>
                <w:sz w:val="21"/>
                <w:szCs w:val="21"/>
              </w:rPr>
            </w:pPr>
            <w:r>
              <w:rPr>
                <w:rFonts w:ascii="Times New Roman"/>
                <w:sz w:val="21"/>
              </w:rPr>
              <w:t>100%</w:t>
            </w:r>
          </w:p>
        </w:tc>
        <w:tc>
          <w:tcPr>
            <w:tcW w:w="151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7"/>
              <w:ind w:right="424"/>
              <w:jc w:val="right"/>
              <w:rPr>
                <w:rFonts w:ascii="Times New Roman" w:hAnsi="Times New Roman" w:cs="Times New Roman" w:eastAsia="Times New Roman" w:hint="default"/>
                <w:sz w:val="21"/>
                <w:szCs w:val="21"/>
              </w:rPr>
            </w:pPr>
            <w:r>
              <w:rPr>
                <w:rFonts w:ascii="Times New Roman"/>
                <w:sz w:val="21"/>
              </w:rPr>
              <w:t>2.62%</w:t>
            </w:r>
          </w:p>
        </w:tc>
      </w:tr>
    </w:tbl>
    <w:p>
      <w:pPr>
        <w:pStyle w:val="BodyText"/>
        <w:spacing w:line="294" w:lineRule="exact"/>
        <w:ind w:left="718" w:right="121"/>
        <w:jc w:val="left"/>
      </w:pPr>
      <w:r>
        <w:rPr>
          <w:rFonts w:ascii="Times New Roman" w:hAnsi="Times New Roman" w:cs="Times New Roman" w:eastAsia="Times New Roman" w:hint="default"/>
        </w:rPr>
        <w:t>3</w:t>
      </w:r>
      <w:r>
        <w:rPr/>
        <w:t>、股票期权的授予日：</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w:t>
      </w:r>
    </w:p>
    <w:p>
      <w:pPr>
        <w:pStyle w:val="BodyText"/>
        <w:spacing w:line="240" w:lineRule="auto" w:before="133"/>
        <w:ind w:left="718" w:right="121"/>
        <w:jc w:val="left"/>
      </w:pPr>
      <w:r>
        <w:rPr>
          <w:rFonts w:ascii="Times New Roman" w:hAnsi="Times New Roman" w:cs="Times New Roman" w:eastAsia="Times New Roman" w:hint="default"/>
        </w:rPr>
        <w:t>4</w:t>
      </w:r>
      <w:r>
        <w:rPr/>
        <w:t>、行权价格：授予股票期权的行权价格为每股</w:t>
      </w:r>
      <w:r>
        <w:rPr>
          <w:spacing w:val="-59"/>
        </w:rPr>
        <w:t> </w:t>
      </w:r>
      <w:r>
        <w:rPr>
          <w:rFonts w:ascii="Times New Roman" w:hAnsi="Times New Roman" w:cs="Times New Roman" w:eastAsia="Times New Roman" w:hint="default"/>
        </w:rPr>
        <w:t>17.66 </w:t>
      </w:r>
      <w:r>
        <w:rPr/>
        <w:t>元；</w:t>
      </w:r>
    </w:p>
    <w:p>
      <w:pPr>
        <w:pStyle w:val="BodyText"/>
        <w:spacing w:line="355" w:lineRule="auto" w:before="135"/>
        <w:ind w:left="598" w:right="3288" w:firstLine="120"/>
        <w:jc w:val="left"/>
      </w:pPr>
      <w:r>
        <w:rPr/>
        <w:t>（二）股权激励基金提取及分配情况 报告期内，公司无股权激励基金提取及分配情况。</w:t>
      </w:r>
    </w:p>
    <w:p>
      <w:pPr>
        <w:pStyle w:val="BodyText"/>
        <w:spacing w:line="357" w:lineRule="auto" w:before="38"/>
        <w:ind w:left="718" w:right="768"/>
        <w:jc w:val="left"/>
      </w:pPr>
      <w:r>
        <w:rPr/>
        <w:t>（三）股权激励股份来源情况 本次股权激励的标的股票来源为公司向激励对象定向发行超图软件股票。</w:t>
      </w:r>
    </w:p>
    <w:p>
      <w:pPr>
        <w:pStyle w:val="BodyText"/>
        <w:spacing w:line="357" w:lineRule="auto" w:before="34"/>
        <w:ind w:left="718" w:right="246"/>
        <w:jc w:val="left"/>
      </w:pPr>
      <w:r>
        <w:rPr/>
        <w:t>（四）对激励对象的考核情况 </w:t>
      </w:r>
      <w:r>
        <w:rPr>
          <w:spacing w:val="-2"/>
        </w:rPr>
        <w:t>本次股权激励计划授予在</w:t>
      </w:r>
      <w:r>
        <w:rPr>
          <w:rFonts w:ascii="Times New Roman" w:hAnsi="Times New Roman" w:cs="Times New Roman" w:eastAsia="Times New Roman" w:hint="default"/>
          <w:spacing w:val="-2"/>
        </w:rPr>
        <w:t>2013</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2015</w:t>
      </w:r>
      <w:r>
        <w:rPr>
          <w:spacing w:val="-2"/>
        </w:rPr>
        <w:t>年的</w:t>
      </w:r>
      <w:r>
        <w:rPr>
          <w:rFonts w:ascii="Times New Roman" w:hAnsi="Times New Roman" w:cs="Times New Roman" w:eastAsia="Times New Roman" w:hint="default"/>
          <w:spacing w:val="-2"/>
        </w:rPr>
        <w:t>3</w:t>
      </w:r>
      <w:r>
        <w:rPr>
          <w:spacing w:val="-2"/>
        </w:rPr>
        <w:t>个会计年度中，分年度进行绩效考核</w:t>
      </w:r>
    </w:p>
    <w:p>
      <w:pPr>
        <w:pStyle w:val="BodyText"/>
        <w:spacing w:line="357" w:lineRule="auto" w:before="3"/>
        <w:ind w:left="238" w:right="121"/>
        <w:jc w:val="left"/>
      </w:pPr>
      <w:r>
        <w:rPr/>
        <w:t>并行权，每个会计年度考核一次，以达到绩效考核目标作为激励对象的行权条件。</w:t>
      </w:r>
      <w:r>
        <w:rPr>
          <w:spacing w:val="-75"/>
        </w:rPr>
        <w:t> </w:t>
      </w:r>
      <w:r>
        <w:rPr>
          <w:spacing w:val="-75"/>
        </w:rPr>
      </w:r>
      <w:r>
        <w:rPr/>
        <w:t>各年度绩效考核目标如表所示：</w:t>
      </w:r>
    </w:p>
    <w:p>
      <w:pPr>
        <w:spacing w:line="240" w:lineRule="auto" w:before="9"/>
        <w:rPr>
          <w:rFonts w:ascii="宋体" w:hAnsi="宋体" w:cs="宋体" w:eastAsia="宋体" w:hint="default"/>
          <w:sz w:val="5"/>
          <w:szCs w:val="5"/>
        </w:rPr>
      </w:pPr>
    </w:p>
    <w:tbl>
      <w:tblPr>
        <w:tblW w:w="0" w:type="auto"/>
        <w:jc w:val="left"/>
        <w:tblInd w:w="142" w:type="dxa"/>
        <w:tblLayout w:type="fixed"/>
        <w:tblCellMar>
          <w:top w:w="0" w:type="dxa"/>
          <w:left w:w="0" w:type="dxa"/>
          <w:bottom w:w="0" w:type="dxa"/>
          <w:right w:w="0" w:type="dxa"/>
        </w:tblCellMar>
        <w:tblLook w:val="01E0"/>
      </w:tblPr>
      <w:tblGrid>
        <w:gridCol w:w="1795"/>
        <w:gridCol w:w="7060"/>
      </w:tblGrid>
      <w:tr>
        <w:trPr>
          <w:trHeight w:val="360" w:hRule="exact"/>
        </w:trPr>
        <w:tc>
          <w:tcPr>
            <w:tcW w:w="1795" w:type="dxa"/>
            <w:tcBorders>
              <w:top w:val="single" w:sz="12" w:space="0" w:color="000000"/>
              <w:left w:val="single" w:sz="12" w:space="0" w:color="000000"/>
              <w:bottom w:val="single" w:sz="6" w:space="0" w:color="000000"/>
              <w:right w:val="single" w:sz="6" w:space="0" w:color="000000"/>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b/>
                <w:bCs/>
                <w:sz w:val="21"/>
                <w:szCs w:val="21"/>
              </w:rPr>
              <w:t>行权期</w:t>
            </w:r>
            <w:r>
              <w:rPr>
                <w:rFonts w:ascii="宋体" w:hAnsi="宋体" w:cs="宋体" w:eastAsia="宋体" w:hint="default"/>
                <w:sz w:val="21"/>
                <w:szCs w:val="21"/>
              </w:rPr>
            </w:r>
          </w:p>
        </w:tc>
        <w:tc>
          <w:tcPr>
            <w:tcW w:w="7060" w:type="dxa"/>
            <w:tcBorders>
              <w:top w:val="single" w:sz="12" w:space="0" w:color="000000"/>
              <w:left w:val="single" w:sz="6" w:space="0" w:color="000000"/>
              <w:bottom w:val="single" w:sz="6" w:space="0" w:color="000000"/>
              <w:right w:val="single" w:sz="12"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业绩考核目标</w:t>
            </w:r>
            <w:r>
              <w:rPr>
                <w:rFonts w:ascii="宋体" w:hAnsi="宋体" w:cs="宋体" w:eastAsia="宋体" w:hint="default"/>
                <w:sz w:val="21"/>
                <w:szCs w:val="21"/>
              </w:rPr>
            </w:r>
          </w:p>
        </w:tc>
      </w:tr>
      <w:tr>
        <w:trPr>
          <w:trHeight w:val="668" w:hRule="exact"/>
        </w:trPr>
        <w:tc>
          <w:tcPr>
            <w:tcW w:w="1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6"/>
              <w:ind w:right="4"/>
              <w:jc w:val="center"/>
              <w:rPr>
                <w:rFonts w:ascii="宋体" w:hAnsi="宋体" w:cs="宋体" w:eastAsia="宋体" w:hint="default"/>
                <w:sz w:val="21"/>
                <w:szCs w:val="21"/>
              </w:rPr>
            </w:pPr>
            <w:r>
              <w:rPr>
                <w:rFonts w:ascii="宋体" w:hAnsi="宋体" w:cs="宋体" w:eastAsia="宋体" w:hint="default"/>
                <w:sz w:val="21"/>
                <w:szCs w:val="21"/>
              </w:rPr>
              <w:t>第一个行权期</w:t>
            </w:r>
          </w:p>
        </w:tc>
        <w:tc>
          <w:tcPr>
            <w:tcW w:w="7060"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before="45"/>
              <w:ind w:left="100" w:right="91"/>
              <w:jc w:val="left"/>
              <w:rPr>
                <w:rFonts w:ascii="宋体" w:hAnsi="宋体" w:cs="宋体" w:eastAsia="宋体" w:hint="default"/>
                <w:sz w:val="21"/>
                <w:szCs w:val="21"/>
              </w:rPr>
            </w:pPr>
            <w:r>
              <w:rPr>
                <w:rFonts w:ascii="宋体" w:hAnsi="宋体" w:cs="宋体" w:eastAsia="宋体" w:hint="default"/>
                <w:spacing w:val="-3"/>
                <w:sz w:val="21"/>
                <w:szCs w:val="21"/>
              </w:rPr>
              <w:t>相比于</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年度净利润增长率不低于</w:t>
            </w:r>
            <w:r>
              <w:rPr>
                <w:rFonts w:ascii="Times New Roman" w:hAnsi="Times New Roman" w:cs="Times New Roman" w:eastAsia="Times New Roman" w:hint="default"/>
                <w:spacing w:val="-3"/>
                <w:sz w:val="21"/>
                <w:szCs w:val="21"/>
              </w:rPr>
              <w:t>44%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加权平均净资产收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益率不低于</w:t>
            </w:r>
            <w:r>
              <w:rPr>
                <w:rFonts w:ascii="Times New Roman" w:hAnsi="Times New Roman" w:cs="Times New Roman" w:eastAsia="Times New Roman" w:hint="default"/>
                <w:sz w:val="21"/>
                <w:szCs w:val="21"/>
              </w:rPr>
              <w:t>8%</w:t>
            </w:r>
            <w:r>
              <w:rPr>
                <w:rFonts w:ascii="宋体" w:hAnsi="宋体" w:cs="宋体" w:eastAsia="宋体" w:hint="default"/>
                <w:sz w:val="21"/>
                <w:szCs w:val="21"/>
              </w:rPr>
              <w:t>；</w:t>
            </w:r>
          </w:p>
        </w:tc>
      </w:tr>
      <w:tr>
        <w:trPr>
          <w:trHeight w:val="648" w:hRule="exact"/>
        </w:trPr>
        <w:tc>
          <w:tcPr>
            <w:tcW w:w="17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6"/>
              <w:ind w:right="4"/>
              <w:jc w:val="center"/>
              <w:rPr>
                <w:rFonts w:ascii="宋体" w:hAnsi="宋体" w:cs="宋体" w:eastAsia="宋体" w:hint="default"/>
                <w:sz w:val="21"/>
                <w:szCs w:val="21"/>
              </w:rPr>
            </w:pPr>
            <w:r>
              <w:rPr>
                <w:rFonts w:ascii="宋体" w:hAnsi="宋体" w:cs="宋体" w:eastAsia="宋体" w:hint="default"/>
                <w:sz w:val="21"/>
                <w:szCs w:val="21"/>
              </w:rPr>
              <w:t>第二个行权期</w:t>
            </w:r>
          </w:p>
        </w:tc>
        <w:tc>
          <w:tcPr>
            <w:tcW w:w="7060" w:type="dxa"/>
            <w:tcBorders>
              <w:top w:val="single" w:sz="6" w:space="0" w:color="000000"/>
              <w:left w:val="single" w:sz="6" w:space="0" w:color="000000"/>
              <w:bottom w:val="single" w:sz="6" w:space="0" w:color="000000"/>
              <w:right w:val="single" w:sz="12" w:space="0" w:color="000000"/>
            </w:tcBorders>
          </w:tcPr>
          <w:p>
            <w:pPr>
              <w:pStyle w:val="TableParagraph"/>
              <w:spacing w:line="274" w:lineRule="exact" w:before="35"/>
              <w:ind w:left="100" w:right="91"/>
              <w:jc w:val="left"/>
              <w:rPr>
                <w:rFonts w:ascii="宋体" w:hAnsi="宋体" w:cs="宋体" w:eastAsia="宋体" w:hint="default"/>
                <w:sz w:val="21"/>
                <w:szCs w:val="21"/>
              </w:rPr>
            </w:pPr>
            <w:r>
              <w:rPr>
                <w:rFonts w:ascii="宋体" w:hAnsi="宋体" w:cs="宋体" w:eastAsia="宋体" w:hint="default"/>
                <w:spacing w:val="-3"/>
                <w:sz w:val="21"/>
                <w:szCs w:val="21"/>
              </w:rPr>
              <w:t>相比于</w:t>
            </w:r>
            <w:r>
              <w:rPr>
                <w:rFonts w:ascii="Times New Roman" w:hAnsi="Times New Roman" w:cs="Times New Roman" w:eastAsia="Times New Roman" w:hint="default"/>
                <w:spacing w:val="-3"/>
                <w:sz w:val="21"/>
                <w:szCs w:val="21"/>
              </w:rPr>
              <w:t>2010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年度净利润增长率不低于</w:t>
            </w:r>
            <w:r>
              <w:rPr>
                <w:rFonts w:ascii="Times New Roman" w:hAnsi="Times New Roman" w:cs="Times New Roman" w:eastAsia="Times New Roman" w:hint="default"/>
                <w:spacing w:val="-3"/>
                <w:sz w:val="21"/>
                <w:szCs w:val="21"/>
              </w:rPr>
              <w:t>72%</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2013</w:t>
            </w:r>
            <w:r>
              <w:rPr>
                <w:rFonts w:ascii="宋体" w:hAnsi="宋体" w:cs="宋体" w:eastAsia="宋体" w:hint="default"/>
                <w:spacing w:val="-3"/>
                <w:sz w:val="21"/>
                <w:szCs w:val="21"/>
              </w:rPr>
              <w:t>加权平均净资产收</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益率不低于</w:t>
            </w:r>
            <w:r>
              <w:rPr>
                <w:rFonts w:ascii="Times New Roman" w:hAnsi="Times New Roman" w:cs="Times New Roman" w:eastAsia="Times New Roman" w:hint="default"/>
                <w:sz w:val="21"/>
                <w:szCs w:val="21"/>
              </w:rPr>
              <w:t>8.5%</w:t>
            </w:r>
            <w:r>
              <w:rPr>
                <w:rFonts w:ascii="宋体" w:hAnsi="宋体" w:cs="宋体" w:eastAsia="宋体" w:hint="default"/>
                <w:sz w:val="21"/>
                <w:szCs w:val="21"/>
              </w:rPr>
              <w:t>；</w:t>
            </w:r>
          </w:p>
        </w:tc>
      </w:tr>
      <w:tr>
        <w:trPr>
          <w:trHeight w:val="655" w:hRule="exact"/>
        </w:trPr>
        <w:tc>
          <w:tcPr>
            <w:tcW w:w="17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46"/>
              <w:ind w:right="4"/>
              <w:jc w:val="center"/>
              <w:rPr>
                <w:rFonts w:ascii="宋体" w:hAnsi="宋体" w:cs="宋体" w:eastAsia="宋体" w:hint="default"/>
                <w:sz w:val="21"/>
                <w:szCs w:val="21"/>
              </w:rPr>
            </w:pPr>
            <w:r>
              <w:rPr>
                <w:rFonts w:ascii="宋体" w:hAnsi="宋体" w:cs="宋体" w:eastAsia="宋体" w:hint="default"/>
                <w:sz w:val="21"/>
                <w:szCs w:val="21"/>
              </w:rPr>
              <w:t>第三个行权期</w:t>
            </w:r>
          </w:p>
        </w:tc>
        <w:tc>
          <w:tcPr>
            <w:tcW w:w="7060" w:type="dxa"/>
            <w:tcBorders>
              <w:top w:val="single" w:sz="6" w:space="0" w:color="000000"/>
              <w:left w:val="single" w:sz="6" w:space="0" w:color="000000"/>
              <w:bottom w:val="single" w:sz="12" w:space="0" w:color="000000"/>
              <w:right w:val="single" w:sz="12" w:space="0" w:color="000000"/>
            </w:tcBorders>
          </w:tcPr>
          <w:p>
            <w:pPr>
              <w:pStyle w:val="TableParagraph"/>
              <w:spacing w:line="274" w:lineRule="exact" w:before="35"/>
              <w:ind w:left="100" w:right="89"/>
              <w:jc w:val="left"/>
              <w:rPr>
                <w:rFonts w:ascii="宋体" w:hAnsi="宋体" w:cs="宋体" w:eastAsia="宋体" w:hint="default"/>
                <w:sz w:val="21"/>
                <w:szCs w:val="21"/>
              </w:rPr>
            </w:pPr>
            <w:r>
              <w:rPr>
                <w:rFonts w:ascii="宋体" w:hAnsi="宋体" w:cs="宋体" w:eastAsia="宋体" w:hint="default"/>
                <w:sz w:val="21"/>
                <w:szCs w:val="21"/>
              </w:rPr>
              <w:t>相比于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年度净利润增长率不低于</w:t>
            </w:r>
            <w:r>
              <w:rPr>
                <w:rFonts w:ascii="Times New Roman" w:hAnsi="Times New Roman" w:cs="Times New Roman" w:eastAsia="Times New Roman" w:hint="default"/>
                <w:sz w:val="21"/>
                <w:szCs w:val="21"/>
              </w:rPr>
              <w:t>108%</w:t>
            </w:r>
            <w:r>
              <w:rPr>
                <w:rFonts w:ascii="宋体" w:hAnsi="宋体" w:cs="宋体" w:eastAsia="宋体" w:hint="default"/>
                <w:sz w:val="21"/>
                <w:szCs w:val="21"/>
              </w:rPr>
              <w:t>；</w:t>
            </w:r>
            <w:r>
              <w:rPr>
                <w:rFonts w:ascii="Times New Roman" w:hAnsi="Times New Roman" w:cs="Times New Roman" w:eastAsia="Times New Roman" w:hint="default"/>
                <w:sz w:val="21"/>
                <w:szCs w:val="21"/>
              </w:rPr>
              <w:t>2014</w:t>
            </w:r>
            <w:r>
              <w:rPr>
                <w:rFonts w:ascii="宋体" w:hAnsi="宋体" w:cs="宋体" w:eastAsia="宋体" w:hint="default"/>
                <w:sz w:val="21"/>
                <w:szCs w:val="21"/>
              </w:rPr>
              <w:t>加权平均净资产</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收益率不低于</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p>
        </w:tc>
      </w:tr>
    </w:tbl>
    <w:p>
      <w:pPr>
        <w:spacing w:line="241" w:lineRule="exact" w:before="0"/>
        <w:ind w:left="763" w:right="121" w:firstLine="0"/>
        <w:jc w:val="left"/>
        <w:rPr>
          <w:rFonts w:ascii="宋体" w:hAnsi="宋体" w:cs="宋体" w:eastAsia="宋体" w:hint="default"/>
          <w:sz w:val="21"/>
          <w:szCs w:val="21"/>
        </w:rPr>
      </w:pPr>
      <w:r>
        <w:rPr>
          <w:rFonts w:ascii="宋体" w:hAnsi="宋体" w:cs="宋体" w:eastAsia="宋体" w:hint="default"/>
          <w:spacing w:val="-3"/>
          <w:sz w:val="21"/>
          <w:szCs w:val="21"/>
        </w:rPr>
        <w:t>注：本业绩考核目标中的“净利润”是指归属于上市公司股东的扣除非经常性损益的净利</w:t>
      </w:r>
    </w:p>
    <w:p>
      <w:pPr>
        <w:spacing w:before="133"/>
        <w:ind w:left="238" w:right="121" w:firstLine="0"/>
        <w:jc w:val="left"/>
        <w:rPr>
          <w:rFonts w:ascii="宋体" w:hAnsi="宋体" w:cs="宋体" w:eastAsia="宋体" w:hint="default"/>
          <w:sz w:val="21"/>
          <w:szCs w:val="21"/>
        </w:rPr>
      </w:pPr>
      <w:r>
        <w:rPr>
          <w:rFonts w:ascii="宋体" w:hAnsi="宋体" w:cs="宋体" w:eastAsia="宋体" w:hint="default"/>
          <w:w w:val="100"/>
          <w:sz w:val="21"/>
          <w:szCs w:val="21"/>
        </w:rPr>
        <w:t>润</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加</w:t>
      </w:r>
      <w:r>
        <w:rPr>
          <w:rFonts w:ascii="宋体" w:hAnsi="宋体" w:cs="宋体" w:eastAsia="宋体" w:hint="default"/>
          <w:spacing w:val="-3"/>
          <w:w w:val="100"/>
          <w:sz w:val="21"/>
          <w:szCs w:val="21"/>
        </w:rPr>
        <w:t>权</w:t>
      </w:r>
      <w:r>
        <w:rPr>
          <w:rFonts w:ascii="宋体" w:hAnsi="宋体" w:cs="宋体" w:eastAsia="宋体" w:hint="default"/>
          <w:w w:val="100"/>
          <w:sz w:val="21"/>
          <w:szCs w:val="21"/>
        </w:rPr>
        <w:t>平</w:t>
      </w:r>
      <w:r>
        <w:rPr>
          <w:rFonts w:ascii="宋体" w:hAnsi="宋体" w:cs="宋体" w:eastAsia="宋体" w:hint="default"/>
          <w:spacing w:val="-3"/>
          <w:w w:val="100"/>
          <w:sz w:val="21"/>
          <w:szCs w:val="21"/>
        </w:rPr>
        <w:t>均</w:t>
      </w:r>
      <w:r>
        <w:rPr>
          <w:rFonts w:ascii="宋体" w:hAnsi="宋体" w:cs="宋体" w:eastAsia="宋体" w:hint="default"/>
          <w:w w:val="100"/>
          <w:sz w:val="21"/>
          <w:szCs w:val="21"/>
        </w:rPr>
        <w:t>净</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收益</w:t>
      </w:r>
      <w:r>
        <w:rPr>
          <w:rFonts w:ascii="宋体" w:hAnsi="宋体" w:cs="宋体" w:eastAsia="宋体" w:hint="default"/>
          <w:w w:val="100"/>
          <w:sz w:val="21"/>
          <w:szCs w:val="21"/>
        </w:rPr>
        <w:t>率”</w:t>
      </w:r>
      <w:r>
        <w:rPr>
          <w:rFonts w:ascii="宋体" w:hAnsi="宋体" w:cs="宋体" w:eastAsia="宋体" w:hint="default"/>
          <w:spacing w:val="-3"/>
          <w:w w:val="100"/>
          <w:sz w:val="21"/>
          <w:szCs w:val="21"/>
        </w:rPr>
        <w:t>是</w:t>
      </w:r>
      <w:r>
        <w:rPr>
          <w:rFonts w:ascii="宋体" w:hAnsi="宋体" w:cs="宋体" w:eastAsia="宋体" w:hint="default"/>
          <w:w w:val="100"/>
          <w:sz w:val="21"/>
          <w:szCs w:val="21"/>
        </w:rPr>
        <w:t>指</w:t>
      </w:r>
      <w:r>
        <w:rPr>
          <w:rFonts w:ascii="宋体" w:hAnsi="宋体" w:cs="宋体" w:eastAsia="宋体" w:hint="default"/>
          <w:spacing w:val="-3"/>
          <w:w w:val="100"/>
          <w:sz w:val="21"/>
          <w:szCs w:val="21"/>
        </w:rPr>
        <w:t>扣</w:t>
      </w:r>
      <w:r>
        <w:rPr>
          <w:rFonts w:ascii="宋体" w:hAnsi="宋体" w:cs="宋体" w:eastAsia="宋体" w:hint="default"/>
          <w:w w:val="100"/>
          <w:sz w:val="21"/>
          <w:szCs w:val="21"/>
        </w:rPr>
        <w:t>除</w:t>
      </w:r>
      <w:r>
        <w:rPr>
          <w:rFonts w:ascii="宋体" w:hAnsi="宋体" w:cs="宋体" w:eastAsia="宋体" w:hint="default"/>
          <w:spacing w:val="-3"/>
          <w:w w:val="100"/>
          <w:sz w:val="21"/>
          <w:szCs w:val="21"/>
        </w:rPr>
        <w:t>非</w:t>
      </w:r>
      <w:r>
        <w:rPr>
          <w:rFonts w:ascii="宋体" w:hAnsi="宋体" w:cs="宋体" w:eastAsia="宋体" w:hint="default"/>
          <w:w w:val="100"/>
          <w:sz w:val="21"/>
          <w:szCs w:val="21"/>
        </w:rPr>
        <w:t>常</w:t>
      </w:r>
      <w:r>
        <w:rPr>
          <w:rFonts w:ascii="宋体" w:hAnsi="宋体" w:cs="宋体" w:eastAsia="宋体" w:hint="default"/>
          <w:spacing w:val="-3"/>
          <w:w w:val="100"/>
          <w:sz w:val="21"/>
          <w:szCs w:val="21"/>
        </w:rPr>
        <w:t>性</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后的</w:t>
      </w:r>
      <w:r>
        <w:rPr>
          <w:rFonts w:ascii="宋体" w:hAnsi="宋体" w:cs="宋体" w:eastAsia="宋体" w:hint="default"/>
          <w:spacing w:val="-3"/>
          <w:w w:val="100"/>
          <w:sz w:val="21"/>
          <w:szCs w:val="21"/>
        </w:rPr>
        <w:t>加</w:t>
      </w:r>
      <w:r>
        <w:rPr>
          <w:rFonts w:ascii="宋体" w:hAnsi="宋体" w:cs="宋体" w:eastAsia="宋体" w:hint="default"/>
          <w:w w:val="100"/>
          <w:sz w:val="21"/>
          <w:szCs w:val="21"/>
        </w:rPr>
        <w:t>权</w:t>
      </w:r>
      <w:r>
        <w:rPr>
          <w:rFonts w:ascii="宋体" w:hAnsi="宋体" w:cs="宋体" w:eastAsia="宋体" w:hint="default"/>
          <w:spacing w:val="-3"/>
          <w:w w:val="100"/>
          <w:sz w:val="21"/>
          <w:szCs w:val="21"/>
        </w:rPr>
        <w:t>平</w:t>
      </w:r>
      <w:r>
        <w:rPr>
          <w:rFonts w:ascii="宋体" w:hAnsi="宋体" w:cs="宋体" w:eastAsia="宋体" w:hint="default"/>
          <w:w w:val="100"/>
          <w:sz w:val="21"/>
          <w:szCs w:val="21"/>
        </w:rPr>
        <w:t>均</w:t>
      </w:r>
      <w:r>
        <w:rPr>
          <w:rFonts w:ascii="宋体" w:hAnsi="宋体" w:cs="宋体" w:eastAsia="宋体" w:hint="default"/>
          <w:spacing w:val="-3"/>
          <w:w w:val="100"/>
          <w:sz w:val="21"/>
          <w:szCs w:val="21"/>
        </w:rPr>
        <w:t>净</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收</w:t>
      </w:r>
      <w:r>
        <w:rPr>
          <w:rFonts w:ascii="宋体" w:hAnsi="宋体" w:cs="宋体" w:eastAsia="宋体" w:hint="default"/>
          <w:spacing w:val="-3"/>
          <w:w w:val="100"/>
          <w:sz w:val="21"/>
          <w:szCs w:val="21"/>
        </w:rPr>
        <w:t>益</w:t>
      </w:r>
      <w:r>
        <w:rPr>
          <w:rFonts w:ascii="宋体" w:hAnsi="宋体" w:cs="宋体" w:eastAsia="宋体" w:hint="default"/>
          <w:w w:val="100"/>
          <w:sz w:val="21"/>
          <w:szCs w:val="21"/>
        </w:rPr>
        <w:t>率。</w:t>
      </w:r>
    </w:p>
    <w:p>
      <w:pPr>
        <w:pStyle w:val="BodyText"/>
        <w:spacing w:line="355" w:lineRule="auto" w:before="129"/>
        <w:ind w:left="238" w:right="237" w:firstLine="599"/>
        <w:jc w:val="left"/>
      </w:pPr>
      <w:r>
        <w:rPr>
          <w:spacing w:val="-2"/>
        </w:rPr>
        <w:t>以上假设行权时对应年报已出，如行权时对应年报未出，则激励对象须等待对</w:t>
      </w:r>
      <w:r>
        <w:rPr/>
        <w:t> 应年报出具时方可行权。</w:t>
      </w:r>
    </w:p>
    <w:p>
      <w:pPr>
        <w:pStyle w:val="BodyText"/>
        <w:spacing w:line="348" w:lineRule="auto" w:before="39"/>
        <w:ind w:left="238" w:right="249" w:firstLine="479"/>
        <w:jc w:val="both"/>
      </w:pPr>
      <w:r>
        <w:rPr>
          <w:spacing w:val="-6"/>
        </w:rPr>
        <w:t>若公司发生再融资行为，“净资产”为再融资当年扣除该次再融资数量后的净资</w:t>
      </w:r>
      <w:r>
        <w:rPr/>
        <w:t> 产值，</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为归属于上市公司股东的扣除非经常性损益的净利润，因再融资募</w:t>
      </w:r>
      <w:r>
        <w:rPr>
          <w:spacing w:val="-50"/>
        </w:rPr>
        <w:t> </w:t>
      </w:r>
      <w:r>
        <w:rPr>
          <w:spacing w:val="-50"/>
        </w:rPr>
      </w:r>
      <w:r>
        <w:rPr/>
        <w:t>投项目所产生的净利润将从融资当年中扣除。</w:t>
      </w:r>
    </w:p>
    <w:p>
      <w:pPr>
        <w:pStyle w:val="BodyText"/>
        <w:spacing w:line="357" w:lineRule="auto" w:before="43"/>
        <w:ind w:left="238" w:right="256" w:firstLine="479"/>
        <w:jc w:val="both"/>
      </w:pPr>
      <w:r>
        <w:rPr/>
        <w:t>由本次股权激励产生的期权成本将在经常性损益中列支。如公司业绩考核达不 到上述条件，则激励对象相对应行权期所获授的可行权数量由公司注销。</w:t>
      </w:r>
    </w:p>
    <w:p>
      <w:pPr>
        <w:pStyle w:val="BodyText"/>
        <w:spacing w:line="357" w:lineRule="auto" w:before="34"/>
        <w:ind w:left="238" w:right="257" w:firstLine="479"/>
        <w:jc w:val="both"/>
      </w:pPr>
      <w:r>
        <w:rPr/>
        <w:t>除此之外，股票期权等待期内，各年度归属于上市公司股东的净利润及归属于 上市公司股东的扣除非经常性损益的净利润均不得低于授权日前最近三个会计年度</w:t>
      </w:r>
      <w:r>
        <w:rPr>
          <w:spacing w:val="-77"/>
        </w:rPr>
        <w:t> </w:t>
      </w:r>
      <w:r>
        <w:rPr>
          <w:spacing w:val="-77"/>
        </w:rPr>
      </w:r>
      <w:r>
        <w:rPr/>
        <w:t>的平均水平且不得为负。</w:t>
      </w:r>
    </w:p>
    <w:p>
      <w:pPr>
        <w:spacing w:after="0" w:line="357" w:lineRule="auto"/>
        <w:jc w:val="both"/>
        <w:sectPr>
          <w:pgSz w:w="11910" w:h="16840"/>
          <w:pgMar w:header="884" w:footer="1173" w:top="1140" w:bottom="1360" w:left="1560" w:right="1160"/>
        </w:sectPr>
      </w:pPr>
    </w:p>
    <w:p>
      <w:pPr>
        <w:spacing w:line="240" w:lineRule="auto" w:before="6"/>
        <w:rPr>
          <w:rFonts w:ascii="宋体" w:hAnsi="宋体" w:cs="宋体" w:eastAsia="宋体" w:hint="default"/>
          <w:sz w:val="16"/>
          <w:szCs w:val="16"/>
        </w:rPr>
      </w:pPr>
    </w:p>
    <w:p>
      <w:pPr>
        <w:pStyle w:val="BodyText"/>
        <w:spacing w:line="357" w:lineRule="auto" w:before="26"/>
        <w:ind w:right="176" w:firstLine="479"/>
        <w:jc w:val="both"/>
      </w:pPr>
      <w:r>
        <w:rPr/>
        <w:t>此外，公司制定了《北京超图软件股份有限公司股票期权激励计划实施考核办 </w:t>
      </w:r>
      <w:r>
        <w:rPr>
          <w:spacing w:val="-6"/>
        </w:rPr>
        <w:t>法》，若根据该考核办法，激励对象考核不合格，则其相对应行权期所获授的但尚未</w:t>
      </w:r>
      <w:r>
        <w:rPr>
          <w:spacing w:val="-90"/>
        </w:rPr>
        <w:t> </w:t>
      </w:r>
      <w:r>
        <w:rPr>
          <w:spacing w:val="-90"/>
        </w:rPr>
      </w:r>
      <w:r>
        <w:rPr/>
        <w:t>行权的股票期权即被取消。</w:t>
      </w:r>
    </w:p>
    <w:p>
      <w:pPr>
        <w:pStyle w:val="BodyText"/>
        <w:spacing w:line="240" w:lineRule="auto" w:before="36"/>
        <w:ind w:left="618" w:right="0"/>
        <w:jc w:val="left"/>
      </w:pPr>
      <w:r>
        <w:rPr/>
        <w:t>（五）对激励对象范围的调整情况</w:t>
      </w:r>
    </w:p>
    <w:p>
      <w:pPr>
        <w:pStyle w:val="BodyText"/>
        <w:spacing w:line="348" w:lineRule="auto" w:before="151"/>
        <w:ind w:right="106"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5"/>
        </w:rPr>
        <w:t> </w:t>
      </w:r>
      <w:r>
        <w:rPr/>
        <w:t>日，公司第一届董事会第十七次会议和第一届监事会第九次会 </w:t>
      </w:r>
      <w:r>
        <w:rPr>
          <w:spacing w:val="-4"/>
        </w:rPr>
        <w:t>议审议通过的《北京超图软件股份有限公司股票期权激励计划（草案）》及其摘要，</w:t>
      </w:r>
      <w:r>
        <w:rPr>
          <w:spacing w:val="-93"/>
        </w:rPr>
        <w:t> </w:t>
      </w:r>
      <w:r>
        <w:rPr>
          <w:spacing w:val="-93"/>
        </w:rPr>
      </w:r>
      <w:r>
        <w:rPr/>
        <w:t>拟向</w:t>
      </w:r>
      <w:r>
        <w:rPr>
          <w:spacing w:val="-49"/>
        </w:rPr>
        <w:t> </w:t>
      </w:r>
      <w:r>
        <w:rPr>
          <w:rFonts w:ascii="Times New Roman" w:hAnsi="Times New Roman" w:cs="Times New Roman" w:eastAsia="Times New Roman" w:hint="default"/>
        </w:rPr>
        <w:t>125</w:t>
      </w:r>
      <w:r>
        <w:rPr>
          <w:rFonts w:ascii="Times New Roman" w:hAnsi="Times New Roman" w:cs="Times New Roman" w:eastAsia="Times New Roman" w:hint="default"/>
          <w:spacing w:val="12"/>
        </w:rPr>
        <w:t> </w:t>
      </w:r>
      <w:r>
        <w:rPr/>
        <w:t>名激励对象（包括一名高管人员以及其他核心技术（业务）人员</w:t>
      </w:r>
      <w:r>
        <w:rPr>
          <w:spacing w:val="-47"/>
        </w:rPr>
        <w:t> </w:t>
      </w:r>
      <w:r>
        <w:rPr>
          <w:rFonts w:ascii="Times New Roman" w:hAnsi="Times New Roman" w:cs="Times New Roman" w:eastAsia="Times New Roman" w:hint="default"/>
        </w:rPr>
        <w:t>124</w:t>
      </w:r>
      <w:r>
        <w:rPr>
          <w:rFonts w:ascii="Times New Roman" w:hAnsi="Times New Roman" w:cs="Times New Roman" w:eastAsia="Times New Roman" w:hint="default"/>
          <w:spacing w:val="12"/>
        </w:rPr>
        <w:t> </w:t>
      </w:r>
      <w:r>
        <w:rPr/>
        <w:t>名）</w:t>
      </w:r>
    </w:p>
    <w:p>
      <w:pPr>
        <w:pStyle w:val="BodyText"/>
        <w:spacing w:line="240" w:lineRule="auto" w:before="16"/>
        <w:ind w:right="0"/>
        <w:jc w:val="left"/>
      </w:pPr>
      <w:r>
        <w:rPr/>
        <w:t>授予</w:t>
      </w:r>
      <w:r>
        <w:rPr>
          <w:spacing w:val="-61"/>
        </w:rPr>
        <w:t> </w:t>
      </w:r>
      <w:r>
        <w:rPr>
          <w:rFonts w:ascii="Times New Roman" w:hAnsi="Times New Roman" w:cs="Times New Roman" w:eastAsia="Times New Roman" w:hint="default"/>
        </w:rPr>
        <w:t>200 </w:t>
      </w:r>
      <w:r>
        <w:rPr/>
        <w:t>万份股票期权；</w:t>
      </w:r>
    </w:p>
    <w:p>
      <w:pPr>
        <w:pStyle w:val="BodyText"/>
        <w:spacing w:line="350" w:lineRule="auto" w:before="133"/>
        <w:ind w:right="172"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11"/>
        </w:rPr>
        <w:t> </w:t>
      </w:r>
      <w:r>
        <w:rPr/>
        <w:t>日，因部分激励对象</w:t>
      </w:r>
      <w:r>
        <w:rPr>
          <w:rFonts w:ascii="Times New Roman" w:hAnsi="Times New Roman" w:cs="Times New Roman" w:eastAsia="Times New Roman" w:hint="default"/>
        </w:rPr>
        <w:t>/</w:t>
      </w:r>
      <w:r>
        <w:rPr/>
        <w:t>其近亲属在激励计划（草案）公告前六个 月内存在买卖本公司股票行为，因此结合中国证券监督管理委员会的反馈意见，公</w:t>
      </w:r>
      <w:r>
        <w:rPr>
          <w:spacing w:val="-77"/>
        </w:rPr>
        <w:t> </w:t>
      </w:r>
      <w:r>
        <w:rPr>
          <w:spacing w:val="-77"/>
        </w:rPr>
      </w:r>
      <w:r>
        <w:rPr>
          <w:spacing w:val="-6"/>
        </w:rPr>
        <w:t>司对《北京超图软件股份有限公司股票期权激励计划（草案）》进行修订，将股票期</w:t>
      </w:r>
      <w:r>
        <w:rPr>
          <w:spacing w:val="-86"/>
        </w:rPr>
        <w:t> </w:t>
      </w:r>
      <w:r>
        <w:rPr>
          <w:spacing w:val="-86"/>
        </w:rPr>
      </w:r>
      <w:r>
        <w:rPr/>
        <w:t>权激励对象人员数量由</w:t>
      </w:r>
      <w:r>
        <w:rPr>
          <w:spacing w:val="-60"/>
        </w:rPr>
        <w:t> </w:t>
      </w:r>
      <w:r>
        <w:rPr>
          <w:rFonts w:ascii="Times New Roman" w:hAnsi="Times New Roman" w:cs="Times New Roman" w:eastAsia="Times New Roman" w:hint="default"/>
        </w:rPr>
        <w:t>125 </w:t>
      </w:r>
      <w:r>
        <w:rPr/>
        <w:t>名调整到</w:t>
      </w:r>
      <w:r>
        <w:rPr>
          <w:spacing w:val="-60"/>
        </w:rPr>
        <w:t> </w:t>
      </w:r>
      <w:r>
        <w:rPr>
          <w:rFonts w:ascii="Times New Roman" w:hAnsi="Times New Roman" w:cs="Times New Roman" w:eastAsia="Times New Roman" w:hint="default"/>
          <w:spacing w:val="-4"/>
        </w:rPr>
        <w:t>116</w:t>
      </w:r>
      <w:r>
        <w:rPr>
          <w:rFonts w:ascii="Times New Roman" w:hAnsi="Times New Roman" w:cs="Times New Roman" w:eastAsia="Times New Roman" w:hint="default"/>
        </w:rPr>
        <w:t> </w:t>
      </w:r>
      <w:r>
        <w:rPr/>
        <w:t>名。</w:t>
      </w:r>
    </w:p>
    <w:p>
      <w:pPr>
        <w:pStyle w:val="BodyText"/>
        <w:spacing w:line="240" w:lineRule="auto" w:before="11"/>
        <w:ind w:left="618" w:right="0"/>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日，因激励对象于双、李小文因个人原因辞职，根据公司《股</w:t>
      </w:r>
    </w:p>
    <w:p>
      <w:pPr>
        <w:pStyle w:val="BodyText"/>
        <w:spacing w:line="240" w:lineRule="auto" w:before="135"/>
        <w:ind w:right="0"/>
        <w:jc w:val="left"/>
      </w:pPr>
      <w:r>
        <w:rPr/>
        <w:t>票期权激励计划》及相关规定，公司取消了上述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人参与本次股票期权激励计划的</w:t>
      </w:r>
    </w:p>
    <w:p>
      <w:pPr>
        <w:pStyle w:val="BodyText"/>
        <w:spacing w:line="240" w:lineRule="auto" w:before="133"/>
        <w:ind w:right="0"/>
        <w:jc w:val="left"/>
      </w:pPr>
      <w:r>
        <w:rPr/>
        <w:t>资格及其未登记的股票期权，激励对象由此调整为</w:t>
      </w:r>
      <w:r>
        <w:rPr>
          <w:spacing w:val="-60"/>
        </w:rPr>
        <w:t> </w:t>
      </w:r>
      <w:r>
        <w:rPr>
          <w:rFonts w:ascii="Times New Roman" w:hAnsi="Times New Roman" w:cs="Times New Roman" w:eastAsia="Times New Roman" w:hint="default"/>
          <w:spacing w:val="-4"/>
        </w:rPr>
        <w:t>114</w:t>
      </w:r>
      <w:r>
        <w:rPr>
          <w:rFonts w:ascii="Times New Roman" w:hAnsi="Times New Roman" w:cs="Times New Roman" w:eastAsia="Times New Roman" w:hint="default"/>
        </w:rPr>
        <w:t> </w:t>
      </w:r>
      <w:r>
        <w:rPr/>
        <w:t>名。</w:t>
      </w:r>
    </w:p>
    <w:p>
      <w:pPr>
        <w:pStyle w:val="BodyText"/>
        <w:spacing w:line="240" w:lineRule="auto" w:before="135"/>
        <w:ind w:left="618"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日，公司第二届董事会第六次会议审议通过了《关于对调整股票</w:t>
      </w:r>
    </w:p>
    <w:p>
      <w:pPr>
        <w:pStyle w:val="BodyText"/>
        <w:spacing w:line="240" w:lineRule="auto" w:before="135"/>
        <w:ind w:right="0"/>
        <w:jc w:val="left"/>
      </w:pPr>
      <w:r>
        <w:rPr/>
        <w:t>期权激励计划对象人数及期权数量的议案</w:t>
      </w:r>
      <w:r>
        <w:rPr>
          <w:spacing w:val="-120"/>
        </w:rPr>
        <w:t>》</w:t>
      </w:r>
      <w:r>
        <w:rPr>
          <w:spacing w:val="-29"/>
        </w:rPr>
        <w:t>，</w:t>
      </w:r>
      <w:r>
        <w:rPr/>
        <w:t>截至</w:t>
      </w:r>
      <w:r>
        <w:rPr>
          <w:spacing w:val="-6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w:t>
      </w:r>
      <w:r>
        <w:rPr>
          <w:spacing w:val="-152"/>
        </w:rPr>
        <w:t>，</w:t>
      </w:r>
      <w:r>
        <w:rPr/>
        <w:t>《股票期权激</w:t>
      </w:r>
    </w:p>
    <w:p>
      <w:pPr>
        <w:pStyle w:val="BodyText"/>
        <w:spacing w:line="240" w:lineRule="auto" w:before="133"/>
        <w:ind w:right="0"/>
        <w:jc w:val="left"/>
      </w:pPr>
      <w:r>
        <w:rPr/>
        <w:t>励计划</w:t>
      </w:r>
      <w:r>
        <w:rPr>
          <w:spacing w:val="-120"/>
        </w:rPr>
        <w:t>》</w:t>
      </w:r>
      <w:r>
        <w:rPr>
          <w:spacing w:val="-34"/>
        </w:rPr>
        <w:t>）</w:t>
      </w:r>
      <w:r>
        <w:rPr/>
        <w:t>中激励对象李少杰等</w:t>
      </w:r>
      <w:r>
        <w:rPr>
          <w:spacing w:val="-60"/>
        </w:rPr>
        <w:t> </w:t>
      </w:r>
      <w:r>
        <w:rPr>
          <w:rFonts w:ascii="Times New Roman" w:hAnsi="Times New Roman" w:cs="Times New Roman" w:eastAsia="Times New Roman" w:hint="default"/>
        </w:rPr>
        <w:t>7 </w:t>
      </w:r>
      <w:r>
        <w:rPr/>
        <w:t>人因个人原因在期权授予之后行权之前离职</w:t>
      </w:r>
      <w:r>
        <w:rPr>
          <w:spacing w:val="-34"/>
        </w:rPr>
        <w:t>，</w:t>
      </w:r>
      <w:r>
        <w:rPr/>
        <w:t>所涉</w:t>
      </w:r>
    </w:p>
    <w:p>
      <w:pPr>
        <w:pStyle w:val="BodyText"/>
        <w:spacing w:line="240" w:lineRule="auto" w:before="135"/>
        <w:ind w:right="0"/>
        <w:jc w:val="left"/>
      </w:pPr>
      <w:r>
        <w:rPr/>
        <w:t>及股票期权数量共计</w:t>
      </w:r>
      <w:r>
        <w:rPr>
          <w:spacing w:val="-5"/>
        </w:rPr>
        <w:t> </w:t>
      </w:r>
      <w:r>
        <w:rPr>
          <w:rFonts w:ascii="Times New Roman" w:hAnsi="Times New Roman" w:cs="Times New Roman" w:eastAsia="Times New Roman" w:hint="default"/>
        </w:rPr>
        <w:t>15.2 </w:t>
      </w:r>
      <w:r>
        <w:rPr>
          <w:rFonts w:ascii="Times New Roman" w:hAnsi="Times New Roman" w:cs="Times New Roman" w:eastAsia="Times New Roman" w:hint="default"/>
          <w:spacing w:val="-5"/>
        </w:rPr>
        <w:t> </w:t>
      </w:r>
      <w:r>
        <w:rPr/>
        <w:t>万股，根据《股票期权激励计划</w:t>
      </w:r>
      <w:r>
        <w:rPr>
          <w:spacing w:val="-120"/>
        </w:rPr>
        <w:t>》</w:t>
      </w:r>
      <w:r>
        <w:rPr/>
        <w:t>，其已不具备激励对象</w:t>
      </w:r>
    </w:p>
    <w:p>
      <w:pPr>
        <w:pStyle w:val="BodyText"/>
        <w:spacing w:line="240" w:lineRule="auto" w:before="133"/>
        <w:ind w:right="0"/>
        <w:jc w:val="left"/>
      </w:pPr>
      <w:r>
        <w:rPr/>
        <w:t>资格，注销其已登记的股票期权。激励对象由此调整为</w:t>
      </w:r>
      <w:r>
        <w:rPr>
          <w:spacing w:val="-60"/>
        </w:rPr>
        <w:t> </w:t>
      </w:r>
      <w:r>
        <w:rPr>
          <w:rFonts w:ascii="Times New Roman" w:hAnsi="Times New Roman" w:cs="Times New Roman" w:eastAsia="Times New Roman" w:hint="default"/>
        </w:rPr>
        <w:t>107 </w:t>
      </w:r>
      <w:r>
        <w:rPr/>
        <w:t>人。</w:t>
      </w:r>
    </w:p>
    <w:p>
      <w:pPr>
        <w:pStyle w:val="BodyText"/>
        <w:spacing w:line="240" w:lineRule="auto" w:before="135"/>
        <w:ind w:left="618" w:right="0"/>
        <w:jc w:val="left"/>
      </w:pPr>
      <w:r>
        <w:rPr/>
        <w:t>（六）股权激励股份授予数量</w:t>
      </w:r>
    </w:p>
    <w:p>
      <w:pPr>
        <w:pStyle w:val="BodyText"/>
        <w:spacing w:line="338" w:lineRule="auto" w:before="152"/>
        <w:ind w:right="174" w:firstLine="479"/>
        <w:jc w:val="both"/>
      </w:pPr>
      <w:r>
        <w:rPr/>
        <w:t>本次股权激励最终授予数量为 </w:t>
      </w:r>
      <w:r>
        <w:rPr>
          <w:rFonts w:ascii="Times New Roman" w:hAnsi="Times New Roman" w:cs="Times New Roman" w:eastAsia="Times New Roman" w:hint="default"/>
        </w:rPr>
        <w:t>314.88 </w:t>
      </w:r>
      <w:r>
        <w:rPr/>
        <w:t>万份股票期权，占公司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年度权益分 派结束后总股本</w:t>
      </w:r>
      <w:r>
        <w:rPr>
          <w:spacing w:val="-62"/>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
        </w:rPr>
        <w:t> </w:t>
      </w:r>
      <w:r>
        <w:rPr/>
        <w:t>万股的</w:t>
      </w:r>
      <w:r>
        <w:rPr>
          <w:spacing w:val="-61"/>
        </w:rPr>
        <w:t> </w:t>
      </w:r>
      <w:r>
        <w:rPr>
          <w:rFonts w:ascii="Times New Roman" w:hAnsi="Times New Roman" w:cs="Times New Roman" w:eastAsia="Times New Roman" w:hint="default"/>
        </w:rPr>
        <w:t>2.624%</w:t>
      </w:r>
      <w:r>
        <w:rPr/>
        <w:t>。</w:t>
      </w:r>
    </w:p>
    <w:p>
      <w:pPr>
        <w:pStyle w:val="BodyText"/>
        <w:spacing w:line="240" w:lineRule="auto" w:before="24"/>
        <w:ind w:left="618" w:right="0"/>
        <w:jc w:val="left"/>
      </w:pP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6"/>
        </w:rPr>
        <w:t>日，激励对象李少杰等</w:t>
      </w:r>
      <w:r>
        <w:rPr>
          <w:spacing w:val="-60"/>
        </w:rPr>
        <w:t> </w:t>
      </w:r>
      <w:r>
        <w:rPr>
          <w:rFonts w:ascii="Times New Roman" w:hAnsi="Times New Roman" w:cs="Times New Roman" w:eastAsia="Times New Roman" w:hint="default"/>
        </w:rPr>
        <w:t>7 </w:t>
      </w:r>
      <w:r>
        <w:rPr/>
        <w:t>人因个人原因在期权授予之后行</w:t>
      </w:r>
    </w:p>
    <w:p>
      <w:pPr>
        <w:pStyle w:val="BodyText"/>
        <w:spacing w:line="240" w:lineRule="auto" w:before="135"/>
        <w:ind w:right="0"/>
        <w:jc w:val="left"/>
      </w:pPr>
      <w:r>
        <w:rPr/>
        <w:t>权之前离职，所涉及股票期权数量共计</w:t>
      </w:r>
      <w:r>
        <w:rPr>
          <w:spacing w:val="-5"/>
        </w:rPr>
        <w:t> </w:t>
      </w:r>
      <w:r>
        <w:rPr>
          <w:rFonts w:ascii="Times New Roman" w:hAnsi="Times New Roman" w:cs="Times New Roman" w:eastAsia="Times New Roman" w:hint="default"/>
        </w:rPr>
        <w:t>15.2 </w:t>
      </w:r>
      <w:r>
        <w:rPr>
          <w:rFonts w:ascii="Times New Roman" w:hAnsi="Times New Roman" w:cs="Times New Roman" w:eastAsia="Times New Roman" w:hint="default"/>
          <w:spacing w:val="-5"/>
        </w:rPr>
        <w:t> </w:t>
      </w:r>
      <w:r>
        <w:rPr/>
        <w:t>万股，根据《股票期权激励计划</w:t>
      </w:r>
      <w:r>
        <w:rPr>
          <w:spacing w:val="-120"/>
        </w:rPr>
        <w:t>》</w:t>
      </w:r>
      <w:r>
        <w:rPr/>
        <w:t>，其</w:t>
      </w:r>
    </w:p>
    <w:p>
      <w:pPr>
        <w:pStyle w:val="BodyText"/>
        <w:spacing w:line="240" w:lineRule="auto" w:before="133"/>
        <w:ind w:right="0"/>
        <w:jc w:val="left"/>
        <w:rPr>
          <w:rFonts w:ascii="Times New Roman" w:hAnsi="Times New Roman" w:cs="Times New Roman" w:eastAsia="Times New Roman" w:hint="default"/>
        </w:rPr>
      </w:pPr>
      <w:r>
        <w:rPr/>
        <w:t>已不具备激励对象资格，注销其已登记的股票期权，因此所授予数量变更为</w:t>
      </w:r>
      <w:r>
        <w:rPr>
          <w:spacing w:val="-9"/>
        </w:rPr>
        <w:t> </w:t>
      </w:r>
      <w:r>
        <w:rPr>
          <w:rFonts w:ascii="Times New Roman" w:hAnsi="Times New Roman" w:cs="Times New Roman" w:eastAsia="Times New Roman" w:hint="default"/>
        </w:rPr>
        <w:t>299.68</w:t>
      </w:r>
    </w:p>
    <w:p>
      <w:pPr>
        <w:pStyle w:val="BodyText"/>
        <w:spacing w:line="240" w:lineRule="auto" w:before="135"/>
        <w:ind w:right="0"/>
        <w:jc w:val="left"/>
      </w:pPr>
      <w:r>
        <w:rPr/>
        <w:t>万股，占公司总股本的</w:t>
      </w:r>
      <w:r>
        <w:rPr>
          <w:spacing w:val="-62"/>
        </w:rPr>
        <w:t> </w:t>
      </w:r>
      <w:r>
        <w:rPr>
          <w:rFonts w:ascii="Times New Roman" w:hAnsi="Times New Roman" w:cs="Times New Roman" w:eastAsia="Times New Roman" w:hint="default"/>
        </w:rPr>
        <w:t>2.50%</w:t>
      </w:r>
      <w:r>
        <w:rPr/>
        <w:t>。</w:t>
      </w:r>
    </w:p>
    <w:p>
      <w:pPr>
        <w:pStyle w:val="BodyText"/>
        <w:spacing w:line="357" w:lineRule="auto" w:before="133"/>
        <w:ind w:left="618" w:right="4528"/>
        <w:jc w:val="left"/>
      </w:pPr>
      <w:r>
        <w:rPr/>
        <w:t>（七）股票期权授予及行权情况 股票期权的首次授予具体情况如下：</w:t>
      </w:r>
    </w:p>
    <w:p>
      <w:pPr>
        <w:spacing w:after="0" w:line="357" w:lineRule="auto"/>
        <w:jc w:val="left"/>
        <w:sectPr>
          <w:pgSz w:w="11910" w:h="16840"/>
          <w:pgMar w:header="884" w:footer="1173" w:top="1140" w:bottom="1360" w:left="1660" w:right="1240"/>
        </w:sectPr>
      </w:pPr>
    </w:p>
    <w:p>
      <w:pPr>
        <w:spacing w:line="240" w:lineRule="auto" w:before="6"/>
        <w:rPr>
          <w:rFonts w:ascii="宋体" w:hAnsi="宋体" w:cs="宋体" w:eastAsia="宋体" w:hint="default"/>
          <w:sz w:val="16"/>
          <w:szCs w:val="16"/>
        </w:rPr>
      </w:pPr>
    </w:p>
    <w:p>
      <w:pPr>
        <w:pStyle w:val="BodyText"/>
        <w:spacing w:line="240" w:lineRule="auto" w:before="26"/>
        <w:ind w:left="618" w:right="100"/>
        <w:jc w:val="left"/>
      </w:pPr>
      <w:r>
        <w:rPr>
          <w:rFonts w:ascii="Times New Roman" w:hAnsi="Times New Roman" w:cs="Times New Roman" w:eastAsia="Times New Roman" w:hint="default"/>
        </w:rPr>
        <w:t>1</w:t>
      </w:r>
      <w:r>
        <w:rPr/>
        <w:t>、根据公司第二届董事会第一次会议决议，本次股票期权的授予日为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
        </w:rPr>
        <w:t> </w:t>
      </w:r>
      <w:r>
        <w:rPr/>
        <w:t>年</w:t>
      </w:r>
    </w:p>
    <w:p>
      <w:pPr>
        <w:pStyle w:val="BodyText"/>
        <w:spacing w:line="240" w:lineRule="auto" w:before="135"/>
        <w:ind w:right="100"/>
        <w:jc w:val="left"/>
      </w:pPr>
      <w:r>
        <w:rPr>
          <w:rFonts w:ascii="Times New Roman" w:hAnsi="Times New Roman" w:cs="Times New Roman" w:eastAsia="Times New Roman" w:hint="default"/>
        </w:rPr>
        <w:t>6 </w:t>
      </w:r>
      <w:r>
        <w:rPr/>
        <w:t>月</w:t>
      </w:r>
      <w:r>
        <w:rPr>
          <w:spacing w:val="-61"/>
        </w:rPr>
        <w:t> </w:t>
      </w:r>
      <w:r>
        <w:rPr>
          <w:rFonts w:ascii="Times New Roman" w:hAnsi="Times New Roman" w:cs="Times New Roman" w:eastAsia="Times New Roman" w:hint="default"/>
        </w:rPr>
        <w:t>10 </w:t>
      </w:r>
      <w:r>
        <w:rPr/>
        <w:t>日。</w:t>
      </w:r>
    </w:p>
    <w:p>
      <w:pPr>
        <w:pStyle w:val="BodyText"/>
        <w:spacing w:line="338" w:lineRule="auto" w:before="133"/>
        <w:ind w:right="222" w:firstLine="479"/>
        <w:jc w:val="left"/>
      </w:pPr>
      <w:r>
        <w:rPr>
          <w:rFonts w:ascii="Times New Roman" w:hAnsi="Times New Roman" w:cs="Times New Roman" w:eastAsia="Times New Roman" w:hint="default"/>
        </w:rPr>
        <w:t>2</w:t>
      </w:r>
      <w:r>
        <w:rPr/>
        <w:t>、本次授予的激励对象共 </w:t>
      </w:r>
      <w:r>
        <w:rPr>
          <w:rFonts w:ascii="Times New Roman" w:hAnsi="Times New Roman" w:cs="Times New Roman" w:eastAsia="Times New Roman" w:hint="default"/>
          <w:spacing w:val="-4"/>
        </w:rPr>
        <w:t>114 </w:t>
      </w:r>
      <w:r>
        <w:rPr/>
        <w:t>人、授予的股票期数量为 </w:t>
      </w:r>
      <w:r>
        <w:rPr>
          <w:rFonts w:ascii="Times New Roman" w:hAnsi="Times New Roman" w:cs="Times New Roman" w:eastAsia="Times New Roman" w:hint="default"/>
        </w:rPr>
        <w:t>314.88</w:t>
      </w:r>
      <w:r>
        <w:rPr>
          <w:rFonts w:ascii="Times New Roman" w:hAnsi="Times New Roman" w:cs="Times New Roman" w:eastAsia="Times New Roman" w:hint="default"/>
          <w:spacing w:val="3"/>
        </w:rPr>
        <w:t> </w:t>
      </w:r>
      <w:r>
        <w:rPr/>
        <w:t>万股，为公司 高管人员、中层管理人员、核心技术（业务）人员。</w:t>
      </w:r>
    </w:p>
    <w:p>
      <w:pPr>
        <w:pStyle w:val="BodyText"/>
        <w:spacing w:line="240" w:lineRule="auto" w:before="53"/>
        <w:ind w:left="618" w:right="100"/>
        <w:jc w:val="left"/>
      </w:pPr>
      <w:r>
        <w:rPr>
          <w:rFonts w:ascii="Times New Roman" w:hAnsi="Times New Roman" w:cs="Times New Roman" w:eastAsia="Times New Roman" w:hint="default"/>
        </w:rPr>
        <w:t>3</w:t>
      </w:r>
      <w:r>
        <w:rPr/>
        <w:t>、公司激励对象股票期权的行权价格为每股</w:t>
      </w:r>
      <w:r>
        <w:rPr>
          <w:spacing w:val="-60"/>
        </w:rPr>
        <w:t> </w:t>
      </w:r>
      <w:r>
        <w:rPr>
          <w:rFonts w:ascii="Times New Roman" w:hAnsi="Times New Roman" w:cs="Times New Roman" w:eastAsia="Times New Roman" w:hint="default"/>
        </w:rPr>
        <w:t>17.66 </w:t>
      </w:r>
      <w:r>
        <w:rPr/>
        <w:t>元。</w:t>
      </w:r>
    </w:p>
    <w:p>
      <w:pPr>
        <w:pStyle w:val="BodyText"/>
        <w:spacing w:line="336" w:lineRule="auto" w:before="135"/>
        <w:ind w:left="618" w:right="100"/>
        <w:jc w:val="left"/>
      </w:pPr>
      <w:r>
        <w:rPr>
          <w:rFonts w:ascii="Times New Roman" w:hAnsi="Times New Roman" w:cs="Times New Roman" w:eastAsia="Times New Roman" w:hint="default"/>
        </w:rPr>
        <w:t>4</w:t>
      </w:r>
      <w:r>
        <w:rPr/>
        <w:t>、参与激励的高管人员在授予日前</w:t>
      </w:r>
      <w:r>
        <w:rPr>
          <w:spacing w:val="-60"/>
        </w:rPr>
        <w:t> </w:t>
      </w:r>
      <w:r>
        <w:rPr>
          <w:rFonts w:ascii="Times New Roman" w:hAnsi="Times New Roman" w:cs="Times New Roman" w:eastAsia="Times New Roman" w:hint="default"/>
        </w:rPr>
        <w:t>6 </w:t>
      </w:r>
      <w:r>
        <w:rPr/>
        <w:t>个月买卖公司股票情况的说明： 参与本次股票期权激励计划的有公司高管人员鹿麒一人，其在本次股票期权的</w:t>
      </w:r>
    </w:p>
    <w:p>
      <w:pPr>
        <w:pStyle w:val="BodyText"/>
        <w:spacing w:line="240" w:lineRule="auto" w:before="58"/>
        <w:ind w:right="100"/>
        <w:jc w:val="left"/>
      </w:pPr>
      <w:r>
        <w:rPr/>
        <w:t>授予日前</w:t>
      </w:r>
      <w:r>
        <w:rPr>
          <w:spacing w:val="-61"/>
        </w:rPr>
        <w:t> </w:t>
      </w:r>
      <w:r>
        <w:rPr>
          <w:rFonts w:ascii="Times New Roman" w:hAnsi="Times New Roman" w:cs="Times New Roman" w:eastAsia="Times New Roman" w:hint="default"/>
        </w:rPr>
        <w:t>6 </w:t>
      </w:r>
      <w:r>
        <w:rPr/>
        <w:t>个月不存在买卖公司股票情况。</w:t>
      </w:r>
    </w:p>
    <w:p>
      <w:pPr>
        <w:pStyle w:val="BodyText"/>
        <w:spacing w:line="240" w:lineRule="auto" w:before="133"/>
        <w:ind w:left="618" w:right="100"/>
        <w:jc w:val="left"/>
      </w:pPr>
      <w:r>
        <w:rPr/>
        <w:t>（八）股票期权行权价格及行权比例等的调整情况</w:t>
      </w:r>
    </w:p>
    <w:p>
      <w:pPr>
        <w:pStyle w:val="BodyText"/>
        <w:spacing w:line="336" w:lineRule="auto" w:before="154"/>
        <w:ind w:right="232" w:firstLine="479"/>
        <w:jc w:val="both"/>
      </w:pPr>
      <w:r>
        <w:rPr/>
        <w:t>根据</w:t>
      </w:r>
      <w:r>
        <w:rPr>
          <w:rFonts w:ascii="Times New Roman" w:hAnsi="Times New Roman" w:cs="Times New Roman" w:eastAsia="Times New Roman" w:hint="default"/>
        </w:rPr>
        <w:t>2010</w:t>
      </w:r>
      <w:r>
        <w:rPr/>
        <w:t>年度股东大会审议通过了《关于</w:t>
      </w:r>
      <w:r>
        <w:rPr>
          <w:rFonts w:ascii="Times New Roman" w:hAnsi="Times New Roman" w:cs="Times New Roman" w:eastAsia="Times New Roman" w:hint="default"/>
        </w:rPr>
        <w:t>2010</w:t>
      </w:r>
      <w:r>
        <w:rPr/>
        <w:t>年度利润分配及资本公积金转增 </w:t>
      </w:r>
      <w:r>
        <w:rPr>
          <w:spacing w:val="-8"/>
        </w:rPr>
        <w:t>股本的预案》，公司向全体股东每</w:t>
      </w:r>
      <w:r>
        <w:rPr>
          <w:rFonts w:ascii="Times New Roman" w:hAnsi="Times New Roman" w:cs="Times New Roman" w:eastAsia="Times New Roman" w:hint="default"/>
          <w:spacing w:val="-8"/>
        </w:rPr>
        <w:t>10</w:t>
      </w:r>
      <w:r>
        <w:rPr>
          <w:spacing w:val="-8"/>
        </w:rPr>
        <w:t>股派发现金股利人民币</w:t>
      </w:r>
      <w:r>
        <w:rPr>
          <w:rFonts w:ascii="Times New Roman" w:hAnsi="Times New Roman" w:cs="Times New Roman" w:eastAsia="Times New Roman" w:hint="default"/>
          <w:spacing w:val="-8"/>
        </w:rPr>
        <w:t>2</w:t>
      </w:r>
      <w:r>
        <w:rPr>
          <w:spacing w:val="-8"/>
        </w:rPr>
        <w:t>元（含税），同时以资本</w:t>
      </w:r>
      <w:r>
        <w:rPr/>
        <w:t> </w:t>
      </w:r>
      <w:r>
        <w:rPr>
          <w:spacing w:val="-2"/>
        </w:rPr>
        <w:t>公积金向全体股东每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6</w:t>
      </w:r>
      <w:r>
        <w:rPr>
          <w:spacing w:val="-2"/>
        </w:rPr>
        <w:t>股，结合《股票期权激励计划》的相关规定，股票期</w:t>
      </w:r>
      <w:r>
        <w:rPr>
          <w:spacing w:val="-112"/>
        </w:rPr>
        <w:t> </w:t>
      </w:r>
      <w:r>
        <w:rPr>
          <w:spacing w:val="-112"/>
        </w:rPr>
      </w:r>
      <w:r>
        <w:rPr/>
        <w:t>权价格由原行权价格</w:t>
      </w:r>
      <w:r>
        <w:rPr>
          <w:rFonts w:ascii="Times New Roman" w:hAnsi="Times New Roman" w:cs="Times New Roman" w:eastAsia="Times New Roman" w:hint="default"/>
        </w:rPr>
        <w:t>28.45</w:t>
      </w:r>
      <w:r>
        <w:rPr/>
        <w:t>元调整为</w:t>
      </w:r>
      <w:r>
        <w:rPr>
          <w:rFonts w:ascii="Times New Roman" w:hAnsi="Times New Roman" w:cs="Times New Roman" w:eastAsia="Times New Roman" w:hint="default"/>
        </w:rPr>
        <w:t>17.66</w:t>
      </w:r>
      <w:r>
        <w:rPr/>
        <w:t>元。</w:t>
      </w:r>
    </w:p>
    <w:p>
      <w:pPr>
        <w:pStyle w:val="BodyText"/>
        <w:spacing w:line="240" w:lineRule="auto" w:before="29"/>
        <w:ind w:left="618" w:right="100"/>
        <w:jc w:val="left"/>
      </w:pPr>
      <w:r>
        <w:rPr/>
        <w:t>截至</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spacing w:val="-6"/>
        </w:rPr>
        <w:t>日，激励对象李少杰等</w:t>
      </w:r>
      <w:r>
        <w:rPr>
          <w:spacing w:val="-60"/>
        </w:rPr>
        <w:t> </w:t>
      </w:r>
      <w:r>
        <w:rPr>
          <w:rFonts w:ascii="Times New Roman" w:hAnsi="Times New Roman" w:cs="Times New Roman" w:eastAsia="Times New Roman" w:hint="default"/>
        </w:rPr>
        <w:t>7 </w:t>
      </w:r>
      <w:r>
        <w:rPr/>
        <w:t>人因个人原因在期权授予之后行</w:t>
      </w:r>
    </w:p>
    <w:p>
      <w:pPr>
        <w:pStyle w:val="BodyText"/>
        <w:spacing w:line="240" w:lineRule="auto" w:before="133"/>
        <w:ind w:right="100"/>
        <w:jc w:val="left"/>
      </w:pPr>
      <w:r>
        <w:rPr/>
        <w:t>权之前离职，所涉及股票期权数量共计</w:t>
      </w:r>
      <w:r>
        <w:rPr>
          <w:spacing w:val="-5"/>
        </w:rPr>
        <w:t> </w:t>
      </w:r>
      <w:r>
        <w:rPr>
          <w:rFonts w:ascii="Times New Roman" w:hAnsi="Times New Roman" w:cs="Times New Roman" w:eastAsia="Times New Roman" w:hint="default"/>
        </w:rPr>
        <w:t>15.2 </w:t>
      </w:r>
      <w:r>
        <w:rPr>
          <w:rFonts w:ascii="Times New Roman" w:hAnsi="Times New Roman" w:cs="Times New Roman" w:eastAsia="Times New Roman" w:hint="default"/>
          <w:spacing w:val="-5"/>
        </w:rPr>
        <w:t> </w:t>
      </w:r>
      <w:r>
        <w:rPr/>
        <w:t>万股，根据《股票期权激励计划</w:t>
      </w:r>
      <w:r>
        <w:rPr>
          <w:spacing w:val="-120"/>
        </w:rPr>
        <w:t>》</w:t>
      </w:r>
      <w:r>
        <w:rPr/>
        <w:t>，其</w:t>
      </w:r>
    </w:p>
    <w:p>
      <w:pPr>
        <w:pStyle w:val="BodyText"/>
        <w:spacing w:line="240" w:lineRule="auto" w:before="135"/>
        <w:ind w:right="100"/>
        <w:jc w:val="left"/>
        <w:rPr>
          <w:rFonts w:ascii="Times New Roman" w:hAnsi="Times New Roman" w:cs="Times New Roman" w:eastAsia="Times New Roman" w:hint="default"/>
        </w:rPr>
      </w:pPr>
      <w:r>
        <w:rPr/>
        <w:t>已不具备激励对象资格，注销其已登记的股票期权，因此所授予数量变更为</w:t>
      </w:r>
      <w:r>
        <w:rPr>
          <w:spacing w:val="-9"/>
        </w:rPr>
        <w:t> </w:t>
      </w:r>
      <w:r>
        <w:rPr>
          <w:rFonts w:ascii="Times New Roman" w:hAnsi="Times New Roman" w:cs="Times New Roman" w:eastAsia="Times New Roman" w:hint="default"/>
        </w:rPr>
        <w:t>299.68</w:t>
      </w:r>
    </w:p>
    <w:p>
      <w:pPr>
        <w:pStyle w:val="BodyText"/>
        <w:spacing w:line="240" w:lineRule="auto" w:before="135"/>
        <w:ind w:right="100"/>
        <w:jc w:val="left"/>
      </w:pPr>
      <w:r>
        <w:rPr/>
        <w:t>万股，占公司总股本的</w:t>
      </w:r>
      <w:r>
        <w:rPr>
          <w:spacing w:val="-62"/>
        </w:rPr>
        <w:t> </w:t>
      </w:r>
      <w:r>
        <w:rPr>
          <w:rFonts w:ascii="Times New Roman" w:hAnsi="Times New Roman" w:cs="Times New Roman" w:eastAsia="Times New Roman" w:hint="default"/>
        </w:rPr>
        <w:t>2.50%</w:t>
      </w:r>
      <w:r>
        <w:rPr/>
        <w:t>。</w:t>
      </w:r>
    </w:p>
    <w:p>
      <w:pPr>
        <w:pStyle w:val="BodyText"/>
        <w:spacing w:line="240" w:lineRule="auto" w:before="133"/>
        <w:ind w:left="618" w:right="100"/>
        <w:jc w:val="left"/>
      </w:pPr>
      <w:r>
        <w:rPr/>
        <w:t>（九）股票期权的授予对公司相关年度财务状况和经营成果的影响</w:t>
      </w:r>
    </w:p>
    <w:p>
      <w:pPr>
        <w:spacing w:line="240" w:lineRule="auto" w:before="12"/>
        <w:rPr>
          <w:rFonts w:ascii="宋体" w:hAnsi="宋体" w:cs="宋体" w:eastAsia="宋体" w:hint="default"/>
          <w:sz w:val="20"/>
          <w:szCs w:val="20"/>
        </w:rPr>
      </w:pPr>
    </w:p>
    <w:p>
      <w:pPr>
        <w:pStyle w:val="BodyText"/>
        <w:spacing w:line="240" w:lineRule="auto"/>
        <w:ind w:left="618" w:right="100"/>
        <w:jc w:val="left"/>
      </w:pPr>
      <w:r>
        <w:rPr/>
        <w:t>公司选择 </w:t>
      </w:r>
      <w:r>
        <w:rPr>
          <w:rFonts w:ascii="Times New Roman" w:hAnsi="Times New Roman" w:cs="Times New Roman" w:eastAsia="Times New Roman" w:hint="default"/>
        </w:rPr>
        <w:t>Black-Scholes  </w:t>
      </w:r>
      <w:r>
        <w:rPr/>
        <w:t>模型于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10  </w:t>
      </w:r>
      <w:r>
        <w:rPr/>
        <w:t>日（首次期权授予日）对首</w:t>
      </w:r>
    </w:p>
    <w:p>
      <w:pPr>
        <w:pStyle w:val="BodyText"/>
        <w:spacing w:line="240" w:lineRule="auto" w:before="133"/>
        <w:ind w:right="100"/>
        <w:jc w:val="left"/>
      </w:pPr>
      <w:r>
        <w:rPr/>
        <w:t>次授予的 </w:t>
      </w:r>
      <w:r>
        <w:rPr>
          <w:rFonts w:ascii="Times New Roman" w:hAnsi="Times New Roman" w:cs="Times New Roman" w:eastAsia="Times New Roman" w:hint="default"/>
        </w:rPr>
        <w:t>314.88 </w:t>
      </w:r>
      <w:r>
        <w:rPr>
          <w:rFonts w:ascii="Times New Roman" w:hAnsi="Times New Roman" w:cs="Times New Roman" w:eastAsia="Times New Roman" w:hint="default"/>
          <w:spacing w:val="34"/>
        </w:rPr>
        <w:t> </w:t>
      </w:r>
      <w:r>
        <w:rPr>
          <w:spacing w:val="2"/>
        </w:rPr>
        <w:t>万份股票期权的公允价值进行测算：公司每份股票期权价值约为</w:t>
      </w:r>
    </w:p>
    <w:p>
      <w:pPr>
        <w:pStyle w:val="BodyText"/>
        <w:spacing w:line="240" w:lineRule="auto" w:before="135"/>
        <w:ind w:right="100"/>
        <w:jc w:val="left"/>
      </w:pPr>
      <w:r>
        <w:rPr>
          <w:rFonts w:ascii="Times New Roman" w:hAnsi="Times New Roman" w:cs="Times New Roman" w:eastAsia="Times New Roman" w:hint="default"/>
        </w:rPr>
        <w:t>4.878 </w:t>
      </w:r>
      <w:r>
        <w:rPr/>
        <w:t>元，首次授予的 </w:t>
      </w:r>
      <w:r>
        <w:rPr>
          <w:rFonts w:ascii="Times New Roman" w:hAnsi="Times New Roman" w:cs="Times New Roman" w:eastAsia="Times New Roman" w:hint="default"/>
        </w:rPr>
        <w:t>314.88  </w:t>
      </w:r>
      <w:r>
        <w:rPr/>
        <w:t>万份股票期权总价值为 </w:t>
      </w:r>
      <w:r>
        <w:rPr>
          <w:rFonts w:ascii="Times New Roman" w:hAnsi="Times New Roman" w:cs="Times New Roman" w:eastAsia="Times New Roman" w:hint="default"/>
        </w:rPr>
        <w:t>1,536.03</w:t>
      </w:r>
      <w:r>
        <w:rPr>
          <w:rFonts w:ascii="Times New Roman" w:hAnsi="Times New Roman" w:cs="Times New Roman" w:eastAsia="Times New Roman" w:hint="default"/>
          <w:spacing w:val="-1"/>
        </w:rPr>
        <w:t> </w:t>
      </w:r>
      <w:r>
        <w:rPr/>
        <w:t>万元。</w:t>
      </w:r>
    </w:p>
    <w:p>
      <w:pPr>
        <w:spacing w:line="240" w:lineRule="auto" w:before="5"/>
        <w:rPr>
          <w:rFonts w:ascii="宋体" w:hAnsi="宋体" w:cs="宋体" w:eastAsia="宋体" w:hint="default"/>
          <w:sz w:val="19"/>
          <w:szCs w:val="19"/>
        </w:rPr>
      </w:pPr>
    </w:p>
    <w:p>
      <w:pPr>
        <w:pStyle w:val="BodyText"/>
        <w:spacing w:line="350" w:lineRule="auto"/>
        <w:ind w:right="102" w:firstLine="479"/>
        <w:jc w:val="left"/>
      </w:pPr>
      <w:r>
        <w:rPr/>
        <w:t>根据《企业会计准则第</w:t>
      </w:r>
      <w:r>
        <w:rPr>
          <w:spacing w:val="-7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股份支付》的有关规定，公司将在等待期的每 </w:t>
      </w:r>
      <w:r>
        <w:rPr>
          <w:spacing w:val="-2"/>
        </w:rPr>
        <w:t>个资产负债表日，根据最新取得的可行权人数变动、业绩指标完成情况等后续信息，</w:t>
      </w:r>
      <w:r>
        <w:rPr>
          <w:spacing w:val="-114"/>
        </w:rPr>
        <w:t> </w:t>
      </w:r>
      <w:r>
        <w:rPr>
          <w:spacing w:val="-114"/>
        </w:rPr>
      </w:r>
      <w:r>
        <w:rPr/>
        <w:t>修正预计可行权的股票期权数量，并按照股票期权授权日的公允价值，将当期取得</w:t>
      </w:r>
      <w:r>
        <w:rPr>
          <w:spacing w:val="-77"/>
        </w:rPr>
        <w:t> </w:t>
      </w:r>
      <w:r>
        <w:rPr>
          <w:spacing w:val="-77"/>
        </w:rPr>
      </w:r>
      <w:r>
        <w:rPr/>
        <w:t>的服务计入相关成本或费用和资本公积。</w:t>
      </w:r>
    </w:p>
    <w:p>
      <w:pPr>
        <w:pStyle w:val="BodyText"/>
        <w:spacing w:line="240" w:lineRule="auto" w:before="161"/>
        <w:ind w:left="618" w:right="100"/>
        <w:jc w:val="left"/>
      </w:pPr>
      <w:r>
        <w:rPr>
          <w:spacing w:val="8"/>
        </w:rPr>
        <w:t>根据本次授予的期权数量，假设各期可行权的股票期权数量不发生变化，从</w:t>
      </w:r>
    </w:p>
    <w:p>
      <w:pPr>
        <w:pStyle w:val="BodyText"/>
        <w:spacing w:line="240" w:lineRule="auto" w:before="154"/>
        <w:ind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月开始摊销</w:t>
      </w:r>
      <w:r>
        <w:rPr>
          <w:spacing w:val="-120"/>
        </w:rPr>
        <w:t>，</w:t>
      </w:r>
      <w:r>
        <w:rPr/>
        <w:t>则</w:t>
      </w:r>
      <w:r>
        <w:rPr>
          <w:spacing w:val="-65"/>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rFonts w:ascii="Times New Roman" w:hAnsi="Times New Roman" w:cs="Times New Roman" w:eastAsia="Times New Roman" w:hint="default"/>
          <w:spacing w:val="-1"/>
        </w:rPr>
        <w:t>-</w:t>
      </w:r>
      <w:r>
        <w:rPr>
          <w:rFonts w:ascii="Times New Roman" w:hAnsi="Times New Roman" w:cs="Times New Roman" w:eastAsia="Times New Roman" w:hint="default"/>
        </w:rPr>
        <w:t>2015  </w:t>
      </w:r>
      <w:r>
        <w:rPr/>
        <w:t>年期权成本或费用摊销情况的测算结</w:t>
      </w:r>
      <w:r>
        <w:rPr>
          <w:spacing w:val="1"/>
        </w:rPr>
        <w:t>果</w:t>
      </w:r>
      <w:r>
        <w:rPr/>
        <w:t>为：</w:t>
      </w:r>
    </w:p>
    <w:p>
      <w:pPr>
        <w:spacing w:after="0" w:line="240" w:lineRule="auto"/>
        <w:jc w:val="left"/>
        <w:sectPr>
          <w:footerReference w:type="default" r:id="rId32"/>
          <w:pgSz w:w="11910" w:h="16840"/>
          <w:pgMar w:footer="1173" w:header="884" w:top="1140" w:bottom="1360" w:left="1660" w:right="1180"/>
        </w:sectPr>
      </w:pPr>
    </w:p>
    <w:p>
      <w:pPr>
        <w:spacing w:line="240" w:lineRule="auto" w:before="6"/>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183"/>
        <w:gridCol w:w="1150"/>
        <w:gridCol w:w="1186"/>
        <w:gridCol w:w="1037"/>
        <w:gridCol w:w="1210"/>
        <w:gridCol w:w="998"/>
        <w:gridCol w:w="1083"/>
        <w:gridCol w:w="1061"/>
      </w:tblGrid>
      <w:tr>
        <w:trPr>
          <w:trHeight w:val="848" w:hRule="exact"/>
        </w:trPr>
        <w:tc>
          <w:tcPr>
            <w:tcW w:w="1183" w:type="dxa"/>
            <w:tcBorders>
              <w:top w:val="single" w:sz="12" w:space="0" w:color="000000"/>
              <w:left w:val="single" w:sz="12" w:space="0" w:color="000000"/>
              <w:bottom w:val="single" w:sz="8" w:space="0" w:color="000000"/>
              <w:right w:val="single" w:sz="8" w:space="0" w:color="000000"/>
            </w:tcBorders>
          </w:tcPr>
          <w:p>
            <w:pPr>
              <w:pStyle w:val="TableParagraph"/>
              <w:spacing w:line="244" w:lineRule="exact"/>
              <w:ind w:left="155" w:right="0"/>
              <w:jc w:val="left"/>
              <w:rPr>
                <w:rFonts w:ascii="宋体" w:hAnsi="宋体" w:cs="宋体" w:eastAsia="宋体" w:hint="default"/>
                <w:sz w:val="21"/>
                <w:szCs w:val="21"/>
              </w:rPr>
            </w:pPr>
            <w:r>
              <w:rPr>
                <w:rFonts w:ascii="宋体" w:hAnsi="宋体" w:cs="宋体" w:eastAsia="宋体" w:hint="default"/>
                <w:b/>
                <w:bCs/>
                <w:sz w:val="21"/>
                <w:szCs w:val="21"/>
              </w:rPr>
              <w:t>期权份额</w:t>
            </w:r>
            <w:r>
              <w:rPr>
                <w:rFonts w:ascii="宋体" w:hAnsi="宋体" w:cs="宋体" w:eastAsia="宋体" w:hint="default"/>
                <w:sz w:val="21"/>
                <w:szCs w:val="21"/>
              </w:rPr>
            </w:r>
          </w:p>
          <w:p>
            <w:pPr>
              <w:pStyle w:val="TableParagraph"/>
              <w:spacing w:line="240" w:lineRule="auto" w:before="135"/>
              <w:ind w:left="155" w:right="0"/>
              <w:jc w:val="left"/>
              <w:rPr>
                <w:rFonts w:ascii="宋体" w:hAnsi="宋体" w:cs="宋体" w:eastAsia="宋体" w:hint="default"/>
                <w:sz w:val="21"/>
                <w:szCs w:val="21"/>
              </w:rPr>
            </w:pPr>
            <w:r>
              <w:rPr>
                <w:rFonts w:ascii="宋体" w:hAnsi="宋体" w:cs="宋体" w:eastAsia="宋体" w:hint="default"/>
                <w:b/>
                <w:bCs/>
                <w:sz w:val="21"/>
                <w:szCs w:val="21"/>
              </w:rPr>
              <w:t>（万份）</w:t>
            </w:r>
            <w:r>
              <w:rPr>
                <w:rFonts w:ascii="宋体" w:hAnsi="宋体" w:cs="宋体" w:eastAsia="宋体" w:hint="default"/>
                <w:sz w:val="21"/>
                <w:szCs w:val="21"/>
              </w:rPr>
            </w:r>
          </w:p>
        </w:tc>
        <w:tc>
          <w:tcPr>
            <w:tcW w:w="1150" w:type="dxa"/>
            <w:tcBorders>
              <w:top w:val="single" w:sz="12" w:space="0" w:color="000000"/>
              <w:left w:val="single" w:sz="8" w:space="0" w:color="000000"/>
              <w:bottom w:val="single" w:sz="8" w:space="0" w:color="000000"/>
              <w:right w:val="single" w:sz="8"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b/>
                <w:bCs/>
                <w:sz w:val="21"/>
                <w:szCs w:val="21"/>
              </w:rPr>
              <w:t>期权价值</w:t>
            </w:r>
            <w:r>
              <w:rPr>
                <w:rFonts w:ascii="宋体" w:hAnsi="宋体" w:cs="宋体" w:eastAsia="宋体" w:hint="default"/>
                <w:sz w:val="21"/>
                <w:szCs w:val="21"/>
              </w:rPr>
            </w:r>
          </w:p>
          <w:p>
            <w:pPr>
              <w:pStyle w:val="TableParagraph"/>
              <w:spacing w:line="240" w:lineRule="auto" w:before="135"/>
              <w:ind w:right="2"/>
              <w:jc w:val="center"/>
              <w:rPr>
                <w:rFonts w:ascii="宋体" w:hAnsi="宋体" w:cs="宋体" w:eastAsia="宋体" w:hint="default"/>
                <w:sz w:val="21"/>
                <w:szCs w:val="21"/>
              </w:rPr>
            </w:pPr>
            <w:r>
              <w:rPr>
                <w:rFonts w:ascii="宋体" w:hAnsi="宋体" w:cs="宋体" w:eastAsia="宋体" w:hint="default"/>
                <w:b/>
                <w:bCs/>
                <w:sz w:val="21"/>
                <w:szCs w:val="21"/>
              </w:rPr>
              <w:t>（元）</w:t>
            </w:r>
            <w:r>
              <w:rPr>
                <w:rFonts w:ascii="宋体" w:hAnsi="宋体" w:cs="宋体" w:eastAsia="宋体" w:hint="default"/>
                <w:sz w:val="21"/>
                <w:szCs w:val="21"/>
              </w:rPr>
            </w:r>
          </w:p>
        </w:tc>
        <w:tc>
          <w:tcPr>
            <w:tcW w:w="1186" w:type="dxa"/>
            <w:tcBorders>
              <w:top w:val="single" w:sz="12" w:space="0" w:color="000000"/>
              <w:left w:val="single" w:sz="8" w:space="0" w:color="000000"/>
              <w:bottom w:val="single" w:sz="8" w:space="0" w:color="000000"/>
              <w:right w:val="single" w:sz="8" w:space="0" w:color="000000"/>
            </w:tcBorders>
          </w:tcPr>
          <w:p>
            <w:pPr>
              <w:pStyle w:val="TableParagraph"/>
              <w:spacing w:line="244" w:lineRule="exact"/>
              <w:ind w:left="160" w:right="0"/>
              <w:jc w:val="left"/>
              <w:rPr>
                <w:rFonts w:ascii="宋体" w:hAnsi="宋体" w:cs="宋体" w:eastAsia="宋体" w:hint="default"/>
                <w:sz w:val="21"/>
                <w:szCs w:val="21"/>
              </w:rPr>
            </w:pPr>
            <w:r>
              <w:rPr>
                <w:rFonts w:ascii="宋体" w:hAnsi="宋体" w:cs="宋体" w:eastAsia="宋体" w:hint="default"/>
                <w:b/>
                <w:bCs/>
                <w:sz w:val="21"/>
                <w:szCs w:val="21"/>
              </w:rPr>
              <w:t>期权成本</w:t>
            </w:r>
            <w:r>
              <w:rPr>
                <w:rFonts w:ascii="宋体" w:hAnsi="宋体" w:cs="宋体" w:eastAsia="宋体" w:hint="default"/>
                <w:sz w:val="21"/>
                <w:szCs w:val="21"/>
              </w:rPr>
            </w:r>
          </w:p>
          <w:p>
            <w:pPr>
              <w:pStyle w:val="TableParagraph"/>
              <w:spacing w:line="240" w:lineRule="auto" w:before="135"/>
              <w:ind w:left="160"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037" w:type="dxa"/>
            <w:tcBorders>
              <w:top w:val="single" w:sz="12" w:space="0" w:color="000000"/>
              <w:left w:val="single" w:sz="8" w:space="0" w:color="000000"/>
              <w:bottom w:val="single" w:sz="8" w:space="0" w:color="000000"/>
              <w:right w:val="single" w:sz="8" w:space="0" w:color="000000"/>
            </w:tcBorders>
          </w:tcPr>
          <w:p>
            <w:pPr>
              <w:pStyle w:val="TableParagraph"/>
              <w:spacing w:line="259" w:lineRule="exact"/>
              <w:ind w:left="172"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210" w:type="dxa"/>
            <w:tcBorders>
              <w:top w:val="single" w:sz="12" w:space="0" w:color="000000"/>
              <w:left w:val="single" w:sz="8" w:space="0" w:color="000000"/>
              <w:bottom w:val="single" w:sz="8" w:space="0" w:color="000000"/>
              <w:right w:val="single" w:sz="8" w:space="0" w:color="000000"/>
            </w:tcBorders>
          </w:tcPr>
          <w:p>
            <w:pPr>
              <w:pStyle w:val="TableParagraph"/>
              <w:spacing w:line="259" w:lineRule="exact"/>
              <w:ind w:left="25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p>
            <w:pPr>
              <w:pStyle w:val="TableParagraph"/>
              <w:spacing w:line="240" w:lineRule="auto" w:before="119"/>
              <w:ind w:left="173"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998" w:type="dxa"/>
            <w:tcBorders>
              <w:top w:val="single" w:sz="12" w:space="0" w:color="000000"/>
              <w:left w:val="single" w:sz="8" w:space="0" w:color="000000"/>
              <w:bottom w:val="single" w:sz="8" w:space="0" w:color="000000"/>
              <w:right w:val="single" w:sz="8" w:space="0" w:color="000000"/>
            </w:tcBorders>
          </w:tcPr>
          <w:p>
            <w:pPr>
              <w:pStyle w:val="TableParagraph"/>
              <w:spacing w:line="259" w:lineRule="exact"/>
              <w:ind w:left="146"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p>
            <w:pPr>
              <w:pStyle w:val="TableParagraph"/>
              <w:spacing w:line="240" w:lineRule="auto" w:before="119"/>
              <w:ind w:left="98"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083" w:type="dxa"/>
            <w:tcBorders>
              <w:top w:val="single" w:sz="12" w:space="0" w:color="000000"/>
              <w:left w:val="single" w:sz="8" w:space="0" w:color="000000"/>
              <w:bottom w:val="single" w:sz="8" w:space="0" w:color="000000"/>
              <w:right w:val="single" w:sz="8" w:space="0" w:color="000000"/>
            </w:tcBorders>
          </w:tcPr>
          <w:p>
            <w:pPr>
              <w:pStyle w:val="TableParagraph"/>
              <w:spacing w:line="259" w:lineRule="exact"/>
              <w:ind w:left="18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2014 </w:t>
            </w:r>
            <w:r>
              <w:rPr>
                <w:rFonts w:ascii="宋体" w:hAnsi="宋体" w:cs="宋体" w:eastAsia="宋体" w:hint="default"/>
                <w:b/>
                <w:bCs/>
                <w:sz w:val="21"/>
                <w:szCs w:val="21"/>
              </w:rPr>
              <w:t>年</w:t>
            </w:r>
            <w:r>
              <w:rPr>
                <w:rFonts w:ascii="宋体" w:hAnsi="宋体" w:cs="宋体" w:eastAsia="宋体" w:hint="default"/>
                <w:sz w:val="21"/>
                <w:szCs w:val="21"/>
              </w:rPr>
            </w:r>
          </w:p>
          <w:p>
            <w:pPr>
              <w:pStyle w:val="TableParagraph"/>
              <w:spacing w:line="240" w:lineRule="auto" w:before="119"/>
              <w:ind w:left="107"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061" w:type="dxa"/>
            <w:tcBorders>
              <w:top w:val="single" w:sz="12" w:space="0" w:color="000000"/>
              <w:left w:val="single" w:sz="8" w:space="0" w:color="000000"/>
              <w:bottom w:val="single" w:sz="8" w:space="0" w:color="000000"/>
              <w:right w:val="single" w:sz="12" w:space="0" w:color="000000"/>
            </w:tcBorders>
          </w:tcPr>
          <w:p>
            <w:pPr>
              <w:pStyle w:val="TableParagraph"/>
              <w:spacing w:line="259" w:lineRule="exact"/>
              <w:ind w:left="18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2015</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p>
            <w:pPr>
              <w:pStyle w:val="TableParagraph"/>
              <w:spacing w:line="240" w:lineRule="auto" w:before="119"/>
              <w:ind w:left="100"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r>
      <w:tr>
        <w:trPr>
          <w:trHeight w:val="530" w:hRule="exact"/>
        </w:trPr>
        <w:tc>
          <w:tcPr>
            <w:tcW w:w="1183"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65"/>
              <w:ind w:left="287" w:right="0"/>
              <w:jc w:val="left"/>
              <w:rPr>
                <w:rFonts w:ascii="Times New Roman" w:hAnsi="Times New Roman" w:cs="Times New Roman" w:eastAsia="Times New Roman" w:hint="default"/>
                <w:sz w:val="21"/>
                <w:szCs w:val="21"/>
              </w:rPr>
            </w:pPr>
            <w:r>
              <w:rPr>
                <w:rFonts w:ascii="Times New Roman"/>
                <w:sz w:val="21"/>
              </w:rPr>
              <w:t>314.88</w:t>
            </w:r>
          </w:p>
        </w:tc>
        <w:tc>
          <w:tcPr>
            <w:tcW w:w="115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5"/>
              <w:ind w:left="326" w:right="0"/>
              <w:jc w:val="left"/>
              <w:rPr>
                <w:rFonts w:ascii="Times New Roman" w:hAnsi="Times New Roman" w:cs="Times New Roman" w:eastAsia="Times New Roman" w:hint="default"/>
                <w:sz w:val="21"/>
                <w:szCs w:val="21"/>
              </w:rPr>
            </w:pPr>
            <w:r>
              <w:rPr>
                <w:rFonts w:ascii="Times New Roman"/>
                <w:sz w:val="21"/>
              </w:rPr>
              <w:t>4.878</w:t>
            </w:r>
          </w:p>
        </w:tc>
        <w:tc>
          <w:tcPr>
            <w:tcW w:w="118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5"/>
              <w:ind w:left="242" w:right="0"/>
              <w:jc w:val="left"/>
              <w:rPr>
                <w:rFonts w:ascii="Times New Roman" w:hAnsi="Times New Roman" w:cs="Times New Roman" w:eastAsia="Times New Roman" w:hint="default"/>
                <w:sz w:val="21"/>
                <w:szCs w:val="21"/>
              </w:rPr>
            </w:pPr>
            <w:r>
              <w:rPr>
                <w:rFonts w:ascii="Times New Roman"/>
                <w:sz w:val="21"/>
              </w:rPr>
              <w:t>1536.03</w:t>
            </w:r>
          </w:p>
        </w:tc>
        <w:tc>
          <w:tcPr>
            <w:tcW w:w="103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2"/>
              <w:ind w:left="232" w:right="0"/>
              <w:jc w:val="left"/>
              <w:rPr>
                <w:rFonts w:ascii="Times New Roman" w:hAnsi="Times New Roman" w:cs="Times New Roman" w:eastAsia="Times New Roman" w:hint="default"/>
                <w:sz w:val="20"/>
                <w:szCs w:val="20"/>
              </w:rPr>
            </w:pPr>
            <w:r>
              <w:rPr>
                <w:rFonts w:ascii="Times New Roman"/>
                <w:sz w:val="20"/>
              </w:rPr>
              <w:t>313.61</w:t>
            </w:r>
          </w:p>
        </w:tc>
        <w:tc>
          <w:tcPr>
            <w:tcW w:w="121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2"/>
              <w:ind w:left="319" w:right="0"/>
              <w:jc w:val="left"/>
              <w:rPr>
                <w:rFonts w:ascii="Times New Roman" w:hAnsi="Times New Roman" w:cs="Times New Roman" w:eastAsia="Times New Roman" w:hint="default"/>
                <w:sz w:val="20"/>
                <w:szCs w:val="20"/>
              </w:rPr>
            </w:pPr>
            <w:r>
              <w:rPr>
                <w:rFonts w:ascii="Times New Roman"/>
                <w:sz w:val="20"/>
              </w:rPr>
              <w:t>537.61</w:t>
            </w:r>
          </w:p>
        </w:tc>
        <w:tc>
          <w:tcPr>
            <w:tcW w:w="99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2"/>
              <w:ind w:left="213" w:right="0"/>
              <w:jc w:val="left"/>
              <w:rPr>
                <w:rFonts w:ascii="Times New Roman" w:hAnsi="Times New Roman" w:cs="Times New Roman" w:eastAsia="Times New Roman" w:hint="default"/>
                <w:sz w:val="20"/>
                <w:szCs w:val="20"/>
              </w:rPr>
            </w:pPr>
            <w:r>
              <w:rPr>
                <w:rFonts w:ascii="Times New Roman"/>
                <w:sz w:val="20"/>
              </w:rPr>
              <w:t>403.21</w:t>
            </w:r>
          </w:p>
        </w:tc>
        <w:tc>
          <w:tcPr>
            <w:tcW w:w="108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2"/>
              <w:ind w:left="254" w:right="0"/>
              <w:jc w:val="left"/>
              <w:rPr>
                <w:rFonts w:ascii="Times New Roman" w:hAnsi="Times New Roman" w:cs="Times New Roman" w:eastAsia="Times New Roman" w:hint="default"/>
                <w:sz w:val="20"/>
                <w:szCs w:val="20"/>
              </w:rPr>
            </w:pPr>
            <w:r>
              <w:rPr>
                <w:rFonts w:ascii="Times New Roman"/>
                <w:sz w:val="20"/>
              </w:rPr>
              <w:t>217.60</w:t>
            </w:r>
          </w:p>
        </w:tc>
        <w:tc>
          <w:tcPr>
            <w:tcW w:w="1061"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32"/>
              <w:ind w:left="295" w:right="0"/>
              <w:jc w:val="left"/>
              <w:rPr>
                <w:rFonts w:ascii="Times New Roman" w:hAnsi="Times New Roman" w:cs="Times New Roman" w:eastAsia="Times New Roman" w:hint="default"/>
                <w:sz w:val="20"/>
                <w:szCs w:val="20"/>
              </w:rPr>
            </w:pPr>
            <w:r>
              <w:rPr>
                <w:rFonts w:ascii="Times New Roman"/>
                <w:sz w:val="20"/>
              </w:rPr>
              <w:t>64.00</w:t>
            </w:r>
          </w:p>
        </w:tc>
      </w:tr>
    </w:tbl>
    <w:p>
      <w:pPr>
        <w:pStyle w:val="BodyText"/>
        <w:spacing w:line="357" w:lineRule="auto" w:before="82"/>
        <w:ind w:left="238" w:right="252" w:firstLine="479"/>
        <w:jc w:val="both"/>
      </w:pPr>
      <w:r>
        <w:rPr>
          <w:spacing w:val="-3"/>
        </w:rPr>
        <w:t>受本次股票期权激励计划实际期权行权数量的变动，期权的实际成本可能会</w:t>
      </w:r>
      <w:r>
        <w:rPr>
          <w:spacing w:val="27"/>
        </w:rPr>
        <w:t> </w:t>
      </w:r>
      <w:r>
        <w:rPr/>
        <w:t>与</w:t>
      </w:r>
      <w:r>
        <w:rPr/>
        <w:t> </w:t>
      </w:r>
      <w:r>
        <w:rPr>
          <w:spacing w:val="-3"/>
        </w:rPr>
        <w:t>此处的数据有所差异（由于激励对象存在业绩考核不达标或在股票期权的等待</w:t>
      </w:r>
      <w:r>
        <w:rPr>
          <w:spacing w:val="29"/>
        </w:rPr>
        <w:t> </w:t>
      </w:r>
      <w:r>
        <w:rPr/>
        <w:t>期内</w:t>
      </w:r>
      <w:r>
        <w:rPr>
          <w:spacing w:val="-118"/>
        </w:rPr>
        <w:t> </w:t>
      </w:r>
      <w:r>
        <w:rPr>
          <w:spacing w:val="-118"/>
        </w:rPr>
      </w:r>
      <w:r>
        <w:rPr>
          <w:spacing w:val="-3"/>
        </w:rPr>
        <w:t>离职等情况，获授股票期权可能有部分最终不能行权，期权的实际总成本可</w:t>
      </w:r>
      <w:r>
        <w:rPr>
          <w:spacing w:val="30"/>
        </w:rPr>
        <w:t> </w:t>
      </w:r>
      <w:r>
        <w:rPr/>
        <w:t>能会小</w:t>
      </w:r>
      <w:r>
        <w:rPr/>
        <w:t> </w:t>
      </w:r>
      <w:r>
        <w:rPr>
          <w:spacing w:val="-12"/>
        </w:rPr>
        <w:t>于本次估算的成本）。</w:t>
      </w:r>
    </w:p>
    <w:p>
      <w:pPr>
        <w:spacing w:line="240" w:lineRule="auto" w:before="11"/>
        <w:rPr>
          <w:rFonts w:ascii="宋体" w:hAnsi="宋体" w:cs="宋体" w:eastAsia="宋体" w:hint="default"/>
          <w:sz w:val="21"/>
          <w:szCs w:val="21"/>
        </w:rPr>
      </w:pPr>
    </w:p>
    <w:p>
      <w:pPr>
        <w:pStyle w:val="Heading3"/>
        <w:spacing w:line="240" w:lineRule="auto"/>
        <w:ind w:left="238" w:right="0"/>
        <w:jc w:val="both"/>
        <w:rPr>
          <w:b w:val="0"/>
          <w:bCs w:val="0"/>
        </w:rPr>
      </w:pPr>
      <w:bookmarkStart w:name="_TOC_250050" w:id="38"/>
      <w:r>
        <w:rPr/>
        <w:t>五、重大关联交易事项</w:t>
      </w:r>
      <w:bookmarkEnd w:id="38"/>
      <w:r>
        <w:rPr>
          <w:b w:val="0"/>
          <w:bCs w:val="0"/>
        </w:rPr>
      </w:r>
    </w:p>
    <w:p>
      <w:pPr>
        <w:spacing w:line="240" w:lineRule="auto" w:before="1"/>
        <w:rPr>
          <w:rFonts w:ascii="宋体" w:hAnsi="宋体" w:cs="宋体" w:eastAsia="宋体" w:hint="default"/>
          <w:b/>
          <w:bCs/>
          <w:sz w:val="42"/>
          <w:szCs w:val="42"/>
        </w:rPr>
      </w:pPr>
    </w:p>
    <w:p>
      <w:pPr>
        <w:pStyle w:val="BodyText"/>
        <w:spacing w:line="240" w:lineRule="auto"/>
        <w:ind w:left="238" w:right="0"/>
        <w:jc w:val="both"/>
      </w:pPr>
      <w:r>
        <w:rPr/>
        <w:t>报告期内，公司无重大关联交易事项。</w:t>
      </w:r>
    </w:p>
    <w:p>
      <w:pPr>
        <w:spacing w:line="240" w:lineRule="auto" w:before="10"/>
        <w:rPr>
          <w:rFonts w:ascii="宋体" w:hAnsi="宋体" w:cs="宋体" w:eastAsia="宋体" w:hint="default"/>
          <w:sz w:val="30"/>
          <w:szCs w:val="30"/>
        </w:rPr>
      </w:pPr>
    </w:p>
    <w:p>
      <w:pPr>
        <w:pStyle w:val="Heading3"/>
        <w:spacing w:line="240" w:lineRule="auto"/>
        <w:ind w:left="238" w:right="0"/>
        <w:jc w:val="both"/>
        <w:rPr>
          <w:b w:val="0"/>
          <w:bCs w:val="0"/>
        </w:rPr>
      </w:pPr>
      <w:bookmarkStart w:name="_TOC_250049" w:id="39"/>
      <w:r>
        <w:rPr/>
        <w:t>六、重大合同及履行情况</w:t>
      </w:r>
      <w:bookmarkEnd w:id="39"/>
      <w:r>
        <w:rPr>
          <w:b w:val="0"/>
          <w:bCs w:val="0"/>
        </w:rPr>
      </w:r>
    </w:p>
    <w:p>
      <w:pPr>
        <w:spacing w:line="240" w:lineRule="auto" w:before="4"/>
        <w:rPr>
          <w:rFonts w:ascii="宋体" w:hAnsi="宋体" w:cs="宋体" w:eastAsia="宋体" w:hint="default"/>
          <w:b/>
          <w:bCs/>
          <w:sz w:val="42"/>
          <w:szCs w:val="42"/>
        </w:rPr>
      </w:pPr>
    </w:p>
    <w:p>
      <w:pPr>
        <w:pStyle w:val="BodyText"/>
        <w:spacing w:line="240" w:lineRule="auto"/>
        <w:ind w:left="838" w:right="121"/>
        <w:jc w:val="left"/>
      </w:pPr>
      <w:r>
        <w:rPr/>
        <w:t>根据第一届董事会第十八次会议以及公司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年度股东大会审议通过了《关</w:t>
      </w:r>
    </w:p>
    <w:p>
      <w:pPr>
        <w:pStyle w:val="BodyText"/>
        <w:spacing w:line="338" w:lineRule="auto" w:before="133"/>
        <w:ind w:left="238" w:right="254"/>
        <w:jc w:val="both"/>
      </w:pPr>
      <w:r>
        <w:rPr>
          <w:spacing w:val="-6"/>
        </w:rPr>
        <w:t>于购置房产及超募资金使用计划的议案》，公司于</w:t>
      </w:r>
      <w:r>
        <w:rPr>
          <w:spacing w:val="-4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14"/>
        </w:rPr>
        <w:t> </w:t>
      </w:r>
      <w:r>
        <w:rPr/>
        <w:t>日与北京电子城 有限责任公司签署了《电子城 </w:t>
      </w:r>
      <w:r>
        <w:rPr>
          <w:rFonts w:ascii="Times New Roman" w:hAnsi="Times New Roman" w:cs="Times New Roman" w:eastAsia="Times New Roman" w:hint="default"/>
          <w:spacing w:val="-2"/>
        </w:rPr>
        <w:t>IT</w:t>
      </w:r>
      <w:r>
        <w:rPr>
          <w:rFonts w:ascii="Times New Roman" w:hAnsi="Times New Roman" w:cs="Times New Roman" w:eastAsia="Times New Roman" w:hint="default"/>
          <w:spacing w:val="18"/>
        </w:rPr>
        <w:t> </w:t>
      </w:r>
      <w:r>
        <w:rPr>
          <w:spacing w:val="-6"/>
        </w:rPr>
        <w:t>产业园超图总部项目之协议书》。协议具体内容详</w:t>
      </w:r>
      <w:r>
        <w:rPr/>
        <w:t> 见公司于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日在证监会指定的创业板披露网站—巨潮资讯网登载的</w:t>
      </w:r>
    </w:p>
    <w:p>
      <w:pPr>
        <w:pStyle w:val="BodyText"/>
        <w:spacing w:line="240" w:lineRule="auto" w:before="27"/>
        <w:ind w:left="238" w:right="0"/>
        <w:jc w:val="both"/>
      </w:pPr>
      <w:r>
        <w:rPr>
          <w:spacing w:val="-1"/>
        </w:rPr>
        <w:t>《</w:t>
      </w:r>
      <w:r>
        <w:rPr/>
        <w:t>资产购置进展公告</w:t>
      </w:r>
      <w:r>
        <w:rPr>
          <w:spacing w:val="-120"/>
        </w:rPr>
        <w:t>》</w:t>
      </w:r>
      <w:r>
        <w:rPr/>
        <w:t>。</w:t>
      </w:r>
    </w:p>
    <w:p>
      <w:pPr>
        <w:pStyle w:val="BodyText"/>
        <w:spacing w:line="240" w:lineRule="auto" w:before="151"/>
        <w:ind w:left="838" w:right="121"/>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日，公司按照协议约定，支付了首付款</w:t>
      </w:r>
      <w:r>
        <w:rPr>
          <w:spacing w:val="-53"/>
        </w:rPr>
        <w:t> </w:t>
      </w:r>
      <w:r>
        <w:rPr>
          <w:rFonts w:ascii="Times New Roman" w:hAnsi="Times New Roman" w:cs="Times New Roman" w:eastAsia="Times New Roman" w:hint="default"/>
        </w:rPr>
        <w:t>135,975,165.2</w:t>
      </w:r>
      <w:r>
        <w:rPr>
          <w:rFonts w:ascii="Times New Roman" w:hAnsi="Times New Roman" w:cs="Times New Roman" w:eastAsia="Times New Roman" w:hint="default"/>
          <w:spacing w:val="7"/>
        </w:rPr>
        <w:t> </w:t>
      </w:r>
      <w:r>
        <w:rPr/>
        <w:t>元，其中</w:t>
      </w:r>
    </w:p>
    <w:p>
      <w:pPr>
        <w:pStyle w:val="BodyText"/>
        <w:spacing w:line="240" w:lineRule="auto" w:before="135"/>
        <w:ind w:left="238" w:right="0"/>
        <w:jc w:val="both"/>
      </w:pPr>
      <w:r>
        <w:rPr/>
        <w:t>超募资金支付</w:t>
      </w:r>
      <w:r>
        <w:rPr>
          <w:spacing w:val="-61"/>
        </w:rPr>
        <w:t> </w:t>
      </w:r>
      <w:r>
        <w:rPr>
          <w:rFonts w:ascii="Times New Roman" w:hAnsi="Times New Roman" w:cs="Times New Roman" w:eastAsia="Times New Roman" w:hint="default"/>
        </w:rPr>
        <w:t>8,000 </w:t>
      </w:r>
      <w:r>
        <w:rPr/>
        <w:t>万元。</w:t>
      </w:r>
    </w:p>
    <w:p>
      <w:pPr>
        <w:spacing w:line="240" w:lineRule="auto" w:before="4"/>
        <w:rPr>
          <w:rFonts w:ascii="宋体" w:hAnsi="宋体" w:cs="宋体" w:eastAsia="宋体" w:hint="default"/>
          <w:sz w:val="29"/>
          <w:szCs w:val="29"/>
        </w:rPr>
      </w:pPr>
    </w:p>
    <w:p>
      <w:pPr>
        <w:pStyle w:val="Heading3"/>
        <w:spacing w:line="240" w:lineRule="auto"/>
        <w:ind w:left="238" w:right="0"/>
        <w:jc w:val="both"/>
        <w:rPr>
          <w:b w:val="0"/>
          <w:bCs w:val="0"/>
        </w:rPr>
      </w:pPr>
      <w:bookmarkStart w:name="_TOC_250048" w:id="40"/>
      <w:r>
        <w:rPr/>
        <w:t>七、承诺事项履行情况</w:t>
      </w:r>
      <w:bookmarkEnd w:id="40"/>
      <w:r>
        <w:rPr>
          <w:b w:val="0"/>
          <w:bCs w:val="0"/>
        </w:rPr>
      </w:r>
    </w:p>
    <w:p>
      <w:pPr>
        <w:spacing w:line="240" w:lineRule="auto" w:before="11"/>
        <w:rPr>
          <w:rFonts w:ascii="宋体" w:hAnsi="宋体" w:cs="宋体" w:eastAsia="宋体" w:hint="default"/>
          <w:b/>
          <w:bCs/>
          <w:sz w:val="41"/>
          <w:szCs w:val="41"/>
        </w:rPr>
      </w:pPr>
    </w:p>
    <w:p>
      <w:pPr>
        <w:pStyle w:val="Heading4"/>
        <w:spacing w:line="240" w:lineRule="auto"/>
        <w:ind w:left="238" w:right="0"/>
        <w:jc w:val="both"/>
        <w:rPr>
          <w:b w:val="0"/>
          <w:bCs w:val="0"/>
        </w:rPr>
      </w:pPr>
      <w:bookmarkStart w:name="_TOC_250047" w:id="41"/>
      <w:r>
        <w:rPr/>
        <w:t>（一）实际控制人避免同业竞争和关联交易的承诺</w:t>
      </w:r>
      <w:bookmarkEnd w:id="41"/>
      <w:r>
        <w:rPr>
          <w:b w:val="0"/>
          <w:bCs w:val="0"/>
        </w:rPr>
      </w:r>
    </w:p>
    <w:p>
      <w:pPr>
        <w:spacing w:line="240" w:lineRule="auto" w:before="6"/>
        <w:rPr>
          <w:rFonts w:ascii="宋体" w:hAnsi="宋体" w:cs="宋体" w:eastAsia="宋体" w:hint="default"/>
          <w:b/>
          <w:bCs/>
          <w:sz w:val="40"/>
          <w:szCs w:val="40"/>
        </w:rPr>
      </w:pPr>
    </w:p>
    <w:p>
      <w:pPr>
        <w:pStyle w:val="BodyText"/>
        <w:spacing w:line="357" w:lineRule="auto"/>
        <w:ind w:left="238" w:right="256" w:firstLine="599"/>
        <w:jc w:val="both"/>
      </w:pPr>
      <w:r>
        <w:rPr>
          <w:spacing w:val="-3"/>
        </w:rPr>
        <w:t>公司控股股东、实际控制人钟耳顺先生出具避免同业竞争承诺函，承诺“将来</w:t>
      </w:r>
      <w:r>
        <w:rPr/>
        <w:t> 不以任何方式从事，包括与他人合作直接或间接从事与超图股份相同、相似或在任</w:t>
      </w:r>
      <w:r>
        <w:rPr>
          <w:spacing w:val="-77"/>
        </w:rPr>
        <w:t> </w:t>
      </w:r>
      <w:r>
        <w:rPr>
          <w:spacing w:val="-77"/>
        </w:rPr>
      </w:r>
      <w:r>
        <w:rPr/>
        <w:t>何方面构成竞争的业务；不投资控股于业务与超图股份相同、类似或在任何方面构</w:t>
      </w:r>
      <w:r>
        <w:rPr>
          <w:spacing w:val="-77"/>
        </w:rPr>
        <w:t> </w:t>
      </w:r>
      <w:r>
        <w:rPr>
          <w:spacing w:val="-77"/>
        </w:rPr>
      </w:r>
      <w:r>
        <w:rPr/>
        <w:t>成竞争的公司、企业或其他机构、组织；不向其他业务与超图股份相同、类似或在</w:t>
      </w:r>
      <w:r>
        <w:rPr>
          <w:spacing w:val="-77"/>
        </w:rPr>
        <w:t> </w:t>
      </w:r>
      <w:r>
        <w:rPr>
          <w:spacing w:val="-77"/>
        </w:rPr>
      </w:r>
      <w:r>
        <w:rPr/>
        <w:t>任何方面构成竞争的公司、企业或其他机构、组织或个人提供专有技术或提供销售</w:t>
      </w:r>
    </w:p>
    <w:p>
      <w:pPr>
        <w:spacing w:after="0" w:line="357" w:lineRule="auto"/>
        <w:jc w:val="both"/>
        <w:sectPr>
          <w:footerReference w:type="default" r:id="rId33"/>
          <w:pgSz w:w="11910" w:h="16840"/>
          <w:pgMar w:footer="1173" w:header="884" w:top="1140" w:bottom="1360" w:left="1560" w:right="1160"/>
        </w:sectPr>
      </w:pPr>
    </w:p>
    <w:p>
      <w:pPr>
        <w:spacing w:line="240" w:lineRule="auto" w:before="6"/>
        <w:rPr>
          <w:rFonts w:ascii="宋体" w:hAnsi="宋体" w:cs="宋体" w:eastAsia="宋体" w:hint="default"/>
          <w:sz w:val="16"/>
          <w:szCs w:val="16"/>
        </w:rPr>
      </w:pPr>
    </w:p>
    <w:p>
      <w:pPr>
        <w:pStyle w:val="BodyText"/>
        <w:spacing w:line="357" w:lineRule="auto" w:before="26"/>
        <w:ind w:left="738" w:right="100" w:hanging="600"/>
        <w:jc w:val="left"/>
      </w:pPr>
      <w:r>
        <w:rPr>
          <w:spacing w:val="-9"/>
        </w:rPr>
        <w:t>渠道、客户信息等商业秘密”。</w:t>
      </w:r>
      <w:r>
        <w:rPr>
          <w:spacing w:val="-114"/>
        </w:rPr>
        <w:t> </w:t>
      </w:r>
      <w:r>
        <w:rPr>
          <w:spacing w:val="-114"/>
        </w:rPr>
      </w:r>
      <w:r>
        <w:rPr>
          <w:spacing w:val="-3"/>
        </w:rPr>
        <w:t>报告期内公司控股股东、实际控制人钟耳顺未经营或投资任何与公司主营业务</w:t>
      </w:r>
    </w:p>
    <w:p>
      <w:pPr>
        <w:pStyle w:val="BodyText"/>
        <w:spacing w:line="240" w:lineRule="auto" w:before="34"/>
        <w:ind w:right="100"/>
        <w:jc w:val="left"/>
      </w:pPr>
      <w:r>
        <w:rPr/>
        <w:t>构成同业竞争的企业，很好的履行了其承诺。</w:t>
      </w:r>
    </w:p>
    <w:p>
      <w:pPr>
        <w:spacing w:line="240" w:lineRule="auto" w:before="2"/>
        <w:rPr>
          <w:rFonts w:ascii="宋体" w:hAnsi="宋体" w:cs="宋体" w:eastAsia="宋体" w:hint="default"/>
          <w:sz w:val="31"/>
          <w:szCs w:val="31"/>
        </w:rPr>
      </w:pPr>
    </w:p>
    <w:p>
      <w:pPr>
        <w:pStyle w:val="Heading4"/>
        <w:spacing w:line="240" w:lineRule="auto"/>
        <w:ind w:right="100"/>
        <w:jc w:val="left"/>
        <w:rPr>
          <w:b w:val="0"/>
          <w:bCs w:val="0"/>
        </w:rPr>
      </w:pPr>
      <w:bookmarkStart w:name="_TOC_250046" w:id="42"/>
      <w:r>
        <w:rPr/>
        <w:t>（二）持股</w:t>
      </w:r>
      <w:r>
        <w:rPr>
          <w:spacing w:val="-73"/>
        </w:rPr>
        <w:t> </w:t>
      </w:r>
      <w:r>
        <w:rPr>
          <w:rFonts w:ascii="Times New Roman" w:hAnsi="Times New Roman" w:cs="Times New Roman" w:eastAsia="Times New Roman" w:hint="default"/>
        </w:rPr>
        <w:t>5%</w:t>
      </w:r>
      <w:r>
        <w:rPr/>
        <w:t>以上股东的限售承诺</w:t>
      </w:r>
      <w:bookmarkEnd w:id="42"/>
      <w:r>
        <w:rPr>
          <w:b w:val="0"/>
          <w:bCs w:val="0"/>
        </w:rPr>
      </w:r>
    </w:p>
    <w:p>
      <w:pPr>
        <w:spacing w:line="240" w:lineRule="auto" w:before="11"/>
        <w:rPr>
          <w:rFonts w:ascii="宋体" w:hAnsi="宋体" w:cs="宋体" w:eastAsia="宋体" w:hint="default"/>
          <w:b/>
          <w:bCs/>
          <w:sz w:val="38"/>
          <w:szCs w:val="38"/>
        </w:rPr>
      </w:pPr>
    </w:p>
    <w:p>
      <w:pPr>
        <w:pStyle w:val="BodyText"/>
        <w:spacing w:line="357" w:lineRule="auto"/>
        <w:ind w:right="233" w:firstLine="599"/>
        <w:jc w:val="both"/>
      </w:pPr>
      <w:r>
        <w:rPr/>
        <w:t>股东钟耳顺、宋关福承诺</w:t>
      </w:r>
      <w:r>
        <w:rPr>
          <w:spacing w:val="45"/>
        </w:rPr>
        <w:t> </w:t>
      </w:r>
      <w:r>
        <w:rPr/>
        <w:t>：自股票上市之起三十六个月内，不转让或者委托</w:t>
      </w:r>
      <w:r>
        <w:rPr/>
        <w:t> 他人管理其持有的发行人股份，也不由发行人回购其持有的股份。在担任公司董事</w:t>
      </w:r>
      <w:r>
        <w:rPr>
          <w:spacing w:val="-77"/>
        </w:rPr>
        <w:t> </w:t>
      </w:r>
      <w:r>
        <w:rPr>
          <w:spacing w:val="-77"/>
        </w:rPr>
      </w:r>
      <w:r>
        <w:rPr/>
        <w:t>或高级管理人员期间，每年转让的股份不超过本人所持发行人股份总数的百分之二</w:t>
      </w:r>
      <w:r>
        <w:rPr>
          <w:spacing w:val="-77"/>
        </w:rPr>
        <w:t> </w:t>
      </w:r>
      <w:r>
        <w:rPr>
          <w:spacing w:val="-77"/>
        </w:rPr>
      </w:r>
      <w:r>
        <w:rPr/>
        <w:t>十五，离职后半年内，不转让所持有的发行人股份，如在公司首次公开发行股票上</w:t>
      </w:r>
      <w:r>
        <w:rPr>
          <w:spacing w:val="-77"/>
        </w:rPr>
        <w:t> </w:t>
      </w:r>
      <w:r>
        <w:rPr>
          <w:spacing w:val="-77"/>
        </w:rPr>
      </w:r>
      <w:r>
        <w:rPr/>
        <w:t>市之日起六个月内申报离职的，自申报离职之日起十八个月内不得转让其直接持有</w:t>
      </w:r>
      <w:r>
        <w:rPr>
          <w:spacing w:val="-75"/>
        </w:rPr>
        <w:t> </w:t>
      </w:r>
      <w:r>
        <w:rPr>
          <w:spacing w:val="-75"/>
        </w:rPr>
      </w:r>
      <w:r>
        <w:rPr/>
        <w:t>的本公司股份，在首次公开发行股票上市之日起第七个月至第十二个月之内申报离</w:t>
      </w:r>
      <w:r>
        <w:rPr>
          <w:spacing w:val="-77"/>
        </w:rPr>
        <w:t> </w:t>
      </w:r>
      <w:r>
        <w:rPr>
          <w:spacing w:val="-77"/>
        </w:rPr>
      </w:r>
      <w:r>
        <w:rPr/>
        <w:t>职的，自申报离职之日起十二个月内不得转让其直接持有的本公司股份。</w:t>
      </w:r>
    </w:p>
    <w:p>
      <w:pPr>
        <w:pStyle w:val="BodyText"/>
        <w:spacing w:line="240" w:lineRule="auto" w:before="34"/>
        <w:ind w:left="738" w:right="97"/>
        <w:jc w:val="left"/>
      </w:pPr>
      <w:r>
        <w:rPr>
          <w:spacing w:val="-6"/>
        </w:rPr>
        <w:t>报告期内，股东钟耳顺以及宋关福严格遵守了其承诺事项，亦未出现离职情况。</w:t>
      </w:r>
    </w:p>
    <w:p>
      <w:pPr>
        <w:spacing w:line="240" w:lineRule="auto" w:before="2"/>
        <w:rPr>
          <w:rFonts w:ascii="宋体" w:hAnsi="宋体" w:cs="宋体" w:eastAsia="宋体" w:hint="default"/>
          <w:sz w:val="31"/>
          <w:szCs w:val="31"/>
        </w:rPr>
      </w:pPr>
    </w:p>
    <w:p>
      <w:pPr>
        <w:pStyle w:val="Heading4"/>
        <w:spacing w:line="240" w:lineRule="auto"/>
        <w:ind w:right="100"/>
        <w:jc w:val="left"/>
        <w:rPr>
          <w:b w:val="0"/>
          <w:bCs w:val="0"/>
        </w:rPr>
      </w:pPr>
      <w:bookmarkStart w:name="_TOC_250045" w:id="43"/>
      <w:r>
        <w:rPr/>
        <w:t>（三）高级管理人员承诺</w:t>
      </w:r>
      <w:bookmarkEnd w:id="43"/>
      <w:r>
        <w:rPr>
          <w:b w:val="0"/>
          <w:bCs w:val="0"/>
        </w:rPr>
      </w:r>
    </w:p>
    <w:p>
      <w:pPr>
        <w:spacing w:line="240" w:lineRule="auto" w:before="6"/>
        <w:rPr>
          <w:rFonts w:ascii="宋体" w:hAnsi="宋体" w:cs="宋体" w:eastAsia="宋体" w:hint="default"/>
          <w:b/>
          <w:bCs/>
          <w:sz w:val="40"/>
          <w:szCs w:val="40"/>
        </w:rPr>
      </w:pPr>
    </w:p>
    <w:p>
      <w:pPr>
        <w:pStyle w:val="BodyText"/>
        <w:spacing w:line="357" w:lineRule="auto"/>
        <w:ind w:right="235" w:firstLine="599"/>
        <w:jc w:val="both"/>
      </w:pPr>
      <w:r>
        <w:rPr>
          <w:spacing w:val="-3"/>
        </w:rPr>
        <w:t>作为公司高级管理人员的股东宋关福、王康弘、王尔琪、梁军、杜庆娥、王继</w:t>
      </w:r>
      <w:r>
        <w:rPr/>
        <w:t> 晖、龚娅杰承诺：自股票上市之起三十六个月内，不转让或者委托他人管理其持有</w:t>
      </w:r>
      <w:r>
        <w:rPr>
          <w:spacing w:val="-77"/>
        </w:rPr>
        <w:t> </w:t>
      </w:r>
      <w:r>
        <w:rPr>
          <w:spacing w:val="-77"/>
        </w:rPr>
      </w:r>
      <w:r>
        <w:rPr/>
        <w:t>的发行人股份，也不由发行人回购其持有的股份。在担任公司董事或高级管理人员</w:t>
      </w:r>
      <w:r>
        <w:rPr>
          <w:spacing w:val="-77"/>
        </w:rPr>
        <w:t> </w:t>
      </w:r>
      <w:r>
        <w:rPr>
          <w:spacing w:val="-77"/>
        </w:rPr>
      </w:r>
      <w:r>
        <w:rPr/>
        <w:t>期间，每年转让的股份不超过本人所持发行人股份总数的百分之二十五，离职后半</w:t>
      </w:r>
      <w:r>
        <w:rPr>
          <w:spacing w:val="-76"/>
        </w:rPr>
        <w:t> </w:t>
      </w:r>
      <w:r>
        <w:rPr>
          <w:spacing w:val="-76"/>
        </w:rPr>
      </w:r>
      <w:r>
        <w:rPr/>
        <w:t>年内，不转让所持有的发行人股份，如在公司首次公开发行股票上市之日起六个月</w:t>
      </w:r>
      <w:r>
        <w:rPr>
          <w:spacing w:val="-77"/>
        </w:rPr>
        <w:t> </w:t>
      </w:r>
      <w:r>
        <w:rPr>
          <w:spacing w:val="-77"/>
        </w:rPr>
      </w:r>
      <w:r>
        <w:rPr/>
        <w:t>内申报离职的，自申报离职之日起十八个月内不得转让其直接持有的本公司股份，</w:t>
      </w:r>
      <w:r>
        <w:rPr>
          <w:spacing w:val="-77"/>
        </w:rPr>
        <w:t> </w:t>
      </w:r>
      <w:r>
        <w:rPr>
          <w:spacing w:val="-77"/>
        </w:rPr>
      </w:r>
      <w:r>
        <w:rPr/>
        <w:t>在首次公开发行股票上市之日起第七个月至第十二个月之内申报离职的，自申报离</w:t>
      </w:r>
      <w:r>
        <w:rPr>
          <w:spacing w:val="-77"/>
        </w:rPr>
        <w:t> </w:t>
      </w:r>
      <w:r>
        <w:rPr>
          <w:spacing w:val="-77"/>
        </w:rPr>
      </w:r>
      <w:r>
        <w:rPr/>
        <w:t>职之日起十二个月内不得转让其直接持有的本公司股份。</w:t>
      </w:r>
    </w:p>
    <w:p>
      <w:pPr>
        <w:pStyle w:val="BodyText"/>
        <w:spacing w:line="240" w:lineRule="auto" w:before="36"/>
        <w:ind w:left="738" w:right="100"/>
        <w:jc w:val="left"/>
      </w:pPr>
      <w:r>
        <w:rPr/>
        <w:t>报告期内，以上人员严格遵守了相关承诺。</w:t>
      </w:r>
    </w:p>
    <w:p>
      <w:pPr>
        <w:spacing w:line="240" w:lineRule="auto" w:before="12"/>
        <w:rPr>
          <w:rFonts w:ascii="宋体" w:hAnsi="宋体" w:cs="宋体" w:eastAsia="宋体" w:hint="default"/>
          <w:sz w:val="30"/>
          <w:szCs w:val="30"/>
        </w:rPr>
      </w:pPr>
    </w:p>
    <w:p>
      <w:pPr>
        <w:pStyle w:val="Heading4"/>
        <w:spacing w:line="240" w:lineRule="auto"/>
        <w:ind w:right="100"/>
        <w:jc w:val="left"/>
        <w:rPr>
          <w:b w:val="0"/>
          <w:bCs w:val="0"/>
        </w:rPr>
      </w:pPr>
      <w:bookmarkStart w:name="_TOC_250044" w:id="44"/>
      <w:r>
        <w:rPr/>
        <w:t>（四）支持股权激励的承诺</w:t>
      </w:r>
      <w:bookmarkEnd w:id="44"/>
      <w:r>
        <w:rPr>
          <w:b w:val="0"/>
          <w:bCs w:val="0"/>
        </w:rPr>
      </w:r>
    </w:p>
    <w:p>
      <w:pPr>
        <w:spacing w:line="240" w:lineRule="auto" w:before="6"/>
        <w:rPr>
          <w:rFonts w:ascii="宋体" w:hAnsi="宋体" w:cs="宋体" w:eastAsia="宋体" w:hint="default"/>
          <w:b/>
          <w:bCs/>
          <w:sz w:val="40"/>
          <w:szCs w:val="40"/>
        </w:rPr>
      </w:pPr>
    </w:p>
    <w:p>
      <w:pPr>
        <w:pStyle w:val="BodyText"/>
        <w:spacing w:line="357" w:lineRule="auto"/>
        <w:ind w:right="233" w:firstLine="599"/>
        <w:jc w:val="both"/>
      </w:pPr>
      <w:r>
        <w:rPr>
          <w:spacing w:val="-2"/>
        </w:rPr>
        <w:t>作为公司控股股东及实际控股人，钟耳顺先生承诺：对公司股权激励计划持积</w:t>
      </w:r>
      <w:r>
        <w:rPr/>
        <w:t> 极支持态度，承诺在股东大会审议《北京超图软件股份有限公司股票期权激励计划</w:t>
      </w:r>
    </w:p>
    <w:p>
      <w:pPr>
        <w:spacing w:after="0" w:line="357" w:lineRule="auto"/>
        <w:jc w:val="both"/>
        <w:sectPr>
          <w:footerReference w:type="default" r:id="rId34"/>
          <w:pgSz w:w="11910" w:h="16840"/>
          <w:pgMar w:footer="1173" w:header="884" w:top="1140" w:bottom="1360" w:left="1660" w:right="1180"/>
          <w:pgNumType w:start="62"/>
        </w:sectPr>
      </w:pPr>
    </w:p>
    <w:p>
      <w:pPr>
        <w:spacing w:line="240" w:lineRule="auto" w:before="6"/>
        <w:rPr>
          <w:rFonts w:ascii="宋体" w:hAnsi="宋体" w:cs="宋体" w:eastAsia="宋体" w:hint="default"/>
          <w:sz w:val="16"/>
          <w:szCs w:val="16"/>
        </w:rPr>
      </w:pPr>
    </w:p>
    <w:p>
      <w:pPr>
        <w:pStyle w:val="BodyText"/>
        <w:spacing w:line="357" w:lineRule="auto" w:before="26"/>
        <w:ind w:left="738" w:right="2068" w:hanging="600"/>
        <w:jc w:val="left"/>
      </w:pPr>
      <w:r>
        <w:rPr>
          <w:spacing w:val="-11"/>
        </w:rPr>
        <w:t>（草案）》时投赞成票。</w:t>
      </w:r>
      <w:r>
        <w:rPr/>
        <w:t> 在股权激励相关方案审议过程中，钟耳顺先生投了赞成票。</w:t>
      </w:r>
    </w:p>
    <w:p>
      <w:pPr>
        <w:spacing w:line="240" w:lineRule="auto" w:before="8"/>
        <w:rPr>
          <w:rFonts w:ascii="宋体" w:hAnsi="宋体" w:cs="宋体" w:eastAsia="宋体" w:hint="default"/>
          <w:sz w:val="21"/>
          <w:szCs w:val="21"/>
        </w:rPr>
      </w:pPr>
    </w:p>
    <w:p>
      <w:pPr>
        <w:pStyle w:val="Heading3"/>
        <w:spacing w:line="571" w:lineRule="auto"/>
        <w:ind w:right="100"/>
        <w:jc w:val="left"/>
        <w:rPr>
          <w:b w:val="0"/>
          <w:bCs w:val="0"/>
        </w:rPr>
      </w:pPr>
      <w:r>
        <w:rPr/>
        <w:t>八、报告期内，公司无证券投资情况。</w:t>
      </w:r>
      <w:r>
        <w:rPr>
          <w:w w:val="99"/>
        </w:rPr>
        <w:t> </w:t>
      </w:r>
      <w:r>
        <w:rPr/>
        <w:t>九、报告期内，公司未发生对外担保事项。</w:t>
      </w:r>
      <w:r>
        <w:rPr>
          <w:w w:val="99"/>
        </w:rPr>
        <w:t> </w:t>
      </w:r>
      <w:r>
        <w:rPr>
          <w:w w:val="95"/>
        </w:rPr>
        <w:t>十、报告期内，公司未委托他人进行现金资产管理。</w:t>
      </w:r>
      <w:r>
        <w:rPr>
          <w:spacing w:val="54"/>
          <w:w w:val="95"/>
        </w:rPr>
        <w:t> </w:t>
      </w:r>
      <w:r>
        <w:rPr>
          <w:spacing w:val="54"/>
          <w:w w:val="95"/>
        </w:rPr>
      </w:r>
      <w:r>
        <w:rPr/>
        <w:t>十一、报告期内，公司关联方资金占用情况。</w:t>
      </w:r>
      <w:r>
        <w:rPr>
          <w:b w:val="0"/>
          <w:bCs w:val="0"/>
        </w:rPr>
      </w:r>
    </w:p>
    <w:p>
      <w:pPr>
        <w:pStyle w:val="BodyText"/>
        <w:spacing w:line="355" w:lineRule="auto" w:before="139"/>
        <w:ind w:left="618" w:right="100"/>
        <w:jc w:val="left"/>
      </w:pPr>
      <w:r>
        <w:rPr/>
        <w:t>报告期内，公司不存在控股股东及其附属关联方占用公司资金的情况。 </w:t>
      </w:r>
      <w:r>
        <w:rPr>
          <w:spacing w:val="-6"/>
        </w:rPr>
        <w:t>报告期内公司严格执行了《关于规范与关联方资金往来的管理制度》，及时清理</w:t>
      </w:r>
    </w:p>
    <w:p>
      <w:pPr>
        <w:pStyle w:val="BodyText"/>
        <w:spacing w:line="240" w:lineRule="auto" w:before="38"/>
        <w:ind w:right="100"/>
        <w:jc w:val="left"/>
      </w:pPr>
      <w:r>
        <w:rPr/>
        <w:t>了公司为浙江中科数城软件有限公司代垫的履约保证金</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万元（期初余额为</w:t>
      </w:r>
      <w:r>
        <w:rPr>
          <w:spacing w:val="-48"/>
        </w:rPr>
        <w:t> </w:t>
      </w:r>
      <w:r>
        <w:rPr>
          <w:rFonts w:ascii="Times New Roman" w:hAnsi="Times New Roman" w:cs="Times New Roman" w:eastAsia="Times New Roman" w:hint="default"/>
        </w:rPr>
        <w:t>14</w:t>
      </w:r>
      <w:r>
        <w:rPr>
          <w:rFonts w:ascii="Times New Roman" w:hAnsi="Times New Roman" w:cs="Times New Roman" w:eastAsia="Times New Roman" w:hint="default"/>
          <w:spacing w:val="12"/>
        </w:rPr>
        <w:t> </w:t>
      </w:r>
      <w:r>
        <w:rPr/>
        <w:t>万</w:t>
      </w:r>
    </w:p>
    <w:p>
      <w:pPr>
        <w:pStyle w:val="BodyText"/>
        <w:spacing w:line="240" w:lineRule="auto" w:before="133"/>
        <w:ind w:right="100"/>
        <w:jc w:val="left"/>
      </w:pPr>
      <w:r>
        <w:rPr/>
        <w:t>元，期末余额为</w:t>
      </w:r>
      <w:r>
        <w:rPr>
          <w:spacing w:val="-61"/>
        </w:rPr>
        <w:t> </w:t>
      </w:r>
      <w:r>
        <w:rPr>
          <w:rFonts w:ascii="Times New Roman" w:hAnsi="Times New Roman" w:cs="Times New Roman" w:eastAsia="Times New Roman" w:hint="default"/>
        </w:rPr>
        <w:t>0 </w:t>
      </w:r>
      <w:r>
        <w:rPr/>
        <w:t>万元</w:t>
      </w:r>
      <w:r>
        <w:rPr>
          <w:spacing w:val="-120"/>
        </w:rPr>
        <w:t>）</w:t>
      </w:r>
      <w:r>
        <w:rPr/>
        <w:t>，并与关联方不存在其他非经营性占用公司资金情况。</w:t>
      </w:r>
    </w:p>
    <w:p>
      <w:pPr>
        <w:spacing w:line="240" w:lineRule="auto" w:before="6"/>
        <w:rPr>
          <w:rFonts w:ascii="宋体" w:hAnsi="宋体" w:cs="宋体" w:eastAsia="宋体" w:hint="default"/>
          <w:sz w:val="29"/>
          <w:szCs w:val="29"/>
        </w:rPr>
      </w:pPr>
    </w:p>
    <w:p>
      <w:pPr>
        <w:pStyle w:val="Heading3"/>
        <w:spacing w:line="240" w:lineRule="auto"/>
        <w:ind w:right="100"/>
        <w:jc w:val="left"/>
        <w:rPr>
          <w:b w:val="0"/>
          <w:bCs w:val="0"/>
        </w:rPr>
      </w:pPr>
      <w:bookmarkStart w:name="_TOC_250043" w:id="45"/>
      <w:r>
        <w:rPr/>
        <w:t>十二、报告期内的重大关联交易事项</w:t>
      </w:r>
      <w:bookmarkEnd w:id="45"/>
      <w:r>
        <w:rPr>
          <w:b w:val="0"/>
          <w:bCs w:val="0"/>
        </w:rPr>
      </w:r>
    </w:p>
    <w:p>
      <w:pPr>
        <w:spacing w:line="240" w:lineRule="auto" w:before="1"/>
        <w:rPr>
          <w:rFonts w:ascii="宋体" w:hAnsi="宋体" w:cs="宋体" w:eastAsia="宋体" w:hint="default"/>
          <w:b/>
          <w:bCs/>
          <w:sz w:val="42"/>
          <w:szCs w:val="42"/>
        </w:rPr>
      </w:pPr>
    </w:p>
    <w:p>
      <w:pPr>
        <w:pStyle w:val="BodyText"/>
        <w:spacing w:line="240" w:lineRule="auto"/>
        <w:ind w:left="618" w:right="100"/>
        <w:jc w:val="left"/>
      </w:pPr>
      <w:r>
        <w:rPr/>
        <w:t>报告期内，公司未发生重大关联交易事项。</w:t>
      </w:r>
    </w:p>
    <w:p>
      <w:pPr>
        <w:spacing w:line="240" w:lineRule="auto" w:before="10"/>
        <w:rPr>
          <w:rFonts w:ascii="宋体" w:hAnsi="宋体" w:cs="宋体" w:eastAsia="宋体" w:hint="default"/>
          <w:sz w:val="30"/>
          <w:szCs w:val="30"/>
        </w:rPr>
      </w:pPr>
    </w:p>
    <w:p>
      <w:pPr>
        <w:pStyle w:val="Heading3"/>
        <w:spacing w:line="240" w:lineRule="auto"/>
        <w:ind w:right="100"/>
        <w:jc w:val="left"/>
        <w:rPr>
          <w:b w:val="0"/>
          <w:bCs w:val="0"/>
        </w:rPr>
      </w:pPr>
      <w:bookmarkStart w:name="_TOC_250042" w:id="46"/>
      <w:r>
        <w:rPr/>
        <w:t>十三、解聘、聘任会计师事务所情况及支付报酬情况</w:t>
      </w:r>
      <w:bookmarkEnd w:id="46"/>
      <w:r>
        <w:rPr>
          <w:b w:val="0"/>
          <w:bCs w:val="0"/>
        </w:rPr>
      </w:r>
    </w:p>
    <w:p>
      <w:pPr>
        <w:spacing w:line="240" w:lineRule="auto" w:before="4"/>
        <w:rPr>
          <w:rFonts w:ascii="宋体" w:hAnsi="宋体" w:cs="宋体" w:eastAsia="宋体" w:hint="default"/>
          <w:b/>
          <w:bCs/>
          <w:sz w:val="42"/>
          <w:szCs w:val="42"/>
        </w:rPr>
      </w:pPr>
    </w:p>
    <w:p>
      <w:pPr>
        <w:pStyle w:val="BodyText"/>
        <w:spacing w:line="338" w:lineRule="auto"/>
        <w:ind w:right="175" w:firstLine="479"/>
        <w:jc w:val="both"/>
      </w:pPr>
      <w:r>
        <w:rPr/>
        <w:t>为公司提供</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年审计服务的会计师机构为京都天华会计师事务所有限公司， 该会计师事务所已为本公司连续提供了</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年的审计服务，</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年，公司共支付其服 务费</w:t>
      </w:r>
      <w:r>
        <w:rPr>
          <w:spacing w:val="-60"/>
        </w:rPr>
        <w:t> </w:t>
      </w:r>
      <w:r>
        <w:rPr>
          <w:rFonts w:ascii="Times New Roman" w:hAnsi="Times New Roman" w:cs="Times New Roman" w:eastAsia="Times New Roman" w:hint="default"/>
        </w:rPr>
        <w:t>35</w:t>
      </w:r>
      <w:r>
        <w:rPr>
          <w:rFonts w:ascii="Times New Roman" w:hAnsi="Times New Roman" w:cs="Times New Roman" w:eastAsia="Times New Roman" w:hint="default"/>
          <w:spacing w:val="1"/>
        </w:rPr>
        <w:t> </w:t>
      </w:r>
      <w:r>
        <w:rPr>
          <w:spacing w:val="-2"/>
        </w:rPr>
        <w:t>万元（</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spacing w:val="-15"/>
        </w:rPr>
        <w:t>年度审计费用）。</w:t>
      </w:r>
    </w:p>
    <w:p>
      <w:pPr>
        <w:spacing w:line="240" w:lineRule="auto" w:before="12"/>
        <w:rPr>
          <w:rFonts w:ascii="宋体" w:hAnsi="宋体" w:cs="宋体" w:eastAsia="宋体" w:hint="default"/>
          <w:sz w:val="20"/>
          <w:szCs w:val="20"/>
        </w:rPr>
      </w:pPr>
    </w:p>
    <w:p>
      <w:pPr>
        <w:pStyle w:val="Heading3"/>
        <w:spacing w:line="240" w:lineRule="auto"/>
        <w:ind w:right="100"/>
        <w:jc w:val="left"/>
        <w:rPr>
          <w:b w:val="0"/>
          <w:bCs w:val="0"/>
        </w:rPr>
      </w:pPr>
      <w:bookmarkStart w:name="_TOC_250041" w:id="47"/>
      <w:r>
        <w:rPr/>
        <w:t>十四、受监管部门处罚、通报批评、公开谴责情况。</w:t>
      </w:r>
      <w:bookmarkEnd w:id="47"/>
      <w:r>
        <w:rPr>
          <w:b w:val="0"/>
          <w:bCs w:val="0"/>
        </w:rPr>
      </w:r>
    </w:p>
    <w:p>
      <w:pPr>
        <w:spacing w:line="240" w:lineRule="auto" w:before="11"/>
        <w:rPr>
          <w:rFonts w:ascii="宋体" w:hAnsi="宋体" w:cs="宋体" w:eastAsia="宋体" w:hint="default"/>
          <w:b/>
          <w:bCs/>
          <w:sz w:val="41"/>
          <w:szCs w:val="41"/>
        </w:rPr>
      </w:pPr>
    </w:p>
    <w:p>
      <w:pPr>
        <w:pStyle w:val="Heading4"/>
        <w:spacing w:line="240" w:lineRule="auto"/>
        <w:ind w:right="100"/>
        <w:jc w:val="left"/>
        <w:rPr>
          <w:b w:val="0"/>
          <w:bCs w:val="0"/>
        </w:rPr>
      </w:pPr>
      <w:bookmarkStart w:name="_TOC_250040" w:id="48"/>
      <w:r>
        <w:rPr/>
        <w:t>（一）整体情况</w:t>
      </w:r>
      <w:bookmarkEnd w:id="48"/>
      <w:r>
        <w:rPr>
          <w:b w:val="0"/>
          <w:bCs w:val="0"/>
        </w:rPr>
      </w:r>
    </w:p>
    <w:p>
      <w:pPr>
        <w:spacing w:line="240" w:lineRule="auto" w:before="4"/>
        <w:rPr>
          <w:rFonts w:ascii="宋体" w:hAnsi="宋体" w:cs="宋体" w:eastAsia="宋体" w:hint="default"/>
          <w:b/>
          <w:bCs/>
          <w:sz w:val="40"/>
          <w:szCs w:val="40"/>
        </w:rPr>
      </w:pPr>
    </w:p>
    <w:p>
      <w:pPr>
        <w:pStyle w:val="BodyText"/>
        <w:spacing w:line="357" w:lineRule="auto"/>
        <w:ind w:right="112" w:firstLine="479"/>
        <w:jc w:val="both"/>
      </w:pPr>
      <w:r>
        <w:rPr/>
        <w:t>报告期内，公司、公司董事、监事、高管人员、发起人股东、实际控制人均未 </w:t>
      </w:r>
      <w:r>
        <w:rPr>
          <w:spacing w:val="-2"/>
        </w:rPr>
        <w:t>受到有权机关调查、司法纪检部门采取强制措施、被移送司法机关或追究刑事责任、</w:t>
      </w:r>
    </w:p>
    <w:p>
      <w:pPr>
        <w:spacing w:after="0" w:line="357" w:lineRule="auto"/>
        <w:jc w:val="both"/>
        <w:sectPr>
          <w:pgSz w:w="11910" w:h="16840"/>
          <w:pgMar w:header="884" w:footer="1173" w:top="1140" w:bottom="1360" w:left="1660" w:right="1180"/>
        </w:sectPr>
      </w:pPr>
    </w:p>
    <w:p>
      <w:pPr>
        <w:spacing w:line="240" w:lineRule="auto" w:before="6"/>
        <w:rPr>
          <w:rFonts w:ascii="宋体" w:hAnsi="宋体" w:cs="宋体" w:eastAsia="宋体" w:hint="default"/>
          <w:sz w:val="16"/>
          <w:szCs w:val="16"/>
        </w:rPr>
      </w:pPr>
    </w:p>
    <w:p>
      <w:pPr>
        <w:pStyle w:val="BodyText"/>
        <w:spacing w:line="357" w:lineRule="auto" w:before="26"/>
        <w:ind w:right="124"/>
        <w:jc w:val="left"/>
      </w:pPr>
      <w:r>
        <w:rPr/>
        <w:t>中国证监会稽查、行政处罚、证券市场禁入、认定为不适当人选或被其他行政管理</w:t>
      </w:r>
      <w:r>
        <w:rPr>
          <w:spacing w:val="-77"/>
        </w:rPr>
        <w:t> </w:t>
      </w:r>
      <w:r>
        <w:rPr>
          <w:spacing w:val="-77"/>
        </w:rPr>
      </w:r>
      <w:r>
        <w:rPr/>
        <w:t>部门处罚及证券交易所公开谴责的情形。</w:t>
      </w:r>
    </w:p>
    <w:p>
      <w:pPr>
        <w:spacing w:line="240" w:lineRule="auto" w:before="12"/>
        <w:rPr>
          <w:rFonts w:ascii="宋体" w:hAnsi="宋体" w:cs="宋体" w:eastAsia="宋体" w:hint="default"/>
          <w:sz w:val="21"/>
          <w:szCs w:val="21"/>
        </w:rPr>
      </w:pPr>
    </w:p>
    <w:p>
      <w:pPr>
        <w:pStyle w:val="Heading4"/>
        <w:spacing w:line="240" w:lineRule="auto"/>
        <w:ind w:right="124"/>
        <w:jc w:val="left"/>
        <w:rPr>
          <w:b w:val="0"/>
          <w:bCs w:val="0"/>
        </w:rPr>
      </w:pPr>
      <w:bookmarkStart w:name="_TOC_250039" w:id="49"/>
      <w:r>
        <w:rPr/>
        <w:t>（二）被中国证监会及其派出机构提出整改意见的情况</w:t>
      </w:r>
      <w:bookmarkEnd w:id="49"/>
      <w:r>
        <w:rPr>
          <w:b w:val="0"/>
          <w:bCs w:val="0"/>
        </w:rPr>
      </w:r>
    </w:p>
    <w:p>
      <w:pPr>
        <w:spacing w:line="240" w:lineRule="auto" w:before="6"/>
        <w:rPr>
          <w:rFonts w:ascii="宋体" w:hAnsi="宋体" w:cs="宋体" w:eastAsia="宋体" w:hint="default"/>
          <w:b/>
          <w:bCs/>
          <w:sz w:val="40"/>
          <w:szCs w:val="40"/>
        </w:rPr>
      </w:pPr>
    </w:p>
    <w:p>
      <w:pPr>
        <w:pStyle w:val="BodyText"/>
        <w:spacing w:line="240" w:lineRule="auto"/>
        <w:ind w:left="618" w:right="124"/>
        <w:jc w:val="left"/>
      </w:pPr>
      <w:r>
        <w:rPr/>
        <w:t>报告期内，公司未被中国证监会及其派出机构提出整改意见。</w:t>
      </w:r>
    </w:p>
    <w:p>
      <w:pPr>
        <w:spacing w:line="240" w:lineRule="auto" w:before="10"/>
        <w:rPr>
          <w:rFonts w:ascii="宋体" w:hAnsi="宋体" w:cs="宋体" w:eastAsia="宋体" w:hint="default"/>
          <w:sz w:val="30"/>
          <w:szCs w:val="30"/>
        </w:rPr>
      </w:pPr>
    </w:p>
    <w:p>
      <w:pPr>
        <w:pStyle w:val="Heading3"/>
        <w:spacing w:line="240" w:lineRule="auto"/>
        <w:ind w:right="124"/>
        <w:jc w:val="left"/>
        <w:rPr>
          <w:b w:val="0"/>
          <w:bCs w:val="0"/>
        </w:rPr>
      </w:pPr>
      <w:bookmarkStart w:name="_TOC_250038" w:id="50"/>
      <w:r>
        <w:rPr/>
        <w:t>十五、报告期内，公司发生的其他重大事件</w:t>
      </w:r>
      <w:bookmarkEnd w:id="50"/>
      <w:r>
        <w:rPr>
          <w:b w:val="0"/>
          <w:bCs w:val="0"/>
        </w:rPr>
      </w:r>
    </w:p>
    <w:p>
      <w:pPr>
        <w:spacing w:line="240" w:lineRule="auto" w:before="9"/>
        <w:rPr>
          <w:rFonts w:ascii="宋体" w:hAnsi="宋体" w:cs="宋体" w:eastAsia="宋体" w:hint="default"/>
          <w:b/>
          <w:bCs/>
          <w:sz w:val="41"/>
          <w:szCs w:val="41"/>
        </w:rPr>
      </w:pPr>
    </w:p>
    <w:p>
      <w:pPr>
        <w:pStyle w:val="Heading4"/>
        <w:spacing w:line="240" w:lineRule="auto"/>
        <w:ind w:right="124"/>
        <w:jc w:val="left"/>
        <w:rPr>
          <w:b w:val="0"/>
          <w:bCs w:val="0"/>
        </w:rPr>
      </w:pPr>
      <w:bookmarkStart w:name="_TOC_250037" w:id="51"/>
      <w:r>
        <w:rPr/>
        <w:t>（一）</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以上监事变动行为情况</w:t>
      </w:r>
      <w:bookmarkEnd w:id="51"/>
      <w:r>
        <w:rPr>
          <w:b w:val="0"/>
          <w:bCs w:val="0"/>
        </w:rPr>
      </w:r>
    </w:p>
    <w:p>
      <w:pPr>
        <w:spacing w:line="240" w:lineRule="auto" w:before="11"/>
        <w:rPr>
          <w:rFonts w:ascii="宋体" w:hAnsi="宋体" w:cs="宋体" w:eastAsia="宋体" w:hint="default"/>
          <w:b/>
          <w:bCs/>
          <w:sz w:val="38"/>
          <w:szCs w:val="38"/>
        </w:rPr>
      </w:pPr>
    </w:p>
    <w:p>
      <w:pPr>
        <w:pStyle w:val="BodyText"/>
        <w:spacing w:line="240" w:lineRule="auto"/>
        <w:ind w:left="0" w:right="134"/>
        <w:jc w:val="right"/>
        <w:rPr>
          <w:rFonts w:ascii="Times New Roman" w:hAnsi="Times New Roman" w:cs="Times New Roman" w:eastAsia="Times New Roman" w:hint="default"/>
        </w:rPr>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spacing w:val="-3"/>
        </w:rPr>
        <w:t>日，职工监事区励女士申请辞去公司监事职务。</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16</w:t>
      </w:r>
    </w:p>
    <w:p>
      <w:pPr>
        <w:pStyle w:val="BodyText"/>
        <w:spacing w:line="240" w:lineRule="auto" w:before="133"/>
        <w:ind w:right="124"/>
        <w:jc w:val="left"/>
      </w:pPr>
      <w:r>
        <w:rPr/>
        <w:t>日，公司召开的职工代表大会选举刘英利女士担任公司职工代表监事。</w:t>
      </w:r>
    </w:p>
    <w:p>
      <w:pPr>
        <w:spacing w:line="240" w:lineRule="auto" w:before="2"/>
        <w:rPr>
          <w:rFonts w:ascii="宋体" w:hAnsi="宋体" w:cs="宋体" w:eastAsia="宋体" w:hint="default"/>
          <w:sz w:val="31"/>
          <w:szCs w:val="31"/>
        </w:rPr>
      </w:pPr>
    </w:p>
    <w:p>
      <w:pPr>
        <w:pStyle w:val="Heading4"/>
        <w:spacing w:line="240" w:lineRule="auto"/>
        <w:ind w:right="124"/>
        <w:jc w:val="left"/>
        <w:rPr>
          <w:b w:val="0"/>
          <w:bCs w:val="0"/>
        </w:rPr>
      </w:pPr>
      <w:bookmarkStart w:name="_TOC_250036" w:id="52"/>
      <w:r>
        <w:rPr/>
        <w:t>（二）董事会、监事会换届事宜</w:t>
      </w:r>
      <w:bookmarkEnd w:id="52"/>
      <w:r>
        <w:rPr>
          <w:b w:val="0"/>
          <w:bCs w:val="0"/>
        </w:rPr>
      </w:r>
    </w:p>
    <w:p>
      <w:pPr>
        <w:spacing w:line="240" w:lineRule="auto" w:before="7"/>
        <w:rPr>
          <w:rFonts w:ascii="宋体" w:hAnsi="宋体" w:cs="宋体" w:eastAsia="宋体" w:hint="default"/>
          <w:b/>
          <w:bCs/>
          <w:sz w:val="40"/>
          <w:szCs w:val="40"/>
        </w:rPr>
      </w:pPr>
    </w:p>
    <w:p>
      <w:pPr>
        <w:pStyle w:val="BodyText"/>
        <w:spacing w:line="348" w:lineRule="auto"/>
        <w:ind w:right="132" w:firstLine="479"/>
        <w:jc w:val="both"/>
      </w:pPr>
      <w:r>
        <w:rPr/>
        <w:t>经</w:t>
      </w:r>
      <w:r>
        <w:rPr>
          <w:spacing w:val="-8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年第一次临时股东大会审议通过，选举钟耳顺、宋关福、王康弘、王尔 琪、徐立新、高星、王浩、董云庭、谢德仁为公司第二届董事会董事，原董事葛全</w:t>
      </w:r>
      <w:r>
        <w:rPr>
          <w:spacing w:val="-72"/>
        </w:rPr>
        <w:t> </w:t>
      </w:r>
      <w:r>
        <w:rPr>
          <w:spacing w:val="-72"/>
        </w:rPr>
      </w:r>
      <w:r>
        <w:rPr/>
        <w:t>胜、刘先林不再担任第二届董事会董事；</w:t>
      </w:r>
    </w:p>
    <w:p>
      <w:pPr>
        <w:pStyle w:val="BodyText"/>
        <w:spacing w:line="338" w:lineRule="auto" w:before="43"/>
        <w:ind w:right="133" w:firstLine="479"/>
        <w:jc w:val="both"/>
      </w:pPr>
      <w:r>
        <w:rPr/>
        <w:t>经</w:t>
      </w:r>
      <w:r>
        <w:rPr>
          <w:spacing w:val="-8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7"/>
        </w:rPr>
        <w:t> </w:t>
      </w:r>
      <w:r>
        <w:rPr/>
        <w:t>年第一次临时股东大会审议通过，选举曾志明、杨雪斌为公司监事，与 职工代表会选举的职工监事刘英利组成公司第二届监事会。</w:t>
      </w:r>
    </w:p>
    <w:p>
      <w:pPr>
        <w:spacing w:line="240" w:lineRule="auto" w:before="1"/>
        <w:rPr>
          <w:rFonts w:ascii="宋体" w:hAnsi="宋体" w:cs="宋体" w:eastAsia="宋体" w:hint="default"/>
          <w:sz w:val="23"/>
          <w:szCs w:val="23"/>
        </w:rPr>
      </w:pPr>
    </w:p>
    <w:p>
      <w:pPr>
        <w:pStyle w:val="Heading3"/>
        <w:spacing w:line="240" w:lineRule="auto"/>
        <w:ind w:right="124"/>
        <w:jc w:val="left"/>
        <w:rPr>
          <w:b w:val="0"/>
          <w:bCs w:val="0"/>
        </w:rPr>
      </w:pPr>
      <w:bookmarkStart w:name="_TOC_250035" w:id="53"/>
      <w:r>
        <w:rPr/>
        <w:t>十六、其他事项</w:t>
      </w:r>
      <w:bookmarkEnd w:id="53"/>
      <w:r>
        <w:rPr>
          <w:b w:val="0"/>
          <w:bCs w:val="0"/>
        </w:rPr>
      </w:r>
    </w:p>
    <w:p>
      <w:pPr>
        <w:spacing w:line="240" w:lineRule="auto" w:before="12"/>
        <w:rPr>
          <w:rFonts w:ascii="宋体" w:hAnsi="宋体" w:cs="宋体" w:eastAsia="宋体" w:hint="default"/>
          <w:b/>
          <w:bCs/>
          <w:sz w:val="41"/>
          <w:szCs w:val="41"/>
        </w:rPr>
      </w:pPr>
    </w:p>
    <w:p>
      <w:pPr>
        <w:pStyle w:val="Heading4"/>
        <w:spacing w:line="240" w:lineRule="auto"/>
        <w:ind w:left="0" w:right="130"/>
        <w:jc w:val="right"/>
        <w:rPr>
          <w:b w:val="0"/>
          <w:bCs w:val="0"/>
        </w:rPr>
      </w:pPr>
      <w:bookmarkStart w:name="_TOC_250034" w:id="54"/>
      <w:r>
        <w:rPr>
          <w:spacing w:val="-1"/>
        </w:rPr>
        <w:t>（一）公司内部审计机构的设置、人员安排和内部审计制度的执行情况</w:t>
      </w:r>
      <w:bookmarkEnd w:id="54"/>
      <w:r>
        <w:rPr>
          <w:b w:val="0"/>
          <w:bCs w:val="0"/>
          <w:spacing w:val="-1"/>
        </w:rPr>
      </w:r>
    </w:p>
    <w:p>
      <w:pPr>
        <w:spacing w:line="240" w:lineRule="auto" w:before="6"/>
        <w:rPr>
          <w:rFonts w:ascii="宋体" w:hAnsi="宋体" w:cs="宋体" w:eastAsia="宋体" w:hint="default"/>
          <w:b/>
          <w:bCs/>
          <w:sz w:val="40"/>
          <w:szCs w:val="40"/>
        </w:rPr>
      </w:pPr>
    </w:p>
    <w:p>
      <w:pPr>
        <w:pStyle w:val="BodyText"/>
        <w:spacing w:line="357" w:lineRule="auto"/>
        <w:ind w:right="130" w:firstLine="479"/>
        <w:jc w:val="both"/>
      </w:pPr>
      <w:r>
        <w:rPr/>
        <w:t>报告期内，公司根据制定的《内部审计制度》设立了独立的内部审计机构，并 聘请专业人员开展工作。内部审计部门根据《内部审计制度》与公司实际情况制定</w:t>
      </w:r>
      <w:r>
        <w:rPr>
          <w:spacing w:val="-76"/>
        </w:rPr>
        <w:t> </w:t>
      </w:r>
      <w:r>
        <w:rPr>
          <w:spacing w:val="-76"/>
        </w:rPr>
      </w:r>
      <w:r>
        <w:rPr/>
        <w:t>了较为具体的工作细则。目前，内部审计部运行良好，发挥了应有的作用，公司内</w:t>
      </w:r>
      <w:r>
        <w:rPr>
          <w:spacing w:val="-77"/>
        </w:rPr>
        <w:t> </w:t>
      </w:r>
      <w:r>
        <w:rPr>
          <w:spacing w:val="-77"/>
        </w:rPr>
      </w:r>
      <w:r>
        <w:rPr/>
        <w:t>部审计制度得到了有力的执行。</w:t>
      </w:r>
    </w:p>
    <w:p>
      <w:pPr>
        <w:spacing w:after="0" w:line="357" w:lineRule="auto"/>
        <w:jc w:val="both"/>
        <w:sectPr>
          <w:pgSz w:w="11910" w:h="16840"/>
          <w:pgMar w:header="884" w:footer="1173" w:top="1140" w:bottom="1360" w:left="1660" w:right="1280"/>
        </w:sectPr>
      </w:pPr>
    </w:p>
    <w:p>
      <w:pPr>
        <w:spacing w:line="240" w:lineRule="auto" w:before="11"/>
        <w:rPr>
          <w:rFonts w:ascii="宋体" w:hAnsi="宋体" w:cs="宋体" w:eastAsia="宋体" w:hint="default"/>
          <w:sz w:val="16"/>
          <w:szCs w:val="16"/>
        </w:rPr>
      </w:pPr>
    </w:p>
    <w:p>
      <w:pPr>
        <w:pStyle w:val="Heading4"/>
        <w:spacing w:line="240" w:lineRule="auto" w:before="14"/>
        <w:ind w:right="124"/>
        <w:jc w:val="left"/>
        <w:rPr>
          <w:b w:val="0"/>
          <w:bCs w:val="0"/>
        </w:rPr>
      </w:pPr>
      <w:bookmarkStart w:name="_TOC_250033" w:id="55"/>
      <w:r>
        <w:rPr/>
        <w:t>（二）信息披露媒体</w:t>
      </w:r>
      <w:bookmarkEnd w:id="55"/>
      <w:r>
        <w:rPr>
          <w:b w:val="0"/>
          <w:bCs w:val="0"/>
        </w:rPr>
      </w:r>
    </w:p>
    <w:p>
      <w:pPr>
        <w:spacing w:line="240" w:lineRule="auto" w:before="6"/>
        <w:rPr>
          <w:rFonts w:ascii="宋体" w:hAnsi="宋体" w:cs="宋体" w:eastAsia="宋体" w:hint="default"/>
          <w:b/>
          <w:bCs/>
          <w:sz w:val="40"/>
          <w:szCs w:val="40"/>
        </w:rPr>
      </w:pPr>
    </w:p>
    <w:p>
      <w:pPr>
        <w:pStyle w:val="BodyText"/>
        <w:spacing w:line="355" w:lineRule="auto"/>
        <w:ind w:right="135" w:firstLine="479"/>
        <w:jc w:val="both"/>
      </w:pPr>
      <w:r>
        <w:rPr>
          <w:spacing w:val="-6"/>
        </w:rPr>
        <w:t>报告期内，公司选定的信息披露报纸为《中国证券报》和《证券时报》，信息披</w:t>
      </w:r>
      <w:r>
        <w:rPr/>
        <w:t> 露网站为巨潮资讯网（</w:t>
      </w:r>
      <w:hyperlink r:id="rId11">
        <w:r>
          <w:rPr>
            <w:rFonts w:ascii="Times New Roman" w:hAnsi="Times New Roman" w:cs="Times New Roman" w:eastAsia="Times New Roman" w:hint="default"/>
          </w:rPr>
          <w:t>www.cninfo.com.cn</w:t>
        </w:r>
      </w:hyperlink>
      <w:r>
        <w:rPr/>
        <w:t>）等证监会指定信息披露网站。</w:t>
      </w:r>
    </w:p>
    <w:p>
      <w:pPr>
        <w:spacing w:line="240" w:lineRule="auto" w:before="13"/>
        <w:rPr>
          <w:rFonts w:ascii="宋体" w:hAnsi="宋体" w:cs="宋体" w:eastAsia="宋体" w:hint="default"/>
          <w:sz w:val="19"/>
          <w:szCs w:val="19"/>
        </w:rPr>
      </w:pPr>
    </w:p>
    <w:p>
      <w:pPr>
        <w:pStyle w:val="Heading4"/>
        <w:spacing w:line="240" w:lineRule="auto"/>
        <w:ind w:right="124"/>
        <w:jc w:val="left"/>
        <w:rPr>
          <w:b w:val="0"/>
          <w:bCs w:val="0"/>
        </w:rPr>
      </w:pPr>
      <w:bookmarkStart w:name="_TOC_250032" w:id="56"/>
      <w:r>
        <w:rPr/>
        <w:t>（三）公司投资者关系管理</w:t>
      </w:r>
      <w:bookmarkEnd w:id="56"/>
      <w:r>
        <w:rPr>
          <w:b w:val="0"/>
          <w:bCs w:val="0"/>
        </w:rPr>
      </w:r>
    </w:p>
    <w:p>
      <w:pPr>
        <w:spacing w:line="240" w:lineRule="auto" w:before="6"/>
        <w:rPr>
          <w:rFonts w:ascii="宋体" w:hAnsi="宋体" w:cs="宋体" w:eastAsia="宋体" w:hint="default"/>
          <w:b/>
          <w:bCs/>
          <w:sz w:val="40"/>
          <w:szCs w:val="40"/>
        </w:rPr>
      </w:pPr>
    </w:p>
    <w:p>
      <w:pPr>
        <w:pStyle w:val="BodyText"/>
        <w:spacing w:line="355" w:lineRule="auto"/>
        <w:ind w:right="131" w:firstLine="479"/>
        <w:jc w:val="both"/>
      </w:pPr>
      <w:r>
        <w:rPr/>
        <w:t>公司董事会秘书为投资者关系管理负责人，公司证券与法务部负责投资者关系 管理的日常事务。</w:t>
      </w:r>
    </w:p>
    <w:p>
      <w:pPr>
        <w:pStyle w:val="BodyText"/>
        <w:spacing w:line="357" w:lineRule="auto" w:before="38"/>
        <w:ind w:right="134" w:firstLine="479"/>
        <w:jc w:val="both"/>
      </w:pPr>
      <w:r>
        <w:rPr>
          <w:spacing w:val="-6"/>
        </w:rPr>
        <w:t>报告期内，根据《创业板上市公司规范运作指引》、《北京超图软件股份有限公</w:t>
      </w:r>
      <w:r>
        <w:rPr/>
        <w:t> 司董事会秘书工作细则》等相关规定，董事会秘书组织实施了公司投资者关系管理</w:t>
      </w:r>
      <w:r>
        <w:rPr>
          <w:spacing w:val="-73"/>
        </w:rPr>
        <w:t> </w:t>
      </w:r>
      <w:r>
        <w:rPr>
          <w:spacing w:val="-73"/>
        </w:rPr>
      </w:r>
      <w:r>
        <w:rPr/>
        <w:t>工作，具体情况如下：</w:t>
      </w:r>
    </w:p>
    <w:p>
      <w:pPr>
        <w:pStyle w:val="Heading5"/>
        <w:spacing w:line="240" w:lineRule="auto" w:before="34"/>
        <w:ind w:left="620" w:right="124"/>
        <w:jc w:val="left"/>
        <w:rPr>
          <w:b w:val="0"/>
          <w:bCs w:val="0"/>
        </w:rPr>
      </w:pPr>
      <w:bookmarkStart w:name="_TOC_250031" w:id="57"/>
      <w:r>
        <w:rPr/>
        <w:t>（一）</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年度报告业绩说明会</w:t>
      </w:r>
      <w:bookmarkEnd w:id="57"/>
      <w:r>
        <w:rPr>
          <w:b w:val="0"/>
          <w:bCs w:val="0"/>
        </w:rPr>
      </w:r>
    </w:p>
    <w:p>
      <w:pPr>
        <w:pStyle w:val="BodyText"/>
        <w:spacing w:line="350" w:lineRule="auto" w:before="135"/>
        <w:ind w:right="134" w:firstLine="479"/>
        <w:jc w:val="both"/>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9 </w:t>
      </w:r>
      <w:r>
        <w:rPr/>
        <w:t>日，公司在深圳证券信息有限公司提供的网上平台举行了</w:t>
      </w:r>
      <w:r>
        <w:rPr>
          <w:spacing w:val="-54"/>
        </w:rPr>
        <w:t> </w:t>
      </w:r>
      <w:r>
        <w:rPr>
          <w:rFonts w:ascii="Times New Roman" w:hAnsi="Times New Roman" w:cs="Times New Roman" w:eastAsia="Times New Roman" w:hint="default"/>
        </w:rPr>
        <w:t>2010 </w:t>
      </w:r>
      <w:r>
        <w:rPr/>
        <w:t>年年度报告网上说明会，出席人员有公司董事、总经理宋关福、独立董事谢德仁、</w:t>
      </w:r>
      <w:r>
        <w:rPr>
          <w:spacing w:val="-77"/>
        </w:rPr>
        <w:t> </w:t>
      </w:r>
      <w:r>
        <w:rPr>
          <w:spacing w:val="-77"/>
        </w:rPr>
      </w:r>
      <w:r>
        <w:rPr/>
        <w:t>董事会秘书、副总经理龚娅杰、财务总监鹿麒以及公司保荐代表人齐政。相关人员</w:t>
      </w:r>
      <w:r>
        <w:rPr>
          <w:spacing w:val="-77"/>
        </w:rPr>
        <w:t> </w:t>
      </w:r>
      <w:r>
        <w:rPr>
          <w:spacing w:val="-77"/>
        </w:rPr>
      </w:r>
      <w:r>
        <w:rPr/>
        <w:t>与投资者进行了较为深入的交流，使广大投资者更为全面的了解了公司。</w:t>
      </w:r>
    </w:p>
    <w:p>
      <w:pPr>
        <w:pStyle w:val="Heading5"/>
        <w:spacing w:line="240" w:lineRule="auto" w:before="43"/>
        <w:ind w:left="620" w:right="124"/>
        <w:jc w:val="left"/>
        <w:rPr>
          <w:b w:val="0"/>
          <w:bCs w:val="0"/>
        </w:rPr>
      </w:pPr>
      <w:bookmarkStart w:name="_TOC_250030" w:id="58"/>
      <w:r>
        <w:rPr/>
        <w:t>（二）接待实地调研</w:t>
      </w:r>
      <w:bookmarkEnd w:id="58"/>
      <w:r>
        <w:rPr>
          <w:b w:val="0"/>
          <w:bCs w:val="0"/>
        </w:rPr>
      </w:r>
    </w:p>
    <w:p>
      <w:pPr>
        <w:spacing w:line="240" w:lineRule="auto" w:before="9"/>
        <w:rPr>
          <w:rFonts w:ascii="宋体" w:hAnsi="宋体" w:cs="宋体" w:eastAsia="宋体" w:hint="default"/>
          <w:b/>
          <w:bCs/>
          <w:sz w:val="14"/>
          <w:szCs w:val="14"/>
        </w:rPr>
      </w:pPr>
    </w:p>
    <w:tbl>
      <w:tblPr>
        <w:tblW w:w="0" w:type="auto"/>
        <w:jc w:val="left"/>
        <w:tblInd w:w="231" w:type="dxa"/>
        <w:tblLayout w:type="fixed"/>
        <w:tblCellMar>
          <w:top w:w="0" w:type="dxa"/>
          <w:left w:w="0" w:type="dxa"/>
          <w:bottom w:w="0" w:type="dxa"/>
          <w:right w:w="0" w:type="dxa"/>
        </w:tblCellMar>
        <w:tblLook w:val="01E0"/>
      </w:tblPr>
      <w:tblGrid>
        <w:gridCol w:w="1102"/>
        <w:gridCol w:w="1419"/>
        <w:gridCol w:w="2976"/>
        <w:gridCol w:w="2977"/>
      </w:tblGrid>
      <w:tr>
        <w:trPr>
          <w:trHeight w:val="295" w:hRule="exact"/>
        </w:trPr>
        <w:tc>
          <w:tcPr>
            <w:tcW w:w="1102" w:type="dxa"/>
            <w:tcBorders>
              <w:top w:val="single" w:sz="12" w:space="0" w:color="000000"/>
              <w:left w:val="single" w:sz="12" w:space="0" w:color="000000"/>
              <w:bottom w:val="single" w:sz="6" w:space="0" w:color="000000"/>
              <w:right w:val="single" w:sz="6" w:space="0" w:color="000000"/>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419"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977" w:type="dxa"/>
            <w:tcBorders>
              <w:top w:val="single" w:sz="12" w:space="0" w:color="000000"/>
              <w:left w:val="single" w:sz="6" w:space="0" w:color="000000"/>
              <w:bottom w:val="single" w:sz="6" w:space="0" w:color="000000"/>
              <w:right w:val="single" w:sz="12" w:space="0" w:color="000000"/>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562"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w:t>
            </w:r>
          </w:p>
          <w:p>
            <w:pPr>
              <w:pStyle w:val="TableParagraph"/>
              <w:spacing w:line="281" w:lineRule="exact"/>
              <w:ind w:left="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会</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议室</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国信证券等证券公司、银华基</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金等基金公司</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公司情况、行业状况、发展趋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势</w:t>
            </w:r>
          </w:p>
        </w:tc>
      </w:tr>
      <w:tr>
        <w:trPr>
          <w:trHeight w:val="559"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p>
          <w:p>
            <w:pPr>
              <w:pStyle w:val="TableParagraph"/>
              <w:spacing w:line="281" w:lineRule="exact"/>
              <w:ind w:left="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 </w:t>
            </w:r>
            <w:r>
              <w:rPr>
                <w:rFonts w:ascii="Times New Roman" w:hAnsi="Times New Roman" w:cs="Times New Roman" w:eastAsia="Times New Roman" w:hint="default"/>
                <w:sz w:val="21"/>
                <w:szCs w:val="21"/>
              </w:rPr>
              <w:t>302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会</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议室</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东方证券资产管理公司</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公司情况、行业状况、发展趋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势</w:t>
            </w:r>
          </w:p>
        </w:tc>
      </w:tr>
      <w:tr>
        <w:trPr>
          <w:trHeight w:val="560"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5</w:t>
            </w:r>
          </w:p>
          <w:p>
            <w:pPr>
              <w:pStyle w:val="TableParagraph"/>
              <w:spacing w:line="282" w:lineRule="exact"/>
              <w:ind w:left="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 </w:t>
            </w:r>
            <w:r>
              <w:rPr>
                <w:rFonts w:ascii="Times New Roman" w:hAnsi="Times New Roman" w:cs="Times New Roman" w:eastAsia="Times New Roman" w:hint="default"/>
                <w:sz w:val="21"/>
                <w:szCs w:val="21"/>
              </w:rPr>
              <w:t>302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会</w:t>
            </w:r>
          </w:p>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议室</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银河证券等证券公司、泰兴基</w:t>
            </w:r>
          </w:p>
          <w:p>
            <w:pPr>
              <w:pStyle w:val="TableParagraph"/>
              <w:spacing w:line="275" w:lineRule="exact"/>
              <w:ind w:left="98" w:right="0"/>
              <w:jc w:val="left"/>
              <w:rPr>
                <w:rFonts w:ascii="宋体" w:hAnsi="宋体" w:cs="宋体" w:eastAsia="宋体" w:hint="default"/>
                <w:sz w:val="21"/>
                <w:szCs w:val="21"/>
              </w:rPr>
            </w:pPr>
            <w:r>
              <w:rPr>
                <w:rFonts w:ascii="宋体" w:hAnsi="宋体" w:cs="宋体" w:eastAsia="宋体" w:hint="default"/>
                <w:sz w:val="21"/>
                <w:szCs w:val="21"/>
              </w:rPr>
              <w:t>金等基金公司、其他投资公司</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公司情况、行业状况、发展趋</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势</w:t>
            </w:r>
          </w:p>
        </w:tc>
      </w:tr>
      <w:tr>
        <w:trPr>
          <w:trHeight w:val="559"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p>
          <w:p>
            <w:pPr>
              <w:pStyle w:val="TableParagraph"/>
              <w:spacing w:line="282" w:lineRule="exact"/>
              <w:ind w:left="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 </w:t>
            </w:r>
            <w:r>
              <w:rPr>
                <w:rFonts w:ascii="Times New Roman" w:hAnsi="Times New Roman" w:cs="Times New Roman" w:eastAsia="Times New Roman" w:hint="default"/>
                <w:sz w:val="21"/>
                <w:szCs w:val="21"/>
              </w:rPr>
              <w:t>302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会</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议室</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广发证券等证券公司、华夏基</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金等公司、其他投资公司</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公司情况、行业状况、发展趋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势</w:t>
            </w:r>
          </w:p>
        </w:tc>
      </w:tr>
      <w:tr>
        <w:trPr>
          <w:trHeight w:val="559"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p>
          <w:p>
            <w:pPr>
              <w:pStyle w:val="TableParagraph"/>
              <w:spacing w:line="282" w:lineRule="exact"/>
              <w:ind w:left="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 </w:t>
            </w:r>
            <w:r>
              <w:rPr>
                <w:rFonts w:ascii="Times New Roman" w:hAnsi="Times New Roman" w:cs="Times New Roman" w:eastAsia="Times New Roman" w:hint="default"/>
                <w:sz w:val="21"/>
                <w:szCs w:val="21"/>
              </w:rPr>
              <w:t>302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会</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议室</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东方证券、国金证券、平安证</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券、华夏基金、融通基金</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公司产品情况、行业状况</w:t>
            </w:r>
          </w:p>
        </w:tc>
      </w:tr>
      <w:tr>
        <w:trPr>
          <w:trHeight w:val="562"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9"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8</w:t>
            </w:r>
          </w:p>
          <w:p>
            <w:pPr>
              <w:pStyle w:val="TableParagraph"/>
              <w:spacing w:line="281" w:lineRule="exact"/>
              <w:ind w:left="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 </w:t>
            </w:r>
            <w:r>
              <w:rPr>
                <w:rFonts w:ascii="Times New Roman" w:hAnsi="Times New Roman" w:cs="Times New Roman" w:eastAsia="Times New Roman" w:hint="default"/>
                <w:sz w:val="21"/>
                <w:szCs w:val="21"/>
              </w:rPr>
              <w:t>302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会</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议室</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国都证券等证券公司、鹏华基</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金等基金公司、其他投资公司</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公司近况、半年度报告相关问</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题</w:t>
            </w:r>
          </w:p>
        </w:tc>
      </w:tr>
      <w:tr>
        <w:trPr>
          <w:trHeight w:val="559"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9</w:t>
            </w:r>
          </w:p>
          <w:p>
            <w:pPr>
              <w:pStyle w:val="TableParagraph"/>
              <w:spacing w:line="281" w:lineRule="exact"/>
              <w:ind w:left="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 </w:t>
            </w:r>
            <w:r>
              <w:rPr>
                <w:rFonts w:ascii="Times New Roman" w:hAnsi="Times New Roman" w:cs="Times New Roman" w:eastAsia="Times New Roman" w:hint="default"/>
                <w:sz w:val="21"/>
                <w:szCs w:val="21"/>
              </w:rPr>
              <w:t>302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会</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议室</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民生证券等证券公司、广发基</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金基金等公司、其他投资公司</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公司近况、技术大会相关情况</w:t>
            </w:r>
          </w:p>
        </w:tc>
      </w:tr>
      <w:tr>
        <w:trPr>
          <w:trHeight w:val="559" w:hRule="exact"/>
        </w:trPr>
        <w:tc>
          <w:tcPr>
            <w:tcW w:w="1102"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10</w:t>
            </w:r>
          </w:p>
          <w:p>
            <w:pPr>
              <w:pStyle w:val="TableParagraph"/>
              <w:spacing w:line="282" w:lineRule="exact"/>
              <w:ind w:left="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 </w:t>
            </w:r>
            <w:r>
              <w:rPr>
                <w:rFonts w:ascii="Times New Roman" w:hAnsi="Times New Roman" w:cs="Times New Roman" w:eastAsia="Times New Roman" w:hint="default"/>
                <w:sz w:val="21"/>
                <w:szCs w:val="21"/>
              </w:rPr>
              <w:t>302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会</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议室</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国金证券等公司、申银基金其</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他投资公司</w:t>
            </w:r>
          </w:p>
        </w:tc>
        <w:tc>
          <w:tcPr>
            <w:tcW w:w="2977"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公司近况、第三季度情况、行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业近况</w:t>
            </w:r>
          </w:p>
        </w:tc>
      </w:tr>
      <w:tr>
        <w:trPr>
          <w:trHeight w:val="569" w:hRule="exact"/>
        </w:trPr>
        <w:tc>
          <w:tcPr>
            <w:tcW w:w="1102" w:type="dxa"/>
            <w:tcBorders>
              <w:top w:val="single" w:sz="6" w:space="0" w:color="000000"/>
              <w:left w:val="single" w:sz="12" w:space="0" w:color="000000"/>
              <w:bottom w:val="single" w:sz="12" w:space="0" w:color="000000"/>
              <w:right w:val="single" w:sz="6" w:space="0" w:color="000000"/>
            </w:tcBorders>
          </w:tcPr>
          <w:p>
            <w:pPr>
              <w:pStyle w:val="TableParagraph"/>
              <w:spacing w:line="248" w:lineRule="exact"/>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90"/>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2" w:lineRule="exact"/>
              <w:ind w:left="9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19" w:type="dxa"/>
            <w:tcBorders>
              <w:top w:val="single" w:sz="6" w:space="0" w:color="000000"/>
              <w:left w:val="single" w:sz="6" w:space="0" w:color="000000"/>
              <w:bottom w:val="single" w:sz="12"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公司 </w:t>
            </w:r>
            <w:r>
              <w:rPr>
                <w:rFonts w:ascii="Times New Roman" w:hAnsi="Times New Roman" w:cs="Times New Roman" w:eastAsia="Times New Roman" w:hint="default"/>
                <w:sz w:val="21"/>
                <w:szCs w:val="21"/>
              </w:rPr>
              <w:t>302 </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会</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议室</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华夏基金、招商证券等公司、</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其他投资公司</w:t>
            </w:r>
          </w:p>
        </w:tc>
        <w:tc>
          <w:tcPr>
            <w:tcW w:w="2977"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公司近况、行业近况</w:t>
            </w:r>
          </w:p>
        </w:tc>
      </w:tr>
    </w:tbl>
    <w:p>
      <w:pPr>
        <w:pStyle w:val="BodyText"/>
        <w:spacing w:line="274" w:lineRule="exact"/>
        <w:ind w:left="618" w:right="124"/>
        <w:jc w:val="left"/>
      </w:pPr>
      <w:r>
        <w:rPr/>
        <w:t>在上述日常实地接待调研中，公司安排专人负责投资者来访接待工作，积极做</w:t>
      </w:r>
    </w:p>
    <w:p>
      <w:pPr>
        <w:spacing w:after="0" w:line="274" w:lineRule="exact"/>
        <w:jc w:val="left"/>
        <w:sectPr>
          <w:pgSz w:w="11910" w:h="16840"/>
          <w:pgMar w:header="884" w:footer="1173" w:top="1140" w:bottom="1360" w:left="1660" w:right="1280"/>
        </w:sectPr>
      </w:pPr>
    </w:p>
    <w:p>
      <w:pPr>
        <w:spacing w:line="240" w:lineRule="auto" w:before="6"/>
        <w:rPr>
          <w:rFonts w:ascii="宋体" w:hAnsi="宋体" w:cs="宋体" w:eastAsia="宋体" w:hint="default"/>
          <w:sz w:val="16"/>
          <w:szCs w:val="16"/>
        </w:rPr>
      </w:pPr>
    </w:p>
    <w:p>
      <w:pPr>
        <w:pStyle w:val="BodyText"/>
        <w:spacing w:line="357" w:lineRule="auto" w:before="26"/>
        <w:ind w:left="238" w:right="258"/>
        <w:jc w:val="both"/>
      </w:pPr>
      <w:r>
        <w:rPr/>
        <w:t>好投资者关系管理工作档案的建立和保管，合理、妥善地安排个人投资者、机构投</w:t>
      </w:r>
      <w:r>
        <w:rPr>
          <w:spacing w:val="-77"/>
        </w:rPr>
        <w:t> </w:t>
      </w:r>
      <w:r>
        <w:rPr>
          <w:spacing w:val="-77"/>
        </w:rPr>
      </w:r>
      <w:r>
        <w:rPr/>
        <w:t>资者、行业分析师等相关人员到公司进行调研，并切实做好相关信息的保密工作。</w:t>
      </w:r>
      <w:r>
        <w:rPr>
          <w:spacing w:val="-77"/>
        </w:rPr>
        <w:t> </w:t>
      </w:r>
      <w:r>
        <w:rPr>
          <w:spacing w:val="-77"/>
        </w:rPr>
      </w:r>
      <w:r>
        <w:rPr/>
        <w:t>报告期内，公司共接待投资者来访约</w:t>
      </w:r>
      <w:r>
        <w:rPr>
          <w:spacing w:val="-60"/>
        </w:rPr>
        <w:t> </w:t>
      </w:r>
      <w:r>
        <w:rPr>
          <w:rFonts w:ascii="Times New Roman" w:hAnsi="Times New Roman" w:cs="Times New Roman" w:eastAsia="Times New Roman" w:hint="default"/>
        </w:rPr>
        <w:t>200 </w:t>
      </w:r>
      <w:r>
        <w:rPr/>
        <w:t>人次。</w:t>
      </w:r>
    </w:p>
    <w:p>
      <w:pPr>
        <w:spacing w:line="240" w:lineRule="auto" w:before="10"/>
        <w:rPr>
          <w:rFonts w:ascii="宋体" w:hAnsi="宋体" w:cs="宋体" w:eastAsia="宋体" w:hint="default"/>
          <w:sz w:val="19"/>
          <w:szCs w:val="19"/>
        </w:rPr>
      </w:pPr>
    </w:p>
    <w:p>
      <w:pPr>
        <w:pStyle w:val="Heading4"/>
        <w:spacing w:line="240" w:lineRule="auto"/>
        <w:ind w:left="238" w:right="0"/>
        <w:jc w:val="both"/>
        <w:rPr>
          <w:b w:val="0"/>
          <w:bCs w:val="0"/>
        </w:rPr>
      </w:pPr>
      <w:bookmarkStart w:name="_TOC_250029" w:id="59"/>
      <w:r>
        <w:rPr/>
        <w:t>（四）报告期内公司公告索引</w:t>
      </w:r>
      <w:bookmarkEnd w:id="59"/>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1243"/>
        <w:gridCol w:w="1277"/>
        <w:gridCol w:w="4679"/>
        <w:gridCol w:w="1709"/>
      </w:tblGrid>
      <w:tr>
        <w:trPr>
          <w:trHeight w:val="430" w:hRule="exact"/>
        </w:trPr>
        <w:tc>
          <w:tcPr>
            <w:tcW w:w="1243"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189"/>
              <w:jc w:val="right"/>
              <w:rPr>
                <w:rFonts w:ascii="宋体" w:hAnsi="宋体" w:cs="宋体" w:eastAsia="宋体" w:hint="default"/>
                <w:sz w:val="21"/>
                <w:szCs w:val="21"/>
              </w:rPr>
            </w:pPr>
            <w:r>
              <w:rPr>
                <w:rFonts w:ascii="宋体" w:hAnsi="宋体" w:cs="宋体" w:eastAsia="宋体" w:hint="default"/>
                <w:b/>
                <w:bCs/>
                <w:sz w:val="21"/>
                <w:szCs w:val="21"/>
              </w:rPr>
              <w:t>披露日期</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公告编号</w:t>
            </w:r>
            <w:r>
              <w:rPr>
                <w:rFonts w:ascii="宋体" w:hAnsi="宋体" w:cs="宋体" w:eastAsia="宋体" w:hint="default"/>
                <w:sz w:val="21"/>
                <w:szCs w:val="21"/>
              </w:rPr>
            </w:r>
          </w:p>
        </w:tc>
        <w:tc>
          <w:tcPr>
            <w:tcW w:w="4679"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公告内容</w:t>
            </w:r>
            <w:r>
              <w:rPr>
                <w:rFonts w:ascii="宋体" w:hAnsi="宋体" w:cs="宋体" w:eastAsia="宋体" w:hint="default"/>
                <w:sz w:val="21"/>
                <w:szCs w:val="21"/>
              </w:rPr>
            </w:r>
          </w:p>
        </w:tc>
        <w:tc>
          <w:tcPr>
            <w:tcW w:w="1709"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披露媒体</w:t>
            </w:r>
            <w:r>
              <w:rPr>
                <w:rFonts w:ascii="宋体" w:hAnsi="宋体" w:cs="宋体" w:eastAsia="宋体" w:hint="default"/>
                <w:sz w:val="21"/>
                <w:szCs w:val="21"/>
              </w:rPr>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80"/>
              <w:jc w:val="right"/>
              <w:rPr>
                <w:rFonts w:ascii="Times New Roman" w:hAnsi="Times New Roman" w:cs="Times New Roman" w:eastAsia="Times New Roman" w:hint="default"/>
                <w:sz w:val="21"/>
                <w:szCs w:val="21"/>
              </w:rPr>
            </w:pPr>
            <w:r>
              <w:rPr>
                <w:rFonts w:ascii="Times New Roman"/>
                <w:spacing w:val="-2"/>
                <w:sz w:val="21"/>
              </w:rPr>
              <w:t>2011-1-10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Times New Roman" w:hAnsi="Times New Roman" w:cs="Times New Roman" w:eastAsia="Times New Roman" w:hint="default"/>
                <w:sz w:val="21"/>
                <w:szCs w:val="21"/>
              </w:rPr>
            </w:pPr>
            <w:r>
              <w:rPr>
                <w:rFonts w:ascii="Times New Roman"/>
                <w:sz w:val="21"/>
              </w:rPr>
              <w:t>2011-001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联系方式变更</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3"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
              <w:ind w:right="191"/>
              <w:jc w:val="right"/>
              <w:rPr>
                <w:rFonts w:ascii="Times New Roman" w:hAnsi="Times New Roman" w:cs="Times New Roman" w:eastAsia="Times New Roman" w:hint="default"/>
                <w:sz w:val="21"/>
                <w:szCs w:val="21"/>
              </w:rPr>
            </w:pPr>
            <w:r>
              <w:rPr>
                <w:rFonts w:ascii="Times New Roman"/>
                <w:spacing w:val="-4"/>
                <w:sz w:val="21"/>
              </w:rPr>
              <w:t>2011-1-11</w:t>
            </w:r>
            <w:r>
              <w:rPr>
                <w:rFonts w:ascii="Times New Roman"/>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30" w:right="0"/>
              <w:jc w:val="left"/>
              <w:rPr>
                <w:rFonts w:ascii="Times New Roman" w:hAnsi="Times New Roman" w:cs="Times New Roman" w:eastAsia="Times New Roman" w:hint="default"/>
                <w:sz w:val="21"/>
                <w:szCs w:val="21"/>
              </w:rPr>
            </w:pPr>
            <w:r>
              <w:rPr>
                <w:rFonts w:ascii="Times New Roman"/>
                <w:sz w:val="21"/>
              </w:rPr>
              <w:t>2011-002</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以上股东减持股份的提示</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80"/>
              <w:jc w:val="right"/>
              <w:rPr>
                <w:rFonts w:ascii="Times New Roman" w:hAnsi="Times New Roman" w:cs="Times New Roman" w:eastAsia="Times New Roman" w:hint="default"/>
                <w:sz w:val="21"/>
                <w:szCs w:val="21"/>
              </w:rPr>
            </w:pPr>
            <w:r>
              <w:rPr>
                <w:rFonts w:ascii="Times New Roman"/>
                <w:spacing w:val="-2"/>
                <w:sz w:val="21"/>
              </w:rPr>
              <w:t>2011-2-16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Times New Roman" w:hAnsi="Times New Roman" w:cs="Times New Roman" w:eastAsia="Times New Roman" w:hint="default"/>
                <w:sz w:val="21"/>
                <w:szCs w:val="21"/>
              </w:rPr>
            </w:pPr>
            <w:r>
              <w:rPr>
                <w:rFonts w:ascii="Times New Roman"/>
                <w:sz w:val="21"/>
              </w:rPr>
              <w:t>2011-003</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职工监事更换</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2011-2-25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Times New Roman" w:hAnsi="Times New Roman" w:cs="Times New Roman" w:eastAsia="Times New Roman" w:hint="default"/>
                <w:sz w:val="21"/>
                <w:szCs w:val="21"/>
              </w:rPr>
            </w:pPr>
            <w:r>
              <w:rPr>
                <w:rFonts w:ascii="Times New Roman"/>
                <w:sz w:val="21"/>
              </w:rPr>
              <w:t>2011-004</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年业绩快报</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Times New Roman" w:hAnsi="Times New Roman" w:cs="Times New Roman" w:eastAsia="Times New Roman" w:hint="default"/>
                <w:sz w:val="21"/>
                <w:szCs w:val="21"/>
              </w:rPr>
            </w:pPr>
            <w:r>
              <w:rPr>
                <w:rFonts w:ascii="Times New Roman"/>
                <w:sz w:val="21"/>
              </w:rPr>
              <w:t>2011-005</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第一届董事会第十七次会议决议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30" w:right="0"/>
              <w:jc w:val="left"/>
              <w:rPr>
                <w:rFonts w:ascii="Times New Roman" w:hAnsi="Times New Roman" w:cs="Times New Roman" w:eastAsia="Times New Roman" w:hint="default"/>
                <w:sz w:val="21"/>
                <w:szCs w:val="21"/>
              </w:rPr>
            </w:pPr>
            <w:r>
              <w:rPr>
                <w:rFonts w:ascii="Times New Roman"/>
                <w:sz w:val="21"/>
              </w:rPr>
              <w:t>2011-006</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第一届监事会第九次会议决议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Times New Roman" w:hAnsi="Times New Roman" w:cs="Times New Roman" w:eastAsia="Times New Roman" w:hint="default"/>
                <w:sz w:val="21"/>
                <w:szCs w:val="21"/>
              </w:rPr>
            </w:pPr>
            <w:r>
              <w:rPr>
                <w:rFonts w:ascii="Times New Roman"/>
                <w:sz w:val="21"/>
              </w:rPr>
              <w:t>2011-007</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加强上市公司治理专项活动自查报告和整改计划</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before="48"/>
              <w:ind w:left="225" w:right="0"/>
              <w:jc w:val="left"/>
              <w:rPr>
                <w:rFonts w:ascii="Times New Roman" w:hAnsi="Times New Roman" w:cs="Times New Roman" w:eastAsia="Times New Roman" w:hint="default"/>
                <w:sz w:val="21"/>
                <w:szCs w:val="21"/>
              </w:rPr>
            </w:pPr>
            <w:r>
              <w:rPr>
                <w:rFonts w:ascii="Times New Roman"/>
                <w:spacing w:val="-3"/>
                <w:sz w:val="21"/>
              </w:rPr>
              <w:t>2011-3-3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Times New Roman" w:hAnsi="Times New Roman" w:cs="Times New Roman" w:eastAsia="Times New Roman" w:hint="default"/>
                <w:sz w:val="21"/>
                <w:szCs w:val="21"/>
              </w:rPr>
            </w:pPr>
            <w:r>
              <w:rPr>
                <w:rFonts w:ascii="Times New Roman"/>
                <w:sz w:val="21"/>
              </w:rPr>
              <w:t>2011-008</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董事会换届选举并征集候选人</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3"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Times New Roman" w:hAnsi="Times New Roman" w:cs="Times New Roman" w:eastAsia="Times New Roman" w:hint="default"/>
                <w:sz w:val="21"/>
                <w:szCs w:val="21"/>
              </w:rPr>
            </w:pPr>
            <w:r>
              <w:rPr>
                <w:rFonts w:ascii="Times New Roman"/>
                <w:sz w:val="21"/>
              </w:rPr>
              <w:t>2011-009</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监事会换届选举并征集候选人</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8"/>
                <w:szCs w:val="28"/>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2011-4-19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0" w:right="0"/>
              <w:jc w:val="left"/>
              <w:rPr>
                <w:rFonts w:ascii="Times New Roman" w:hAnsi="Times New Roman" w:cs="Times New Roman" w:eastAsia="Times New Roman" w:hint="default"/>
                <w:sz w:val="21"/>
                <w:szCs w:val="21"/>
              </w:rPr>
            </w:pPr>
            <w:r>
              <w:rPr>
                <w:rFonts w:ascii="Times New Roman"/>
                <w:sz w:val="21"/>
              </w:rPr>
              <w:t>2011-010</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第一届董事会第十八次会议决议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35" w:right="0"/>
              <w:jc w:val="left"/>
              <w:rPr>
                <w:rFonts w:ascii="Times New Roman" w:hAnsi="Times New Roman" w:cs="Times New Roman" w:eastAsia="Times New Roman" w:hint="default"/>
                <w:sz w:val="21"/>
                <w:szCs w:val="21"/>
              </w:rPr>
            </w:pPr>
            <w:r>
              <w:rPr>
                <w:rFonts w:ascii="Times New Roman"/>
                <w:spacing w:val="-3"/>
                <w:sz w:val="21"/>
              </w:rPr>
              <w:t>2011-011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第一届第十次董事会会议决议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33"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2011-012</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年年度报告摘要</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巨潮资讯网、证</w:t>
            </w:r>
          </w:p>
          <w:p>
            <w:pPr>
              <w:pStyle w:val="TableParagraph"/>
              <w:spacing w:line="240" w:lineRule="auto"/>
              <w:ind w:left="635" w:right="101" w:hanging="526"/>
              <w:jc w:val="left"/>
              <w:rPr>
                <w:rFonts w:ascii="宋体" w:hAnsi="宋体" w:cs="宋体" w:eastAsia="宋体" w:hint="default"/>
                <w:sz w:val="21"/>
                <w:szCs w:val="21"/>
              </w:rPr>
            </w:pPr>
            <w:r>
              <w:rPr>
                <w:rFonts w:ascii="宋体" w:hAnsi="宋体" w:cs="宋体" w:eastAsia="宋体" w:hint="default"/>
                <w:sz w:val="21"/>
                <w:szCs w:val="21"/>
              </w:rPr>
              <w:t>券时报、中国证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券报</w:t>
            </w:r>
          </w:p>
        </w:tc>
      </w:tr>
      <w:tr>
        <w:trPr>
          <w:trHeight w:val="422"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30" w:right="0"/>
              <w:jc w:val="left"/>
              <w:rPr>
                <w:rFonts w:ascii="Times New Roman" w:hAnsi="Times New Roman" w:cs="Times New Roman" w:eastAsia="Times New Roman" w:hint="default"/>
                <w:sz w:val="21"/>
                <w:szCs w:val="21"/>
              </w:rPr>
            </w:pPr>
            <w:r>
              <w:rPr>
                <w:rFonts w:ascii="Times New Roman"/>
                <w:sz w:val="21"/>
              </w:rPr>
              <w:t>2011-013</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内部控制自我评价</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30" w:right="0"/>
              <w:jc w:val="left"/>
              <w:rPr>
                <w:rFonts w:ascii="Times New Roman" w:hAnsi="Times New Roman" w:cs="Times New Roman" w:eastAsia="Times New Roman" w:hint="default"/>
                <w:sz w:val="21"/>
                <w:szCs w:val="21"/>
              </w:rPr>
            </w:pPr>
            <w:r>
              <w:rPr>
                <w:rFonts w:ascii="Times New Roman"/>
                <w:sz w:val="21"/>
              </w:rPr>
              <w:t>2011-014</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章程修正案</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30" w:right="0"/>
              <w:jc w:val="left"/>
              <w:rPr>
                <w:rFonts w:ascii="Times New Roman" w:hAnsi="Times New Roman" w:cs="Times New Roman" w:eastAsia="Times New Roman" w:hint="default"/>
                <w:sz w:val="21"/>
                <w:szCs w:val="21"/>
              </w:rPr>
            </w:pPr>
            <w:r>
              <w:rPr>
                <w:rFonts w:ascii="Times New Roman"/>
                <w:sz w:val="21"/>
              </w:rPr>
              <w:t>2011-015</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会计估计变更</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left="230" w:right="0"/>
              <w:jc w:val="left"/>
              <w:rPr>
                <w:rFonts w:ascii="Times New Roman" w:hAnsi="Times New Roman" w:cs="Times New Roman" w:eastAsia="Times New Roman" w:hint="default"/>
                <w:sz w:val="21"/>
                <w:szCs w:val="21"/>
              </w:rPr>
            </w:pPr>
            <w:r>
              <w:rPr>
                <w:rFonts w:ascii="Times New Roman"/>
                <w:sz w:val="21"/>
              </w:rPr>
              <w:t>2011-016</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购置资产</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30" w:right="0"/>
              <w:jc w:val="left"/>
              <w:rPr>
                <w:rFonts w:ascii="Times New Roman" w:hAnsi="Times New Roman" w:cs="Times New Roman" w:eastAsia="Times New Roman" w:hint="default"/>
                <w:sz w:val="21"/>
                <w:szCs w:val="21"/>
              </w:rPr>
            </w:pPr>
            <w:r>
              <w:rPr>
                <w:rFonts w:ascii="Times New Roman"/>
                <w:sz w:val="21"/>
              </w:rPr>
              <w:t>2011-017</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超募资金使用计划</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33"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2011-018</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2"/>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年度股东大会通知</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ind w:left="110" w:right="101"/>
              <w:jc w:val="center"/>
              <w:rPr>
                <w:rFonts w:ascii="宋体" w:hAnsi="宋体" w:cs="宋体" w:eastAsia="宋体" w:hint="default"/>
                <w:sz w:val="21"/>
                <w:szCs w:val="21"/>
              </w:rPr>
            </w:pPr>
            <w:r>
              <w:rPr>
                <w:rFonts w:ascii="宋体" w:hAnsi="宋体" w:cs="宋体" w:eastAsia="宋体" w:hint="default"/>
                <w:sz w:val="21"/>
                <w:szCs w:val="21"/>
              </w:rPr>
              <w:t>证券时报、中国</w:t>
            </w:r>
            <w:r>
              <w:rPr>
                <w:rFonts w:ascii="宋体" w:hAnsi="宋体" w:cs="宋体" w:eastAsia="宋体" w:hint="default"/>
                <w:w w:val="100"/>
                <w:sz w:val="21"/>
                <w:szCs w:val="21"/>
              </w:rPr>
              <w:t> </w:t>
            </w:r>
            <w:r>
              <w:rPr>
                <w:rFonts w:ascii="宋体" w:hAnsi="宋体" w:cs="宋体" w:eastAsia="宋体" w:hint="default"/>
                <w:sz w:val="21"/>
                <w:szCs w:val="21"/>
              </w:rPr>
              <w:t>证券报</w:t>
            </w:r>
          </w:p>
        </w:tc>
      </w:tr>
      <w:tr>
        <w:trPr>
          <w:trHeight w:val="833"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180"/>
              <w:jc w:val="right"/>
              <w:rPr>
                <w:rFonts w:ascii="Times New Roman" w:hAnsi="Times New Roman" w:cs="Times New Roman" w:eastAsia="Times New Roman" w:hint="default"/>
                <w:sz w:val="21"/>
                <w:szCs w:val="21"/>
              </w:rPr>
            </w:pPr>
            <w:r>
              <w:rPr>
                <w:rFonts w:ascii="Times New Roman"/>
                <w:spacing w:val="-2"/>
                <w:sz w:val="21"/>
              </w:rPr>
              <w:t>2011-4-25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2011-019</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年第一季度报告正文</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2" w:lineRule="exact" w:before="27"/>
              <w:ind w:left="110" w:right="101"/>
              <w:jc w:val="center"/>
              <w:rPr>
                <w:rFonts w:ascii="宋体" w:hAnsi="宋体" w:cs="宋体" w:eastAsia="宋体" w:hint="default"/>
                <w:sz w:val="21"/>
                <w:szCs w:val="21"/>
              </w:rPr>
            </w:pPr>
            <w:r>
              <w:rPr>
                <w:rFonts w:ascii="宋体" w:hAnsi="宋体" w:cs="宋体" w:eastAsia="宋体" w:hint="default"/>
                <w:sz w:val="21"/>
                <w:szCs w:val="21"/>
              </w:rPr>
              <w:t>证券时报、中国</w:t>
            </w:r>
            <w:r>
              <w:rPr>
                <w:rFonts w:ascii="宋体" w:hAnsi="宋体" w:cs="宋体" w:eastAsia="宋体" w:hint="default"/>
                <w:w w:val="100"/>
                <w:sz w:val="21"/>
                <w:szCs w:val="21"/>
              </w:rPr>
              <w:t> </w:t>
            </w:r>
            <w:r>
              <w:rPr>
                <w:rFonts w:ascii="宋体" w:hAnsi="宋体" w:cs="宋体" w:eastAsia="宋体" w:hint="default"/>
                <w:sz w:val="21"/>
                <w:szCs w:val="21"/>
              </w:rPr>
              <w:t>证券报</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80"/>
              <w:jc w:val="right"/>
              <w:rPr>
                <w:rFonts w:ascii="Times New Roman" w:hAnsi="Times New Roman" w:cs="Times New Roman" w:eastAsia="Times New Roman" w:hint="default"/>
                <w:sz w:val="21"/>
                <w:szCs w:val="21"/>
              </w:rPr>
            </w:pPr>
            <w:r>
              <w:rPr>
                <w:rFonts w:ascii="Times New Roman"/>
                <w:spacing w:val="-2"/>
                <w:sz w:val="21"/>
              </w:rPr>
              <w:t>2011-4-26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30" w:right="0"/>
              <w:jc w:val="left"/>
              <w:rPr>
                <w:rFonts w:ascii="Times New Roman" w:hAnsi="Times New Roman" w:cs="Times New Roman" w:eastAsia="Times New Roman" w:hint="default"/>
                <w:sz w:val="21"/>
                <w:szCs w:val="21"/>
              </w:rPr>
            </w:pPr>
            <w:r>
              <w:rPr>
                <w:rFonts w:ascii="Times New Roman"/>
                <w:sz w:val="21"/>
              </w:rPr>
              <w:t>2011-020</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投资者接待日按排</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233"/>
              <w:jc w:val="right"/>
              <w:rPr>
                <w:rFonts w:ascii="Times New Roman" w:hAnsi="Times New Roman" w:cs="Times New Roman" w:eastAsia="Times New Roman" w:hint="default"/>
                <w:sz w:val="21"/>
                <w:szCs w:val="21"/>
              </w:rPr>
            </w:pPr>
            <w:r>
              <w:rPr>
                <w:rFonts w:ascii="Times New Roman"/>
                <w:spacing w:val="-2"/>
                <w:sz w:val="21"/>
              </w:rPr>
              <w:t>2011-5-4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230" w:right="0"/>
              <w:jc w:val="left"/>
              <w:rPr>
                <w:rFonts w:ascii="Times New Roman" w:hAnsi="Times New Roman" w:cs="Times New Roman" w:eastAsia="Times New Roman" w:hint="default"/>
                <w:sz w:val="21"/>
                <w:szCs w:val="21"/>
              </w:rPr>
            </w:pPr>
            <w:r>
              <w:rPr>
                <w:rFonts w:ascii="Times New Roman"/>
                <w:sz w:val="21"/>
              </w:rPr>
              <w:t>2011-021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宋体" w:hAnsi="宋体" w:cs="宋体" w:eastAsia="宋体" w:hint="default"/>
                <w:sz w:val="21"/>
                <w:szCs w:val="21"/>
              </w:rPr>
              <w:t>举行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年年度报告网上说明会的公告</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2" w:hRule="exact"/>
        </w:trPr>
        <w:tc>
          <w:tcPr>
            <w:tcW w:w="12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8"/>
              <w:ind w:right="180"/>
              <w:jc w:val="right"/>
              <w:rPr>
                <w:rFonts w:ascii="Times New Roman" w:hAnsi="Times New Roman" w:cs="Times New Roman" w:eastAsia="Times New Roman" w:hint="default"/>
                <w:sz w:val="21"/>
                <w:szCs w:val="21"/>
              </w:rPr>
            </w:pPr>
            <w:r>
              <w:rPr>
                <w:rFonts w:ascii="Times New Roman"/>
                <w:spacing w:val="-2"/>
                <w:sz w:val="21"/>
              </w:rPr>
              <w:t>2011-5-19</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8"/>
              <w:ind w:left="230" w:right="0"/>
              <w:jc w:val="left"/>
              <w:rPr>
                <w:rFonts w:ascii="Times New Roman" w:hAnsi="Times New Roman" w:cs="Times New Roman" w:eastAsia="Times New Roman" w:hint="default"/>
                <w:sz w:val="21"/>
                <w:szCs w:val="21"/>
              </w:rPr>
            </w:pPr>
            <w:r>
              <w:rPr>
                <w:rFonts w:ascii="Times New Roman"/>
                <w:sz w:val="21"/>
              </w:rPr>
              <w:t>2011-022</w:t>
            </w:r>
          </w:p>
        </w:tc>
        <w:tc>
          <w:tcPr>
            <w:tcW w:w="4679" w:type="dxa"/>
            <w:tcBorders>
              <w:top w:val="single" w:sz="6" w:space="0" w:color="000000"/>
              <w:left w:val="single" w:sz="6" w:space="0" w:color="000000"/>
              <w:bottom w:val="single" w:sz="12"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年度股东大会公告</w:t>
            </w:r>
          </w:p>
        </w:tc>
        <w:tc>
          <w:tcPr>
            <w:tcW w:w="17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0" w:lineRule="auto"/>
        <w:jc w:val="center"/>
        <w:rPr>
          <w:rFonts w:ascii="宋体" w:hAnsi="宋体" w:cs="宋体" w:eastAsia="宋体" w:hint="default"/>
          <w:sz w:val="21"/>
          <w:szCs w:val="21"/>
        </w:rPr>
        <w:sectPr>
          <w:pgSz w:w="11910" w:h="16840"/>
          <w:pgMar w:header="884" w:footer="1173" w:top="1140" w:bottom="1360" w:left="1560" w:right="1160"/>
        </w:sectPr>
      </w:pPr>
    </w:p>
    <w:p>
      <w:pPr>
        <w:spacing w:line="240" w:lineRule="auto" w:before="5"/>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243"/>
        <w:gridCol w:w="1277"/>
        <w:gridCol w:w="4679"/>
        <w:gridCol w:w="1709"/>
      </w:tblGrid>
      <w:tr>
        <w:trPr>
          <w:trHeight w:val="432" w:hRule="exact"/>
        </w:trPr>
        <w:tc>
          <w:tcPr>
            <w:tcW w:w="1243"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2011-5-24</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8"/>
              <w:ind w:right="2"/>
              <w:jc w:val="center"/>
              <w:rPr>
                <w:rFonts w:ascii="Times New Roman" w:hAnsi="Times New Roman" w:cs="Times New Roman" w:eastAsia="Times New Roman" w:hint="default"/>
                <w:sz w:val="21"/>
                <w:szCs w:val="21"/>
              </w:rPr>
            </w:pPr>
            <w:r>
              <w:rPr>
                <w:rFonts w:ascii="Times New Roman"/>
                <w:sz w:val="21"/>
              </w:rPr>
              <w:t>2011-023</w:t>
            </w:r>
          </w:p>
        </w:tc>
        <w:tc>
          <w:tcPr>
            <w:tcW w:w="4679" w:type="dxa"/>
            <w:tcBorders>
              <w:top w:val="single" w:sz="12"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第一届董事会第二十次会议决议</w:t>
            </w:r>
          </w:p>
        </w:tc>
        <w:tc>
          <w:tcPr>
            <w:tcW w:w="17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6"/>
              <w:ind w:right="309"/>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422"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2011-024</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第一届监事会第十二次会议决议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309"/>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425"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2011-025</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选举职工监事</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309"/>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830"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2011-026</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年第一次临时股东大会的通知</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7"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ind w:left="110" w:right="101"/>
              <w:jc w:val="center"/>
              <w:rPr>
                <w:rFonts w:ascii="宋体" w:hAnsi="宋体" w:cs="宋体" w:eastAsia="宋体" w:hint="default"/>
                <w:sz w:val="21"/>
                <w:szCs w:val="21"/>
              </w:rPr>
            </w:pPr>
            <w:r>
              <w:rPr>
                <w:rFonts w:ascii="宋体" w:hAnsi="宋体" w:cs="宋体" w:eastAsia="宋体" w:hint="default"/>
                <w:sz w:val="21"/>
                <w:szCs w:val="21"/>
              </w:rPr>
              <w:t>证券时报、中国</w:t>
            </w:r>
            <w:r>
              <w:rPr>
                <w:rFonts w:ascii="宋体" w:hAnsi="宋体" w:cs="宋体" w:eastAsia="宋体" w:hint="default"/>
                <w:w w:val="100"/>
                <w:sz w:val="21"/>
                <w:szCs w:val="21"/>
              </w:rPr>
              <w:t> </w:t>
            </w:r>
            <w:r>
              <w:rPr>
                <w:rFonts w:ascii="宋体" w:hAnsi="宋体" w:cs="宋体" w:eastAsia="宋体" w:hint="default"/>
                <w:sz w:val="21"/>
                <w:szCs w:val="21"/>
              </w:rPr>
              <w:t>证券报</w:t>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233"/>
              <w:jc w:val="right"/>
              <w:rPr>
                <w:rFonts w:ascii="Times New Roman" w:hAnsi="Times New Roman" w:cs="Times New Roman" w:eastAsia="Times New Roman" w:hint="default"/>
                <w:sz w:val="21"/>
                <w:szCs w:val="21"/>
              </w:rPr>
            </w:pPr>
            <w:r>
              <w:rPr>
                <w:rFonts w:ascii="Times New Roman"/>
                <w:spacing w:val="-2"/>
                <w:sz w:val="21"/>
              </w:rPr>
              <w:t>2011-6-9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2011-027</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年第一次临时股东大会公告</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309"/>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180"/>
              <w:jc w:val="right"/>
              <w:rPr>
                <w:rFonts w:ascii="Times New Roman" w:hAnsi="Times New Roman" w:cs="Times New Roman" w:eastAsia="Times New Roman" w:hint="default"/>
                <w:sz w:val="21"/>
                <w:szCs w:val="21"/>
              </w:rPr>
            </w:pPr>
            <w:r>
              <w:rPr>
                <w:rFonts w:ascii="Times New Roman"/>
                <w:spacing w:val="-2"/>
                <w:sz w:val="21"/>
              </w:rPr>
              <w:t>2011-6-10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2011-028</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年年度权益分配实施的公告</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311"/>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425"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2011-6-13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2011-029</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第二届董事会第一次会议决议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309"/>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423"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8"/>
              <w:ind w:right="2"/>
              <w:jc w:val="center"/>
              <w:rPr>
                <w:rFonts w:ascii="Times New Roman" w:hAnsi="Times New Roman" w:cs="Times New Roman" w:eastAsia="Times New Roman" w:hint="default"/>
                <w:sz w:val="21"/>
                <w:szCs w:val="21"/>
              </w:rPr>
            </w:pPr>
            <w:r>
              <w:rPr>
                <w:rFonts w:ascii="Times New Roman"/>
                <w:sz w:val="21"/>
              </w:rPr>
              <w:t>2011-030</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对股票期权激励计划进行调整</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309"/>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425"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2011-031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股票期权激励计划授予相关事项</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309"/>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422"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2011-032</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第二届监事会第一次会议决议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3"/>
              <w:ind w:right="309"/>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7"/>
              <w:ind w:right="233"/>
              <w:jc w:val="right"/>
              <w:rPr>
                <w:rFonts w:ascii="Times New Roman" w:hAnsi="Times New Roman" w:cs="Times New Roman" w:eastAsia="Times New Roman" w:hint="default"/>
                <w:sz w:val="21"/>
                <w:szCs w:val="21"/>
              </w:rPr>
            </w:pPr>
            <w:r>
              <w:rPr>
                <w:rFonts w:ascii="Times New Roman"/>
                <w:spacing w:val="-2"/>
                <w:sz w:val="21"/>
              </w:rPr>
              <w:t>2011-7-6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2011-033</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完成工商变更登记</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5"/>
              <w:ind w:right="309"/>
              <w:jc w:val="right"/>
              <w:rPr>
                <w:rFonts w:ascii="宋体" w:hAnsi="宋体" w:cs="宋体" w:eastAsia="宋体" w:hint="default"/>
                <w:sz w:val="21"/>
                <w:szCs w:val="21"/>
              </w:rPr>
            </w:pPr>
            <w:r>
              <w:rPr>
                <w:rFonts w:ascii="宋体" w:hAnsi="宋体" w:cs="宋体" w:eastAsia="宋体" w:hint="default"/>
                <w:spacing w:val="-1"/>
                <w:sz w:val="21"/>
                <w:szCs w:val="21"/>
              </w:rPr>
              <w:t>巨潮资讯网</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233"/>
              <w:jc w:val="right"/>
              <w:rPr>
                <w:rFonts w:ascii="Times New Roman" w:hAnsi="Times New Roman" w:cs="Times New Roman" w:eastAsia="Times New Roman" w:hint="default"/>
                <w:sz w:val="21"/>
                <w:szCs w:val="21"/>
              </w:rPr>
            </w:pPr>
            <w:r>
              <w:rPr>
                <w:rFonts w:ascii="Times New Roman"/>
                <w:spacing w:val="-3"/>
                <w:sz w:val="21"/>
              </w:rPr>
              <w:t>2011-7-8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2011-034</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股票期权激励计划首次授予的期权登记完成</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33"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33"/>
              <w:jc w:val="right"/>
              <w:rPr>
                <w:rFonts w:ascii="Times New Roman" w:hAnsi="Times New Roman" w:cs="Times New Roman" w:eastAsia="Times New Roman" w:hint="default"/>
                <w:sz w:val="21"/>
                <w:szCs w:val="21"/>
              </w:rPr>
            </w:pPr>
            <w:r>
              <w:rPr>
                <w:rFonts w:ascii="Times New Roman"/>
                <w:spacing w:val="-3"/>
                <w:sz w:val="21"/>
              </w:rPr>
              <w:t>2011-8-2</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2011-035</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年半年度报告搞要</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2" w:lineRule="exact" w:before="27"/>
              <w:ind w:left="100" w:right="88"/>
              <w:jc w:val="left"/>
              <w:rPr>
                <w:rFonts w:ascii="宋体" w:hAnsi="宋体" w:cs="宋体" w:eastAsia="宋体" w:hint="default"/>
                <w:sz w:val="21"/>
                <w:szCs w:val="21"/>
              </w:rPr>
            </w:pPr>
            <w:r>
              <w:rPr>
                <w:rFonts w:ascii="宋体" w:hAnsi="宋体" w:cs="宋体" w:eastAsia="宋体" w:hint="default"/>
                <w:sz w:val="21"/>
                <w:szCs w:val="21"/>
              </w:rPr>
              <w:t>证券时报、中国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证券报</w:t>
            </w:r>
          </w:p>
        </w:tc>
      </w:tr>
      <w:tr>
        <w:trPr>
          <w:trHeight w:val="423"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233"/>
              <w:jc w:val="right"/>
              <w:rPr>
                <w:rFonts w:ascii="Times New Roman" w:hAnsi="Times New Roman" w:cs="Times New Roman" w:eastAsia="Times New Roman" w:hint="default"/>
                <w:sz w:val="21"/>
                <w:szCs w:val="21"/>
              </w:rPr>
            </w:pPr>
            <w:r>
              <w:rPr>
                <w:rFonts w:ascii="Times New Roman"/>
                <w:spacing w:val="-3"/>
                <w:sz w:val="21"/>
              </w:rPr>
              <w:t>2011-8-9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2011-036</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8"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以上股东减持提示性公告</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172" w:right="0"/>
              <w:jc w:val="left"/>
              <w:rPr>
                <w:rFonts w:ascii="Times New Roman" w:hAnsi="Times New Roman" w:cs="Times New Roman" w:eastAsia="Times New Roman" w:hint="default"/>
                <w:sz w:val="21"/>
                <w:szCs w:val="21"/>
              </w:rPr>
            </w:pPr>
            <w:r>
              <w:rPr>
                <w:rFonts w:ascii="Times New Roman"/>
                <w:sz w:val="21"/>
              </w:rPr>
              <w:t>2011-9-27</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2011-037</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第二届董事会第三次会议决议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vMerge/>
            <w:tcBorders>
              <w:left w:val="single" w:sz="12"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2011-038</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第二届监事会第三次会议决议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5" w:hRule="exact"/>
        </w:trPr>
        <w:tc>
          <w:tcPr>
            <w:tcW w:w="1243" w:type="dxa"/>
            <w:vMerge/>
            <w:tcBorders>
              <w:left w:val="single" w:sz="12"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2011-039</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超募资金使用计划</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830"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27"/>
              <w:jc w:val="right"/>
              <w:rPr>
                <w:rFonts w:ascii="Times New Roman" w:hAnsi="Times New Roman" w:cs="Times New Roman" w:eastAsia="Times New Roman" w:hint="default"/>
                <w:sz w:val="21"/>
                <w:szCs w:val="21"/>
              </w:rPr>
            </w:pPr>
            <w:r>
              <w:rPr>
                <w:rFonts w:ascii="Times New Roman"/>
                <w:spacing w:val="-2"/>
                <w:sz w:val="21"/>
              </w:rPr>
              <w:t>2011-10-24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2011-040</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0"/>
              <w:ind w:left="9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年第三季度报告正文</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ind w:left="100" w:right="88"/>
              <w:jc w:val="left"/>
              <w:rPr>
                <w:rFonts w:ascii="宋体" w:hAnsi="宋体" w:cs="宋体" w:eastAsia="宋体" w:hint="default"/>
                <w:sz w:val="21"/>
                <w:szCs w:val="21"/>
              </w:rPr>
            </w:pPr>
            <w:r>
              <w:rPr>
                <w:rFonts w:ascii="宋体" w:hAnsi="宋体" w:cs="宋体" w:eastAsia="宋体" w:hint="default"/>
                <w:sz w:val="21"/>
                <w:szCs w:val="21"/>
              </w:rPr>
              <w:t>证券时报、中国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证券报</w:t>
            </w:r>
          </w:p>
        </w:tc>
      </w:tr>
      <w:tr>
        <w:trPr>
          <w:trHeight w:val="425"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182"/>
              <w:jc w:val="right"/>
              <w:rPr>
                <w:rFonts w:ascii="Times New Roman" w:hAnsi="Times New Roman" w:cs="Times New Roman" w:eastAsia="Times New Roman" w:hint="default"/>
                <w:sz w:val="21"/>
                <w:szCs w:val="21"/>
              </w:rPr>
            </w:pPr>
            <w:r>
              <w:rPr>
                <w:rFonts w:ascii="Times New Roman"/>
                <w:spacing w:val="-3"/>
                <w:sz w:val="21"/>
              </w:rPr>
              <w:t>2011-11-1</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2011-041</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超募资金投资项目实施进展暨资产购置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2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7"/>
              <w:ind w:right="127"/>
              <w:jc w:val="right"/>
              <w:rPr>
                <w:rFonts w:ascii="Times New Roman" w:hAnsi="Times New Roman" w:cs="Times New Roman" w:eastAsia="Times New Roman" w:hint="default"/>
                <w:sz w:val="21"/>
                <w:szCs w:val="21"/>
              </w:rPr>
            </w:pPr>
            <w:r>
              <w:rPr>
                <w:rFonts w:ascii="Times New Roman"/>
                <w:spacing w:val="-2"/>
                <w:sz w:val="21"/>
              </w:rPr>
              <w:t>2011-12-29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2011-042</w:t>
            </w:r>
          </w:p>
        </w:tc>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第二届董事会第五次会议决议</w:t>
            </w:r>
          </w:p>
        </w:tc>
        <w:tc>
          <w:tcPr>
            <w:tcW w:w="1709"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433" w:hRule="exact"/>
        </w:trPr>
        <w:tc>
          <w:tcPr>
            <w:tcW w:w="12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7"/>
              <w:ind w:right="127"/>
              <w:jc w:val="right"/>
              <w:rPr>
                <w:rFonts w:ascii="Times New Roman" w:hAnsi="Times New Roman" w:cs="Times New Roman" w:eastAsia="Times New Roman" w:hint="default"/>
                <w:sz w:val="21"/>
                <w:szCs w:val="21"/>
              </w:rPr>
            </w:pPr>
            <w:r>
              <w:rPr>
                <w:rFonts w:ascii="Times New Roman"/>
                <w:spacing w:val="-2"/>
                <w:sz w:val="21"/>
              </w:rPr>
              <w:t>2011-12-30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2011-043</w:t>
            </w:r>
          </w:p>
        </w:tc>
        <w:tc>
          <w:tcPr>
            <w:tcW w:w="4679"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资产购置进展</w:t>
            </w:r>
          </w:p>
        </w:tc>
        <w:tc>
          <w:tcPr>
            <w:tcW w:w="1709"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after="0" w:line="241" w:lineRule="exact"/>
        <w:jc w:val="left"/>
        <w:rPr>
          <w:rFonts w:ascii="宋体" w:hAnsi="宋体" w:cs="宋体" w:eastAsia="宋体" w:hint="default"/>
          <w:sz w:val="21"/>
          <w:szCs w:val="21"/>
        </w:rPr>
        <w:sectPr>
          <w:pgSz w:w="11910" w:h="16840"/>
          <w:pgMar w:header="884" w:footer="1173" w:top="1140" w:bottom="1360" w:left="1560" w:right="11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p>
      <w:pPr>
        <w:pStyle w:val="Heading1"/>
        <w:tabs>
          <w:tab w:pos="4332" w:val="left" w:leader="none"/>
        </w:tabs>
        <w:spacing w:line="460" w:lineRule="exact"/>
        <w:ind w:left="2866" w:right="0"/>
        <w:jc w:val="left"/>
        <w:rPr>
          <w:b w:val="0"/>
          <w:bCs w:val="0"/>
        </w:rPr>
      </w:pPr>
      <w:bookmarkStart w:name="_TOC_250028" w:id="60"/>
      <w:r>
        <w:rPr>
          <w:spacing w:val="3"/>
          <w:w w:val="95"/>
        </w:rPr>
        <w:t>第六节</w:t>
        <w:tab/>
      </w:r>
      <w:r>
        <w:rPr>
          <w:spacing w:val="4"/>
        </w:rPr>
        <w:t>股本变动及股本情况</w:t>
      </w:r>
      <w:bookmarkEnd w:id="60"/>
      <w:r>
        <w:rPr>
          <w:b w:val="0"/>
          <w:bCs w:val="0"/>
          <w:spacing w:val="4"/>
        </w:rPr>
      </w:r>
    </w:p>
    <w:p>
      <w:pPr>
        <w:spacing w:line="240" w:lineRule="auto" w:before="8"/>
        <w:rPr>
          <w:rFonts w:ascii="宋体" w:hAnsi="宋体" w:cs="宋体" w:eastAsia="宋体" w:hint="default"/>
          <w:b/>
          <w:bCs/>
          <w:sz w:val="43"/>
          <w:szCs w:val="43"/>
        </w:rPr>
      </w:pPr>
    </w:p>
    <w:p>
      <w:pPr>
        <w:pStyle w:val="Heading3"/>
        <w:spacing w:line="240" w:lineRule="auto"/>
        <w:ind w:left="898" w:right="0"/>
        <w:jc w:val="left"/>
        <w:rPr>
          <w:b w:val="0"/>
          <w:bCs w:val="0"/>
        </w:rPr>
      </w:pPr>
      <w:bookmarkStart w:name="_TOC_250027" w:id="61"/>
      <w:r>
        <w:rPr/>
        <w:t>一、股份情况变动情况</w:t>
      </w:r>
      <w:bookmarkEnd w:id="61"/>
      <w:r>
        <w:rPr>
          <w:b w:val="0"/>
          <w:bCs w:val="0"/>
        </w:rPr>
      </w:r>
    </w:p>
    <w:p>
      <w:pPr>
        <w:spacing w:line="240" w:lineRule="auto" w:before="10"/>
        <w:rPr>
          <w:rFonts w:ascii="宋体" w:hAnsi="宋体" w:cs="宋体" w:eastAsia="宋体" w:hint="default"/>
          <w:b/>
          <w:bCs/>
          <w:sz w:val="43"/>
          <w:szCs w:val="43"/>
        </w:rPr>
      </w:pPr>
    </w:p>
    <w:p>
      <w:pPr>
        <w:pStyle w:val="Heading5"/>
        <w:spacing w:line="240" w:lineRule="auto"/>
        <w:ind w:left="898" w:right="0"/>
        <w:jc w:val="left"/>
        <w:rPr>
          <w:b w:val="0"/>
          <w:bCs w:val="0"/>
        </w:rPr>
      </w:pPr>
      <w:r>
        <w:rPr/>
        <w:t>（一）截至</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60"/>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日公司股份变动情况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0"/>
        <w:ind w:left="0" w:right="966" w:firstLine="0"/>
        <w:jc w:val="right"/>
        <w:rPr>
          <w:rFonts w:ascii="宋体" w:hAnsi="宋体" w:cs="宋体" w:eastAsia="宋体" w:hint="default"/>
          <w:sz w:val="21"/>
          <w:szCs w:val="21"/>
        </w:rPr>
      </w:pPr>
      <w:r>
        <w:rPr>
          <w:rFonts w:ascii="宋体" w:hAnsi="宋体" w:cs="宋体" w:eastAsia="宋体" w:hint="default"/>
          <w:b/>
          <w:bCs/>
          <w:sz w:val="21"/>
          <w:szCs w:val="21"/>
        </w:rPr>
        <w:t>单位：股</w:t>
      </w:r>
      <w:r>
        <w:rPr>
          <w:rFonts w:ascii="宋体" w:hAnsi="宋体" w:cs="宋体" w:eastAsia="宋体" w:hint="default"/>
          <w:sz w:val="21"/>
          <w:szCs w:val="21"/>
        </w:rPr>
      </w:r>
    </w:p>
    <w:p>
      <w:pPr>
        <w:spacing w:line="240" w:lineRule="auto" w:before="11"/>
        <w:rPr>
          <w:rFonts w:ascii="宋体" w:hAnsi="宋体" w:cs="宋体" w:eastAsia="宋体" w:hint="default"/>
          <w:b/>
          <w:bCs/>
          <w:sz w:val="12"/>
          <w:szCs w:val="12"/>
        </w:rPr>
      </w:pPr>
    </w:p>
    <w:tbl>
      <w:tblPr>
        <w:tblW w:w="0" w:type="auto"/>
        <w:jc w:val="left"/>
        <w:tblInd w:w="105" w:type="dxa"/>
        <w:tblLayout w:type="fixed"/>
        <w:tblCellMar>
          <w:top w:w="0" w:type="dxa"/>
          <w:left w:w="0" w:type="dxa"/>
          <w:bottom w:w="0" w:type="dxa"/>
          <w:right w:w="0" w:type="dxa"/>
        </w:tblCellMar>
        <w:tblLook w:val="01E0"/>
      </w:tblPr>
      <w:tblGrid>
        <w:gridCol w:w="1640"/>
        <w:gridCol w:w="1123"/>
        <w:gridCol w:w="850"/>
        <w:gridCol w:w="756"/>
        <w:gridCol w:w="662"/>
        <w:gridCol w:w="1160"/>
        <w:gridCol w:w="684"/>
        <w:gridCol w:w="1136"/>
        <w:gridCol w:w="1133"/>
        <w:gridCol w:w="850"/>
      </w:tblGrid>
      <w:tr>
        <w:trPr>
          <w:trHeight w:val="295" w:hRule="exact"/>
        </w:trPr>
        <w:tc>
          <w:tcPr>
            <w:tcW w:w="1640" w:type="dxa"/>
            <w:vMerge w:val="restart"/>
            <w:tcBorders>
              <w:top w:val="single" w:sz="12" w:space="0" w:color="000000"/>
              <w:left w:val="single" w:sz="12" w:space="0" w:color="000000"/>
              <w:right w:val="single" w:sz="6" w:space="0" w:color="000000"/>
            </w:tcBorders>
          </w:tcPr>
          <w:p>
            <w:pPr/>
          </w:p>
        </w:tc>
        <w:tc>
          <w:tcPr>
            <w:tcW w:w="197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51" w:right="0"/>
              <w:jc w:val="left"/>
              <w:rPr>
                <w:rFonts w:ascii="宋体" w:hAnsi="宋体" w:cs="宋体" w:eastAsia="宋体" w:hint="default"/>
                <w:sz w:val="21"/>
                <w:szCs w:val="21"/>
              </w:rPr>
            </w:pPr>
            <w:r>
              <w:rPr>
                <w:rFonts w:ascii="宋体" w:hAnsi="宋体" w:cs="宋体" w:eastAsia="宋体" w:hint="default"/>
                <w:b/>
                <w:bCs/>
                <w:sz w:val="21"/>
                <w:szCs w:val="21"/>
              </w:rPr>
              <w:t>本次变动前</w:t>
            </w:r>
            <w:r>
              <w:rPr>
                <w:rFonts w:ascii="宋体" w:hAnsi="宋体" w:cs="宋体" w:eastAsia="宋体" w:hint="default"/>
                <w:sz w:val="21"/>
                <w:szCs w:val="21"/>
              </w:rPr>
            </w:r>
          </w:p>
        </w:tc>
        <w:tc>
          <w:tcPr>
            <w:tcW w:w="4398" w:type="dxa"/>
            <w:gridSpan w:val="5"/>
            <w:tcBorders>
              <w:top w:val="single" w:sz="12" w:space="0" w:color="000000"/>
              <w:left w:val="single" w:sz="6" w:space="0" w:color="000000"/>
              <w:bottom w:val="single" w:sz="6" w:space="0" w:color="000000"/>
              <w:right w:val="single" w:sz="6" w:space="0" w:color="000000"/>
            </w:tcBorders>
          </w:tcPr>
          <w:p>
            <w:pPr>
              <w:pStyle w:val="TableParagraph"/>
              <w:spacing w:line="257" w:lineRule="exact"/>
              <w:ind w:left="1147"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982"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b/>
                <w:bCs/>
                <w:sz w:val="21"/>
                <w:szCs w:val="21"/>
              </w:rPr>
              <w:t>本次变动后</w:t>
            </w:r>
            <w:r>
              <w:rPr>
                <w:rFonts w:ascii="宋体" w:hAnsi="宋体" w:cs="宋体" w:eastAsia="宋体" w:hint="default"/>
                <w:sz w:val="21"/>
                <w:szCs w:val="21"/>
              </w:rPr>
            </w:r>
          </w:p>
        </w:tc>
      </w:tr>
      <w:tr>
        <w:trPr>
          <w:trHeight w:val="559" w:hRule="exact"/>
        </w:trPr>
        <w:tc>
          <w:tcPr>
            <w:tcW w:w="1640" w:type="dxa"/>
            <w:vMerge/>
            <w:tcBorders>
              <w:left w:val="single" w:sz="12"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发行新</w:t>
            </w:r>
            <w:r>
              <w:rPr>
                <w:rFonts w:ascii="宋体" w:hAnsi="宋体" w:cs="宋体" w:eastAsia="宋体" w:hint="default"/>
                <w:sz w:val="21"/>
                <w:szCs w:val="21"/>
              </w:rPr>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b/>
                <w:bCs/>
                <w:w w:val="100"/>
                <w:sz w:val="21"/>
                <w:szCs w:val="21"/>
              </w:rPr>
              <w:t>股</w:t>
            </w:r>
            <w:r>
              <w:rPr>
                <w:rFonts w:ascii="宋体" w:hAnsi="宋体" w:cs="宋体" w:eastAsia="宋体" w:hint="default"/>
                <w:w w:val="100"/>
                <w:sz w:val="21"/>
                <w:szCs w:val="21"/>
              </w:rPr>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b/>
                <w:bCs/>
                <w:sz w:val="21"/>
                <w:szCs w:val="21"/>
              </w:rPr>
              <w:t>送股</w:t>
            </w:r>
            <w:r>
              <w:rPr>
                <w:rFonts w:ascii="宋体" w:hAnsi="宋体" w:cs="宋体" w:eastAsia="宋体" w:hint="default"/>
                <w:sz w:val="21"/>
                <w:szCs w:val="21"/>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1"/>
              <w:jc w:val="right"/>
              <w:rPr>
                <w:rFonts w:ascii="宋体" w:hAnsi="宋体" w:cs="宋体" w:eastAsia="宋体" w:hint="default"/>
                <w:sz w:val="21"/>
                <w:szCs w:val="21"/>
              </w:rPr>
            </w:pPr>
            <w:r>
              <w:rPr>
                <w:rFonts w:ascii="宋体" w:hAnsi="宋体" w:cs="宋体" w:eastAsia="宋体" w:hint="default"/>
                <w:b/>
                <w:bCs/>
                <w:sz w:val="21"/>
                <w:szCs w:val="21"/>
              </w:rPr>
              <w:t>公积金转股</w:t>
            </w:r>
            <w:r>
              <w:rPr>
                <w:rFonts w:ascii="宋体" w:hAnsi="宋体" w:cs="宋体" w:eastAsia="宋体" w:hint="default"/>
                <w:sz w:val="21"/>
                <w:szCs w:val="21"/>
              </w:rPr>
            </w:r>
          </w:p>
        </w:tc>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7"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45"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20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559"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有限售条件股</w:t>
            </w:r>
            <w:r>
              <w:rPr>
                <w:rFonts w:ascii="宋体" w:hAnsi="宋体" w:cs="宋体" w:eastAsia="宋体" w:hint="default"/>
                <w:w w:val="100"/>
                <w:sz w:val="21"/>
                <w:szCs w:val="21"/>
              </w:rPr>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b/>
                <w:bCs/>
                <w:w w:val="100"/>
                <w:sz w:val="21"/>
                <w:szCs w:val="21"/>
              </w:rPr>
              <w:t>份</w:t>
            </w:r>
            <w:r>
              <w:rPr>
                <w:rFonts w:ascii="宋体" w:hAnsi="宋体" w:cs="宋体" w:eastAsia="宋体" w:hint="default"/>
                <w:w w:val="100"/>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32,496,000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43.33%</w:t>
            </w: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19,497,600</w:t>
            </w: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19,497,600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51,993,600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9"/>
              <w:jc w:val="right"/>
              <w:rPr>
                <w:rFonts w:ascii="Times New Roman" w:hAnsi="Times New Roman" w:cs="Times New Roman" w:eastAsia="Times New Roman" w:hint="default"/>
                <w:sz w:val="21"/>
                <w:szCs w:val="21"/>
              </w:rPr>
            </w:pPr>
            <w:r>
              <w:rPr>
                <w:rFonts w:ascii="Times New Roman"/>
                <w:sz w:val="21"/>
              </w:rPr>
              <w:t>43.33%</w:t>
            </w:r>
          </w:p>
        </w:tc>
      </w:tr>
      <w:tr>
        <w:trPr>
          <w:trHeight w:val="288"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、国家持股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、国有法人持股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286"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、其他内资持股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32,496,000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43.33%</w:t>
            </w: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19,497,600</w:t>
            </w: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19,497,600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51,993,600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9"/>
              <w:jc w:val="right"/>
              <w:rPr>
                <w:rFonts w:ascii="Times New Roman" w:hAnsi="Times New Roman" w:cs="Times New Roman" w:eastAsia="Times New Roman" w:hint="default"/>
                <w:sz w:val="21"/>
                <w:szCs w:val="21"/>
              </w:rPr>
            </w:pPr>
            <w:r>
              <w:rPr>
                <w:rFonts w:ascii="Times New Roman"/>
                <w:sz w:val="21"/>
              </w:rPr>
              <w:t>43.33%</w:t>
            </w:r>
          </w:p>
        </w:tc>
      </w:tr>
      <w:tr>
        <w:trPr>
          <w:trHeight w:val="562"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其中：境内非国</w:t>
            </w:r>
            <w:r>
              <w:rPr>
                <w:rFonts w:ascii="宋体" w:hAnsi="宋体" w:cs="宋体" w:eastAsia="宋体" w:hint="default"/>
                <w:sz w:val="21"/>
                <w:szCs w:val="21"/>
              </w:rPr>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有法人持股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560"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540" w:right="0"/>
              <w:jc w:val="left"/>
              <w:rPr>
                <w:rFonts w:ascii="宋体" w:hAnsi="宋体" w:cs="宋体" w:eastAsia="宋体" w:hint="default"/>
                <w:sz w:val="21"/>
                <w:szCs w:val="21"/>
              </w:rPr>
            </w:pPr>
            <w:r>
              <w:rPr>
                <w:rFonts w:ascii="宋体" w:hAnsi="宋体" w:cs="宋体" w:eastAsia="宋体" w:hint="default"/>
                <w:b/>
                <w:bCs/>
                <w:sz w:val="21"/>
                <w:szCs w:val="21"/>
              </w:rPr>
              <w:t>境内自然人</w:t>
            </w:r>
            <w:r>
              <w:rPr>
                <w:rFonts w:ascii="宋体" w:hAnsi="宋体" w:cs="宋体" w:eastAsia="宋体" w:hint="default"/>
                <w:sz w:val="21"/>
                <w:szCs w:val="21"/>
              </w:rPr>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32,496,000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43.33%</w:t>
            </w: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19,497,600</w:t>
            </w: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19,497,600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51,993,600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9"/>
              <w:jc w:val="right"/>
              <w:rPr>
                <w:rFonts w:ascii="Times New Roman" w:hAnsi="Times New Roman" w:cs="Times New Roman" w:eastAsia="Times New Roman" w:hint="default"/>
                <w:sz w:val="21"/>
                <w:szCs w:val="21"/>
              </w:rPr>
            </w:pPr>
            <w:r>
              <w:rPr>
                <w:rFonts w:ascii="Times New Roman"/>
                <w:sz w:val="21"/>
              </w:rPr>
              <w:t>43.33%</w:t>
            </w:r>
          </w:p>
        </w:tc>
      </w:tr>
      <w:tr>
        <w:trPr>
          <w:trHeight w:val="288"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、外资持股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b/>
                <w:bCs/>
                <w:sz w:val="21"/>
                <w:szCs w:val="21"/>
              </w:rPr>
              <w:t>其中：境外法人</w:t>
            </w:r>
            <w:r>
              <w:rPr>
                <w:rFonts w:ascii="宋体" w:hAnsi="宋体" w:cs="宋体" w:eastAsia="宋体" w:hint="default"/>
                <w:sz w:val="21"/>
                <w:szCs w:val="21"/>
              </w:rPr>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540" w:right="0"/>
              <w:jc w:val="left"/>
              <w:rPr>
                <w:rFonts w:ascii="宋体" w:hAnsi="宋体" w:cs="宋体" w:eastAsia="宋体" w:hint="default"/>
                <w:sz w:val="21"/>
                <w:szCs w:val="21"/>
              </w:rPr>
            </w:pPr>
            <w:r>
              <w:rPr>
                <w:rFonts w:ascii="宋体" w:hAnsi="宋体" w:cs="宋体" w:eastAsia="宋体" w:hint="default"/>
                <w:b/>
                <w:bCs/>
                <w:sz w:val="21"/>
                <w:szCs w:val="21"/>
              </w:rPr>
              <w:t>境外自然人</w:t>
            </w:r>
            <w:r>
              <w:rPr>
                <w:rFonts w:ascii="宋体" w:hAnsi="宋体" w:cs="宋体" w:eastAsia="宋体" w:hint="default"/>
                <w:sz w:val="21"/>
                <w:szCs w:val="21"/>
              </w:rPr>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、高管股份</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b/>
                <w:bCs/>
                <w:w w:val="100"/>
                <w:sz w:val="21"/>
                <w:szCs w:val="21"/>
              </w:rPr>
              <w:t>二</w:t>
            </w:r>
            <w:r>
              <w:rPr>
                <w:rFonts w:ascii="宋体" w:hAnsi="宋体" w:cs="宋体" w:eastAsia="宋体" w:hint="default"/>
                <w:b/>
                <w:bCs/>
                <w:spacing w:val="-106"/>
                <w:w w:val="100"/>
                <w:sz w:val="21"/>
                <w:szCs w:val="21"/>
              </w:rPr>
              <w:t>、</w:t>
            </w:r>
            <w:r>
              <w:rPr>
                <w:rFonts w:ascii="宋体" w:hAnsi="宋体" w:cs="宋体" w:eastAsia="宋体" w:hint="default"/>
                <w:b/>
                <w:bCs/>
                <w:w w:val="100"/>
                <w:sz w:val="21"/>
                <w:szCs w:val="21"/>
              </w:rPr>
              <w:t>无限售条件股</w:t>
            </w:r>
            <w:r>
              <w:rPr>
                <w:rFonts w:ascii="宋体" w:hAnsi="宋体" w:cs="宋体" w:eastAsia="宋体" w:hint="default"/>
                <w:w w:val="100"/>
                <w:sz w:val="21"/>
                <w:szCs w:val="21"/>
              </w:rPr>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b/>
                <w:bCs/>
                <w:w w:val="100"/>
                <w:sz w:val="21"/>
                <w:szCs w:val="21"/>
              </w:rPr>
              <w:t>份</w:t>
            </w:r>
            <w:r>
              <w:rPr>
                <w:rFonts w:ascii="宋体" w:hAnsi="宋体" w:cs="宋体" w:eastAsia="宋体" w:hint="default"/>
                <w:w w:val="100"/>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42,504,000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4"/>
              <w:jc w:val="right"/>
              <w:rPr>
                <w:rFonts w:ascii="Times New Roman" w:hAnsi="Times New Roman" w:cs="Times New Roman" w:eastAsia="Times New Roman" w:hint="default"/>
                <w:sz w:val="21"/>
                <w:szCs w:val="21"/>
              </w:rPr>
            </w:pPr>
            <w:r>
              <w:rPr>
                <w:rFonts w:ascii="Times New Roman"/>
                <w:sz w:val="21"/>
              </w:rPr>
              <w:t>56.67%</w:t>
            </w: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25,502,400</w:t>
            </w: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25,502,400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
              <w:jc w:val="right"/>
              <w:rPr>
                <w:rFonts w:ascii="Times New Roman" w:hAnsi="Times New Roman" w:cs="Times New Roman" w:eastAsia="Times New Roman" w:hint="default"/>
                <w:sz w:val="21"/>
                <w:szCs w:val="21"/>
              </w:rPr>
            </w:pPr>
            <w:r>
              <w:rPr>
                <w:rFonts w:ascii="Times New Roman"/>
                <w:spacing w:val="-1"/>
                <w:sz w:val="21"/>
              </w:rPr>
              <w:t>68,006,400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right="9"/>
              <w:jc w:val="right"/>
              <w:rPr>
                <w:rFonts w:ascii="Times New Roman" w:hAnsi="Times New Roman" w:cs="Times New Roman" w:eastAsia="Times New Roman" w:hint="default"/>
                <w:sz w:val="21"/>
                <w:szCs w:val="21"/>
              </w:rPr>
            </w:pPr>
            <w:r>
              <w:rPr>
                <w:rFonts w:ascii="Times New Roman"/>
                <w:sz w:val="21"/>
              </w:rPr>
              <w:t>56.67%</w:t>
            </w:r>
          </w:p>
        </w:tc>
      </w:tr>
      <w:tr>
        <w:trPr>
          <w:trHeight w:val="288"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、人民币普通股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42,504,000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4"/>
              <w:jc w:val="right"/>
              <w:rPr>
                <w:rFonts w:ascii="Times New Roman" w:hAnsi="Times New Roman" w:cs="Times New Roman" w:eastAsia="Times New Roman" w:hint="default"/>
                <w:sz w:val="21"/>
                <w:szCs w:val="21"/>
              </w:rPr>
            </w:pPr>
            <w:r>
              <w:rPr>
                <w:rFonts w:ascii="Times New Roman"/>
                <w:sz w:val="21"/>
              </w:rPr>
              <w:t>56.67%</w:t>
            </w: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25,502,400</w:t>
            </w: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25,502,400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68,006,400</w:t>
            </w:r>
          </w:p>
        </w:tc>
        <w:tc>
          <w:tcPr>
            <w:tcW w:w="85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9"/>
              <w:jc w:val="right"/>
              <w:rPr>
                <w:rFonts w:ascii="Times New Roman" w:hAnsi="Times New Roman" w:cs="Times New Roman" w:eastAsia="Times New Roman" w:hint="default"/>
                <w:sz w:val="21"/>
                <w:szCs w:val="21"/>
              </w:rPr>
            </w:pPr>
            <w:r>
              <w:rPr>
                <w:rFonts w:ascii="Times New Roman"/>
                <w:sz w:val="21"/>
              </w:rPr>
              <w:t>56.67%</w:t>
            </w:r>
          </w:p>
        </w:tc>
      </w:tr>
      <w:tr>
        <w:trPr>
          <w:trHeight w:val="560"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47"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、境内上市的外</w:t>
            </w:r>
            <w:r>
              <w:rPr>
                <w:rFonts w:ascii="宋体" w:hAnsi="宋体" w:cs="宋体" w:eastAsia="宋体" w:hint="default"/>
                <w:sz w:val="21"/>
                <w:szCs w:val="21"/>
              </w:rPr>
            </w:r>
          </w:p>
          <w:p>
            <w:pPr>
              <w:pStyle w:val="TableParagraph"/>
              <w:spacing w:line="265"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资股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559"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、境外上市的外</w:t>
            </w:r>
            <w:r>
              <w:rPr>
                <w:rFonts w:ascii="宋体" w:hAnsi="宋体" w:cs="宋体" w:eastAsia="宋体" w:hint="default"/>
                <w:sz w:val="21"/>
                <w:szCs w:val="21"/>
              </w:rPr>
            </w:r>
          </w:p>
          <w:p>
            <w:pPr>
              <w:pStyle w:val="TableParagraph"/>
              <w:spacing w:line="266"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资股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288" w:hRule="exact"/>
        </w:trPr>
        <w:tc>
          <w:tcPr>
            <w:tcW w:w="1640" w:type="dxa"/>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662" w:type="dxa"/>
            <w:tcBorders>
              <w:top w:val="single" w:sz="6" w:space="0" w:color="000000"/>
              <w:left w:val="single" w:sz="6" w:space="0" w:color="000000"/>
              <w:bottom w:val="single" w:sz="6" w:space="0" w:color="000000"/>
              <w:right w:val="single" w:sz="6" w:space="0" w:color="000000"/>
            </w:tcBorders>
          </w:tcPr>
          <w:p>
            <w:pPr/>
          </w:p>
        </w:tc>
        <w:tc>
          <w:tcPr>
            <w:tcW w:w="1160" w:type="dxa"/>
            <w:tcBorders>
              <w:top w:val="single" w:sz="6" w:space="0" w:color="000000"/>
              <w:left w:val="single" w:sz="6" w:space="0" w:color="000000"/>
              <w:bottom w:val="single" w:sz="6" w:space="0" w:color="000000"/>
              <w:right w:val="single" w:sz="6" w:space="0" w:color="000000"/>
            </w:tcBorders>
          </w:tcPr>
          <w:p>
            <w:pPr/>
          </w:p>
        </w:tc>
        <w:tc>
          <w:tcPr>
            <w:tcW w:w="684"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12" w:space="0" w:color="000000"/>
            </w:tcBorders>
          </w:tcPr>
          <w:p>
            <w:pPr/>
          </w:p>
        </w:tc>
      </w:tr>
      <w:tr>
        <w:trPr>
          <w:trHeight w:val="293" w:hRule="exact"/>
        </w:trPr>
        <w:tc>
          <w:tcPr>
            <w:tcW w:w="1640"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b/>
                <w:bCs/>
                <w:sz w:val="21"/>
                <w:szCs w:val="21"/>
              </w:rPr>
              <w:t>三、股份总数</w:t>
            </w:r>
            <w:r>
              <w:rPr>
                <w:rFonts w:ascii="宋体" w:hAnsi="宋体" w:cs="宋体" w:eastAsia="宋体" w:hint="default"/>
                <w:sz w:val="21"/>
                <w:szCs w:val="21"/>
              </w:rPr>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75,000,000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4"/>
              <w:jc w:val="right"/>
              <w:rPr>
                <w:rFonts w:ascii="Times New Roman" w:hAnsi="Times New Roman" w:cs="Times New Roman" w:eastAsia="Times New Roman" w:hint="default"/>
                <w:sz w:val="21"/>
                <w:szCs w:val="21"/>
              </w:rPr>
            </w:pPr>
            <w:r>
              <w:rPr>
                <w:rFonts w:ascii="Times New Roman"/>
                <w:sz w:val="21"/>
              </w:rPr>
              <w:t>100.00%</w:t>
            </w:r>
          </w:p>
        </w:tc>
        <w:tc>
          <w:tcPr>
            <w:tcW w:w="756" w:type="dxa"/>
            <w:tcBorders>
              <w:top w:val="single" w:sz="6" w:space="0" w:color="000000"/>
              <w:left w:val="single" w:sz="6" w:space="0" w:color="000000"/>
              <w:bottom w:val="single" w:sz="12" w:space="0" w:color="000000"/>
              <w:right w:val="single" w:sz="6" w:space="0" w:color="000000"/>
            </w:tcBorders>
          </w:tcPr>
          <w:p>
            <w:pPr/>
          </w:p>
        </w:tc>
        <w:tc>
          <w:tcPr>
            <w:tcW w:w="662" w:type="dxa"/>
            <w:tcBorders>
              <w:top w:val="single" w:sz="6" w:space="0" w:color="000000"/>
              <w:left w:val="single" w:sz="6" w:space="0" w:color="000000"/>
              <w:bottom w:val="single" w:sz="12" w:space="0" w:color="000000"/>
              <w:right w:val="single" w:sz="6" w:space="0" w:color="000000"/>
            </w:tcBorders>
          </w:tcPr>
          <w:p>
            <w:pPr/>
          </w:p>
        </w:tc>
        <w:tc>
          <w:tcPr>
            <w:tcW w:w="11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45,000,000</w:t>
            </w:r>
          </w:p>
        </w:tc>
        <w:tc>
          <w:tcPr>
            <w:tcW w:w="684" w:type="dxa"/>
            <w:tcBorders>
              <w:top w:val="single" w:sz="6" w:space="0" w:color="000000"/>
              <w:left w:val="single" w:sz="6" w:space="0" w:color="000000"/>
              <w:bottom w:val="single" w:sz="12" w:space="0" w:color="000000"/>
              <w:right w:val="single" w:sz="6" w:space="0" w:color="000000"/>
            </w:tcBorders>
          </w:tcPr>
          <w:p>
            <w:pP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45,000,000</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120,000,000</w:t>
            </w:r>
          </w:p>
        </w:tc>
        <w:tc>
          <w:tcPr>
            <w:tcW w:w="85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
              <w:ind w:right="9"/>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173" w:top="1140" w:bottom="1360" w:left="900" w:right="760"/>
        </w:sectPr>
      </w:pPr>
    </w:p>
    <w:p>
      <w:pPr>
        <w:spacing w:line="240" w:lineRule="auto" w:before="6"/>
        <w:rPr>
          <w:rFonts w:ascii="宋体" w:hAnsi="宋体" w:cs="宋体" w:eastAsia="宋体" w:hint="default"/>
          <w:b/>
          <w:bCs/>
          <w:sz w:val="16"/>
          <w:szCs w:val="16"/>
        </w:rPr>
      </w:pPr>
    </w:p>
    <w:p>
      <w:pPr>
        <w:pStyle w:val="Heading5"/>
        <w:spacing w:line="240" w:lineRule="auto" w:before="26"/>
        <w:ind w:left="158" w:right="0"/>
        <w:jc w:val="left"/>
        <w:rPr>
          <w:b w:val="0"/>
          <w:bCs w:val="0"/>
        </w:rPr>
      </w:pPr>
      <w:r>
        <w:rPr/>
        <w:t>（二）限售股份变动情况表</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spacing w:before="0"/>
        <w:ind w:left="0" w:right="695" w:firstLine="0"/>
        <w:jc w:val="right"/>
        <w:rPr>
          <w:rFonts w:ascii="宋体" w:hAnsi="宋体" w:cs="宋体" w:eastAsia="宋体" w:hint="default"/>
          <w:sz w:val="21"/>
          <w:szCs w:val="21"/>
        </w:rPr>
      </w:pPr>
      <w:r>
        <w:rPr>
          <w:rFonts w:ascii="宋体" w:hAnsi="宋体" w:cs="宋体" w:eastAsia="宋体" w:hint="default"/>
          <w:spacing w:val="-1"/>
          <w:sz w:val="21"/>
          <w:szCs w:val="21"/>
        </w:rPr>
        <w:t>单位：股</w:t>
      </w:r>
    </w:p>
    <w:p>
      <w:pPr>
        <w:spacing w:line="240" w:lineRule="auto" w:before="10"/>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1073"/>
        <w:gridCol w:w="1263"/>
        <w:gridCol w:w="814"/>
        <w:gridCol w:w="1416"/>
        <w:gridCol w:w="1133"/>
        <w:gridCol w:w="1135"/>
        <w:gridCol w:w="1916"/>
      </w:tblGrid>
      <w:tr>
        <w:trPr>
          <w:trHeight w:val="840" w:hRule="exact"/>
        </w:trPr>
        <w:tc>
          <w:tcPr>
            <w:tcW w:w="10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2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518" w:right="92" w:hanging="420"/>
              <w:jc w:val="left"/>
              <w:rPr>
                <w:rFonts w:ascii="宋体" w:hAnsi="宋体" w:cs="宋体" w:eastAsia="宋体" w:hint="default"/>
                <w:sz w:val="21"/>
                <w:szCs w:val="21"/>
              </w:rPr>
            </w:pPr>
            <w:r>
              <w:rPr>
                <w:rFonts w:ascii="宋体" w:hAnsi="宋体" w:cs="宋体" w:eastAsia="宋体" w:hint="default"/>
                <w:b/>
                <w:bCs/>
                <w:sz w:val="21"/>
                <w:szCs w:val="21"/>
              </w:rPr>
              <w:t>年初限售股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814"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b/>
                <w:bCs/>
                <w:sz w:val="21"/>
                <w:szCs w:val="21"/>
              </w:rPr>
              <w:t>本年解</w:t>
            </w:r>
            <w:r>
              <w:rPr>
                <w:rFonts w:ascii="宋体" w:hAnsi="宋体" w:cs="宋体" w:eastAsia="宋体" w:hint="default"/>
                <w:sz w:val="21"/>
                <w:szCs w:val="21"/>
              </w:rPr>
            </w:r>
          </w:p>
          <w:p>
            <w:pPr>
              <w:pStyle w:val="TableParagraph"/>
              <w:spacing w:line="240" w:lineRule="auto"/>
              <w:ind w:left="187" w:right="83" w:hanging="106"/>
              <w:jc w:val="left"/>
              <w:rPr>
                <w:rFonts w:ascii="宋体" w:hAnsi="宋体" w:cs="宋体" w:eastAsia="宋体" w:hint="default"/>
                <w:sz w:val="21"/>
                <w:szCs w:val="21"/>
              </w:rPr>
            </w:pPr>
            <w:r>
              <w:rPr>
                <w:rFonts w:ascii="宋体" w:hAnsi="宋体" w:cs="宋体" w:eastAsia="宋体" w:hint="default"/>
                <w:b/>
                <w:bCs/>
                <w:sz w:val="21"/>
                <w:szCs w:val="21"/>
              </w:rPr>
              <w:t>除限售</w:t>
            </w:r>
            <w:r>
              <w:rPr>
                <w:rFonts w:ascii="宋体" w:hAnsi="宋体" w:cs="宋体" w:eastAsia="宋体" w:hint="default"/>
                <w:b/>
                <w:bCs/>
                <w:w w:val="100"/>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87" w:right="67" w:hanging="423"/>
              <w:jc w:val="left"/>
              <w:rPr>
                <w:rFonts w:ascii="宋体" w:hAnsi="宋体" w:cs="宋体" w:eastAsia="宋体" w:hint="default"/>
                <w:sz w:val="21"/>
                <w:szCs w:val="21"/>
              </w:rPr>
            </w:pPr>
            <w:r>
              <w:rPr>
                <w:rFonts w:ascii="宋体" w:hAnsi="宋体" w:cs="宋体" w:eastAsia="宋体" w:hint="default"/>
                <w:b/>
                <w:bCs/>
                <w:sz w:val="21"/>
                <w:szCs w:val="21"/>
              </w:rPr>
              <w:t>本年增加限售</w:t>
            </w:r>
            <w:r>
              <w:rPr>
                <w:rFonts w:ascii="宋体" w:hAnsi="宋体" w:cs="宋体" w:eastAsia="宋体" w:hint="default"/>
                <w:b/>
                <w:bCs/>
                <w:spacing w:val="-104"/>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2"/>
              <w:ind w:left="451" w:right="29" w:hanging="420"/>
              <w:jc w:val="left"/>
              <w:rPr>
                <w:rFonts w:ascii="宋体" w:hAnsi="宋体" w:cs="宋体" w:eastAsia="宋体" w:hint="default"/>
                <w:sz w:val="21"/>
                <w:szCs w:val="21"/>
              </w:rPr>
            </w:pPr>
            <w:r>
              <w:rPr>
                <w:rFonts w:ascii="宋体" w:hAnsi="宋体" w:cs="宋体" w:eastAsia="宋体" w:hint="default"/>
                <w:b/>
                <w:bCs/>
                <w:sz w:val="21"/>
                <w:szCs w:val="21"/>
              </w:rPr>
              <w:t>年末限售股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91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12,684,000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7,610,400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20,294,400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宋关福</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2"/>
                <w:sz w:val="21"/>
              </w:rPr>
              <w:t>5,112,000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3,067,200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8,179,200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王尔琪</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2,432,000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1,459,200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3,891,200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王康弘</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2,400,000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1,440,000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3,840,000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9"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梁军</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2,400,000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1,440,000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3,840,000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1,400,000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840,000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2,240,000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陈俊华</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376,000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225,600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601,600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滕寿威</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376,000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225,600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601,600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陈炎平</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248,000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148,800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396,800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王继晖</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240,000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144,000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384,000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石伟伟</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220,000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132,000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352,000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顾晨刚</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220,000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132,000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352,000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杨雪斌</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208,000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124,800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332,800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陈国雄</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200,000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120,000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320,000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196,000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117,600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313,600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张立立</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192,000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115,200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307,200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李绍俊</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184,000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110,400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294,400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张艳良</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180,000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108,000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288,000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李文龙</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180,000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108,000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288,000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黎涛</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180,000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108,000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288,000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裘立</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180,000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108,000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288,000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陈勇</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168,000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100,800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268,800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谢林</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164,000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98,400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262,400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赵明媚</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160,000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96,000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256,000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姚敏</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160,000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96,000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256,000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安凯</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148,000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88,800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236,800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徐旭</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144,000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86,400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230,400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陈正</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144,000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86,400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230,400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白杨建</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144,000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86,400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230,400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杨憬</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144,000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86,400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230,400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赵巍</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140,000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84,000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224,000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章明</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136,000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81,600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217,600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张俊平</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136,000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81,600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217,600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安代伟</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136,000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81,600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217,600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龚娅杰</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132,000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79,200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2"/>
                <w:sz w:val="21"/>
              </w:rPr>
              <w:t>211,200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李玮顾</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128,000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76,800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204,800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闫春利</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128,000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76,800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204,800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胡中南</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128,000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76,800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204,800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6"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徐旺兴</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5"/>
              <w:jc w:val="right"/>
              <w:rPr>
                <w:rFonts w:ascii="Times New Roman" w:hAnsi="Times New Roman" w:cs="Times New Roman" w:eastAsia="Times New Roman" w:hint="default"/>
                <w:sz w:val="21"/>
                <w:szCs w:val="21"/>
              </w:rPr>
            </w:pPr>
            <w:r>
              <w:rPr>
                <w:rFonts w:ascii="Times New Roman"/>
                <w:spacing w:val="-1"/>
                <w:sz w:val="21"/>
              </w:rPr>
              <w:t>128,000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76,800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pacing w:val="-1"/>
                <w:sz w:val="21"/>
              </w:rPr>
              <w:t>204,800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7"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88" w:hRule="exact"/>
        </w:trPr>
        <w:tc>
          <w:tcPr>
            <w:tcW w:w="1073" w:type="dxa"/>
            <w:tcBorders>
              <w:top w:val="single" w:sz="6" w:space="0" w:color="000000"/>
              <w:left w:val="single" w:sz="12" w:space="0" w:color="000000"/>
              <w:bottom w:val="single" w:sz="6" w:space="0" w:color="000000"/>
              <w:right w:val="single" w:sz="6" w:space="0" w:color="000000"/>
            </w:tcBorders>
          </w:tcPr>
          <w:p>
            <w:pPr>
              <w:pStyle w:val="TableParagraph"/>
              <w:spacing w:line="244" w:lineRule="exact"/>
              <w:ind w:right="2"/>
              <w:jc w:val="center"/>
              <w:rPr>
                <w:rFonts w:ascii="宋体" w:hAnsi="宋体" w:cs="宋体" w:eastAsia="宋体" w:hint="default"/>
                <w:sz w:val="21"/>
                <w:szCs w:val="21"/>
              </w:rPr>
            </w:pPr>
            <w:r>
              <w:rPr>
                <w:rFonts w:ascii="宋体" w:hAnsi="宋体" w:cs="宋体" w:eastAsia="宋体" w:hint="default"/>
                <w:sz w:val="21"/>
                <w:szCs w:val="21"/>
              </w:rPr>
              <w:t>杨祖虎</w:t>
            </w:r>
          </w:p>
        </w:tc>
        <w:tc>
          <w:tcPr>
            <w:tcW w:w="1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120,000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72,000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192,000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916" w:type="dxa"/>
            <w:tcBorders>
              <w:top w:val="single" w:sz="6" w:space="0" w:color="000000"/>
              <w:left w:val="single" w:sz="6" w:space="0" w:color="000000"/>
              <w:bottom w:val="single" w:sz="6" w:space="0" w:color="000000"/>
              <w:right w:val="single" w:sz="12" w:space="0" w:color="000000"/>
            </w:tcBorders>
          </w:tcPr>
          <w:p>
            <w:pPr>
              <w:pStyle w:val="TableParagraph"/>
              <w:spacing w:line="259" w:lineRule="exact"/>
              <w:ind w:right="11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293" w:hRule="exact"/>
        </w:trPr>
        <w:tc>
          <w:tcPr>
            <w:tcW w:w="107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2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5"/>
              <w:jc w:val="right"/>
              <w:rPr>
                <w:rFonts w:ascii="Times New Roman" w:hAnsi="Times New Roman" w:cs="Times New Roman" w:eastAsia="Times New Roman" w:hint="default"/>
                <w:sz w:val="21"/>
                <w:szCs w:val="21"/>
              </w:rPr>
            </w:pPr>
            <w:r>
              <w:rPr>
                <w:rFonts w:ascii="Times New Roman"/>
                <w:spacing w:val="-1"/>
                <w:sz w:val="21"/>
              </w:rPr>
              <w:t>32,496,000</w:t>
            </w:r>
          </w:p>
        </w:tc>
        <w:tc>
          <w:tcPr>
            <w:tcW w:w="8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19,497,600</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pacing w:val="-1"/>
                <w:sz w:val="21"/>
              </w:rPr>
              <w:t>51,993,600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916"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w:t>
            </w:r>
          </w:p>
        </w:tc>
      </w:tr>
    </w:tbl>
    <w:p>
      <w:pPr>
        <w:spacing w:after="0" w:line="241" w:lineRule="exact"/>
        <w:jc w:val="center"/>
        <w:rPr>
          <w:rFonts w:ascii="宋体" w:hAnsi="宋体" w:cs="宋体" w:eastAsia="宋体" w:hint="default"/>
          <w:sz w:val="21"/>
          <w:szCs w:val="21"/>
        </w:rPr>
        <w:sectPr>
          <w:pgSz w:w="11910" w:h="16840"/>
          <w:pgMar w:header="884" w:footer="1173" w:top="1140" w:bottom="1360" w:left="1640" w:right="1240"/>
        </w:sectPr>
      </w:pPr>
    </w:p>
    <w:p>
      <w:pPr>
        <w:spacing w:line="240" w:lineRule="auto" w:before="1"/>
        <w:rPr>
          <w:rFonts w:ascii="宋体" w:hAnsi="宋体" w:cs="宋体" w:eastAsia="宋体" w:hint="default"/>
          <w:sz w:val="17"/>
          <w:szCs w:val="17"/>
        </w:rPr>
      </w:pPr>
    </w:p>
    <w:p>
      <w:pPr>
        <w:pStyle w:val="Heading3"/>
        <w:spacing w:line="240" w:lineRule="auto" w:before="7"/>
        <w:ind w:left="158" w:right="0"/>
        <w:jc w:val="left"/>
        <w:rPr>
          <w:b w:val="0"/>
          <w:bCs w:val="0"/>
        </w:rPr>
      </w:pPr>
      <w:r>
        <w:rPr/>
        <w:t>二、公司前 </w:t>
      </w:r>
      <w:r>
        <w:rPr>
          <w:rFonts w:ascii="Times New Roman" w:hAnsi="Times New Roman" w:cs="Times New Roman" w:eastAsia="Times New Roman" w:hint="default"/>
        </w:rPr>
        <w:t>10  </w:t>
      </w:r>
      <w:r>
        <w:rPr/>
        <w:t>名股东和前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名无限售条件股东情况介绍（截至</w:t>
      </w:r>
      <w:r>
        <w:rPr>
          <w:b w:val="0"/>
          <w:bCs w:val="0"/>
        </w:rPr>
      </w:r>
    </w:p>
    <w:p>
      <w:pPr>
        <w:spacing w:before="259"/>
        <w:ind w:left="158" w:right="0" w:firstLine="0"/>
        <w:jc w:val="left"/>
        <w:rPr>
          <w:rFonts w:ascii="宋体" w:hAnsi="宋体" w:cs="宋体" w:eastAsia="宋体" w:hint="default"/>
          <w:sz w:val="30"/>
          <w:szCs w:val="30"/>
        </w:rPr>
      </w:pPr>
      <w:r>
        <w:rPr>
          <w:rFonts w:ascii="Times New Roman" w:hAnsi="Times New Roman" w:cs="Times New Roman" w:eastAsia="Times New Roman" w:hint="default"/>
          <w:b/>
          <w:bCs/>
          <w:sz w:val="30"/>
          <w:szCs w:val="30"/>
        </w:rPr>
        <w:t>2011 </w:t>
      </w:r>
      <w:r>
        <w:rPr>
          <w:rFonts w:ascii="宋体" w:hAnsi="宋体" w:cs="宋体" w:eastAsia="宋体" w:hint="default"/>
          <w:b/>
          <w:bCs/>
          <w:sz w:val="30"/>
          <w:szCs w:val="30"/>
        </w:rPr>
        <w:t>年</w:t>
      </w:r>
      <w:r>
        <w:rPr>
          <w:rFonts w:ascii="宋体" w:hAnsi="宋体" w:cs="宋体" w:eastAsia="宋体" w:hint="default"/>
          <w:b/>
          <w:bCs/>
          <w:spacing w:val="-75"/>
          <w:sz w:val="30"/>
          <w:szCs w:val="30"/>
        </w:rPr>
        <w:t> </w:t>
      </w:r>
      <w:r>
        <w:rPr>
          <w:rFonts w:ascii="Times New Roman" w:hAnsi="Times New Roman" w:cs="Times New Roman" w:eastAsia="Times New Roman" w:hint="default"/>
          <w:b/>
          <w:bCs/>
          <w:sz w:val="30"/>
          <w:szCs w:val="30"/>
        </w:rPr>
        <w:t>12 </w:t>
      </w:r>
      <w:r>
        <w:rPr>
          <w:rFonts w:ascii="宋体" w:hAnsi="宋体" w:cs="宋体" w:eastAsia="宋体" w:hint="default"/>
          <w:b/>
          <w:bCs/>
          <w:sz w:val="30"/>
          <w:szCs w:val="30"/>
        </w:rPr>
        <w:t>月</w:t>
      </w:r>
      <w:r>
        <w:rPr>
          <w:rFonts w:ascii="宋体" w:hAnsi="宋体" w:cs="宋体" w:eastAsia="宋体" w:hint="default"/>
          <w:b/>
          <w:bCs/>
          <w:spacing w:val="-77"/>
          <w:sz w:val="30"/>
          <w:szCs w:val="30"/>
        </w:rPr>
        <w:t> </w:t>
      </w:r>
      <w:r>
        <w:rPr>
          <w:rFonts w:ascii="Times New Roman" w:hAnsi="Times New Roman" w:cs="Times New Roman" w:eastAsia="Times New Roman" w:hint="default"/>
          <w:b/>
          <w:bCs/>
          <w:sz w:val="30"/>
          <w:szCs w:val="30"/>
        </w:rPr>
        <w:t>31</w:t>
      </w:r>
      <w:r>
        <w:rPr>
          <w:rFonts w:ascii="Times New Roman" w:hAnsi="Times New Roman" w:cs="Times New Roman" w:eastAsia="Times New Roman" w:hint="default"/>
          <w:b/>
          <w:bCs/>
          <w:spacing w:val="-2"/>
          <w:sz w:val="30"/>
          <w:szCs w:val="30"/>
        </w:rPr>
        <w:t> </w:t>
      </w:r>
      <w:r>
        <w:rPr>
          <w:rFonts w:ascii="宋体" w:hAnsi="宋体" w:cs="宋体" w:eastAsia="宋体" w:hint="default"/>
          <w:b/>
          <w:bCs/>
          <w:sz w:val="30"/>
          <w:szCs w:val="30"/>
        </w:rPr>
        <w:t>日）</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footerReference w:type="default" r:id="rId35"/>
          <w:pgSz w:w="11910" w:h="16840"/>
          <w:pgMar w:footer="1173" w:header="884" w:top="1140" w:bottom="1360" w:left="1640" w:right="1240"/>
        </w:sectPr>
      </w:pPr>
    </w:p>
    <w:p>
      <w:pPr>
        <w:pStyle w:val="BodyText"/>
        <w:spacing w:line="240" w:lineRule="auto" w:before="26"/>
        <w:ind w:left="638" w:right="-20"/>
        <w:jc w:val="left"/>
      </w:pPr>
      <w:r>
        <w:rPr/>
        <w:t>公司前</w:t>
      </w:r>
      <w:r>
        <w:rPr>
          <w:spacing w:val="-60"/>
        </w:rPr>
        <w:t> </w:t>
      </w:r>
      <w:r>
        <w:rPr>
          <w:rFonts w:ascii="Times New Roman" w:hAnsi="Times New Roman" w:cs="Times New Roman" w:eastAsia="Times New Roman" w:hint="default"/>
        </w:rPr>
        <w:t>10 </w:t>
      </w:r>
      <w:r>
        <w:rPr/>
        <w:t>名股东和前</w:t>
      </w:r>
      <w:r>
        <w:rPr>
          <w:spacing w:val="-60"/>
        </w:rPr>
        <w:t> </w:t>
      </w:r>
      <w:r>
        <w:rPr>
          <w:rFonts w:ascii="Times New Roman" w:hAnsi="Times New Roman" w:cs="Times New Roman" w:eastAsia="Times New Roman" w:hint="default"/>
        </w:rPr>
        <w:t>10 </w:t>
      </w:r>
      <w:r>
        <w:rPr/>
        <w:t>名无限售流通股股东持股情况表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18"/>
          <w:szCs w:val="18"/>
        </w:rPr>
      </w:pPr>
    </w:p>
    <w:p>
      <w:pPr>
        <w:spacing w:before="0"/>
        <w:ind w:left="637"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440" w:bottom="280" w:left="1640" w:right="1240"/>
          <w:cols w:num="2" w:equalWidth="0">
            <w:col w:w="6639" w:space="313"/>
            <w:col w:w="2078"/>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2257"/>
        <w:gridCol w:w="1572"/>
        <w:gridCol w:w="640"/>
        <w:gridCol w:w="455"/>
        <w:gridCol w:w="1229"/>
        <w:gridCol w:w="365"/>
        <w:gridCol w:w="869"/>
        <w:gridCol w:w="134"/>
        <w:gridCol w:w="1229"/>
      </w:tblGrid>
      <w:tr>
        <w:trPr>
          <w:trHeight w:val="569" w:hRule="exact"/>
        </w:trPr>
        <w:tc>
          <w:tcPr>
            <w:tcW w:w="225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5"/>
              <w:ind w:left="249"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年末股东总数</w:t>
            </w:r>
            <w:r>
              <w:rPr>
                <w:rFonts w:ascii="宋体" w:hAnsi="宋体" w:cs="宋体" w:eastAsia="宋体" w:hint="default"/>
                <w:sz w:val="21"/>
                <w:szCs w:val="21"/>
              </w:rPr>
            </w:r>
          </w:p>
        </w:tc>
        <w:tc>
          <w:tcPr>
            <w:tcW w:w="221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152"/>
              <w:ind w:right="-26"/>
              <w:jc w:val="right"/>
              <w:rPr>
                <w:rFonts w:ascii="Times New Roman" w:hAnsi="Times New Roman" w:cs="Times New Roman" w:eastAsia="Times New Roman" w:hint="default"/>
                <w:sz w:val="21"/>
                <w:szCs w:val="21"/>
              </w:rPr>
            </w:pPr>
            <w:r>
              <w:rPr>
                <w:rFonts w:ascii="Times New Roman"/>
                <w:b/>
                <w:sz w:val="21"/>
              </w:rPr>
              <w:t>4,815</w:t>
            </w:r>
            <w:r>
              <w:rPr>
                <w:rFonts w:ascii="Times New Roman"/>
                <w:sz w:val="21"/>
              </w:rPr>
            </w:r>
          </w:p>
        </w:tc>
        <w:tc>
          <w:tcPr>
            <w:tcW w:w="2918" w:type="dxa"/>
            <w:gridSpan w:val="4"/>
            <w:tcBorders>
              <w:top w:val="single" w:sz="12" w:space="0" w:color="000000"/>
              <w:left w:val="single" w:sz="6" w:space="0" w:color="000000"/>
              <w:bottom w:val="single" w:sz="6" w:space="0" w:color="000000"/>
              <w:right w:val="single" w:sz="6" w:space="0" w:color="000000"/>
            </w:tcBorders>
          </w:tcPr>
          <w:p>
            <w:pPr>
              <w:pStyle w:val="TableParagraph"/>
              <w:spacing w:line="241" w:lineRule="exact"/>
              <w:ind w:left="41" w:right="0"/>
              <w:jc w:val="center"/>
              <w:rPr>
                <w:rFonts w:ascii="宋体" w:hAnsi="宋体" w:cs="宋体" w:eastAsia="宋体" w:hint="default"/>
                <w:sz w:val="21"/>
                <w:szCs w:val="21"/>
              </w:rPr>
            </w:pPr>
            <w:r>
              <w:rPr>
                <w:rFonts w:ascii="宋体" w:hAnsi="宋体" w:cs="宋体" w:eastAsia="宋体" w:hint="default"/>
                <w:b/>
                <w:bCs/>
                <w:sz w:val="21"/>
                <w:szCs w:val="21"/>
              </w:rPr>
              <w:t>本年度报告公布日前一个月末</w:t>
            </w:r>
            <w:r>
              <w:rPr>
                <w:rFonts w:ascii="宋体" w:hAnsi="宋体" w:cs="宋体" w:eastAsia="宋体" w:hint="default"/>
                <w:sz w:val="21"/>
                <w:szCs w:val="21"/>
              </w:rPr>
            </w:r>
          </w:p>
          <w:p>
            <w:pPr>
              <w:pStyle w:val="TableParagraph"/>
              <w:spacing w:line="273" w:lineRule="exact"/>
              <w:ind w:left="41" w:right="0"/>
              <w:jc w:val="center"/>
              <w:rPr>
                <w:rFonts w:ascii="宋体" w:hAnsi="宋体" w:cs="宋体" w:eastAsia="宋体" w:hint="default"/>
                <w:sz w:val="21"/>
                <w:szCs w:val="21"/>
              </w:rPr>
            </w:pPr>
            <w:r>
              <w:rPr>
                <w:rFonts w:ascii="宋体" w:hAnsi="宋体" w:cs="宋体" w:eastAsia="宋体" w:hint="default"/>
                <w:b/>
                <w:bCs/>
                <w:sz w:val="21"/>
                <w:szCs w:val="21"/>
              </w:rPr>
              <w:t>股东总数</w:t>
            </w:r>
            <w:r>
              <w:rPr>
                <w:rFonts w:ascii="宋体" w:hAnsi="宋体" w:cs="宋体" w:eastAsia="宋体" w:hint="default"/>
                <w:sz w:val="21"/>
                <w:szCs w:val="21"/>
              </w:rPr>
            </w:r>
          </w:p>
        </w:tc>
        <w:tc>
          <w:tcPr>
            <w:tcW w:w="136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52"/>
              <w:ind w:left="436" w:right="0"/>
              <w:jc w:val="left"/>
              <w:rPr>
                <w:rFonts w:ascii="Times New Roman" w:hAnsi="Times New Roman" w:cs="Times New Roman" w:eastAsia="Times New Roman" w:hint="default"/>
                <w:sz w:val="21"/>
                <w:szCs w:val="21"/>
              </w:rPr>
            </w:pPr>
            <w:r>
              <w:rPr>
                <w:rFonts w:ascii="Times New Roman"/>
                <w:b/>
                <w:sz w:val="21"/>
              </w:rPr>
              <w:t>4,820</w:t>
            </w:r>
            <w:r>
              <w:rPr>
                <w:rFonts w:ascii="Times New Roman"/>
                <w:sz w:val="21"/>
              </w:rPr>
            </w:r>
          </w:p>
        </w:tc>
      </w:tr>
      <w:tr>
        <w:trPr>
          <w:trHeight w:val="288" w:hRule="exact"/>
        </w:trPr>
        <w:tc>
          <w:tcPr>
            <w:tcW w:w="8750" w:type="dxa"/>
            <w:gridSpan w:val="9"/>
            <w:tcBorders>
              <w:top w:val="single" w:sz="6" w:space="0" w:color="000000"/>
              <w:left w:val="single" w:sz="12" w:space="0" w:color="000000"/>
              <w:bottom w:val="single" w:sz="6" w:space="0" w:color="000000"/>
              <w:right w:val="single" w:sz="12"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名股东持股情况</w:t>
            </w:r>
            <w:r>
              <w:rPr>
                <w:rFonts w:ascii="宋体" w:hAnsi="宋体" w:cs="宋体" w:eastAsia="宋体" w:hint="default"/>
                <w:sz w:val="21"/>
                <w:szCs w:val="21"/>
              </w:rPr>
            </w:r>
          </w:p>
        </w:tc>
      </w:tr>
      <w:tr>
        <w:trPr>
          <w:trHeight w:val="560"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691"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55" w:right="0"/>
              <w:jc w:val="left"/>
              <w:rPr>
                <w:rFonts w:ascii="宋体" w:hAnsi="宋体" w:cs="宋体" w:eastAsia="宋体" w:hint="default"/>
                <w:sz w:val="21"/>
                <w:szCs w:val="21"/>
              </w:rPr>
            </w:pPr>
            <w:r>
              <w:rPr>
                <w:rFonts w:ascii="宋体" w:hAnsi="宋体" w:cs="宋体" w:eastAsia="宋体" w:hint="default"/>
                <w:b/>
                <w:bCs/>
                <w:sz w:val="21"/>
                <w:szCs w:val="21"/>
              </w:rPr>
              <w:t>股东性质</w:t>
            </w:r>
            <w:r>
              <w:rPr>
                <w:rFonts w:ascii="宋体" w:hAnsi="宋体" w:cs="宋体" w:eastAsia="宋体" w:hint="default"/>
                <w:sz w:val="21"/>
                <w:szCs w:val="21"/>
              </w:rPr>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持股比例</w:t>
            </w:r>
            <w:r>
              <w:rPr>
                <w:rFonts w:ascii="宋体" w:hAnsi="宋体" w:cs="宋体" w:eastAsia="宋体" w:hint="default"/>
                <w:sz w:val="21"/>
                <w:szCs w:val="21"/>
              </w:rPr>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82"/>
              <w:jc w:val="right"/>
              <w:rPr>
                <w:rFonts w:ascii="宋体" w:hAnsi="宋体" w:cs="宋体" w:eastAsia="宋体" w:hint="default"/>
                <w:sz w:val="21"/>
                <w:szCs w:val="21"/>
              </w:rPr>
            </w:pPr>
            <w:r>
              <w:rPr>
                <w:rFonts w:ascii="宋体" w:hAnsi="宋体" w:cs="宋体" w:eastAsia="宋体" w:hint="default"/>
                <w:b/>
                <w:bCs/>
                <w:sz w:val="21"/>
                <w:szCs w:val="21"/>
              </w:rPr>
              <w:t>持股总数</w:t>
            </w:r>
            <w:r>
              <w:rPr>
                <w:rFonts w:ascii="宋体" w:hAnsi="宋体" w:cs="宋体" w:eastAsia="宋体" w:hint="default"/>
                <w:sz w:val="21"/>
                <w:szCs w:val="21"/>
              </w:rPr>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持有有限售条</w:t>
            </w:r>
            <w:r>
              <w:rPr>
                <w:rFonts w:ascii="宋体" w:hAnsi="宋体" w:cs="宋体" w:eastAsia="宋体" w:hint="default"/>
                <w:sz w:val="21"/>
                <w:szCs w:val="21"/>
              </w:rPr>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件股份数量</w:t>
            </w:r>
            <w:r>
              <w:rPr>
                <w:rFonts w:ascii="宋体" w:hAnsi="宋体" w:cs="宋体" w:eastAsia="宋体" w:hint="default"/>
                <w:sz w:val="21"/>
                <w:szCs w:val="21"/>
              </w:rPr>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质押或冻结</w:t>
            </w:r>
            <w:r>
              <w:rPr>
                <w:rFonts w:ascii="宋体" w:hAnsi="宋体" w:cs="宋体" w:eastAsia="宋体" w:hint="default"/>
                <w:sz w:val="21"/>
                <w:szCs w:val="21"/>
              </w:rPr>
            </w:r>
          </w:p>
          <w:p>
            <w:pPr>
              <w:pStyle w:val="TableParagraph"/>
              <w:spacing w:line="273"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的股份数量</w:t>
            </w:r>
            <w:r>
              <w:rPr>
                <w:rFonts w:ascii="宋体" w:hAnsi="宋体" w:cs="宋体" w:eastAsia="宋体" w:hint="default"/>
                <w:sz w:val="21"/>
                <w:szCs w:val="21"/>
              </w:rPr>
            </w:r>
          </w:p>
        </w:tc>
      </w:tr>
      <w:tr>
        <w:trPr>
          <w:trHeight w:val="286"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6" w:right="0"/>
              <w:jc w:val="left"/>
              <w:rPr>
                <w:rFonts w:ascii="Times New Roman" w:hAnsi="Times New Roman" w:cs="Times New Roman" w:eastAsia="Times New Roman" w:hint="default"/>
                <w:sz w:val="21"/>
                <w:szCs w:val="21"/>
              </w:rPr>
            </w:pPr>
            <w:r>
              <w:rPr>
                <w:rFonts w:ascii="Times New Roman"/>
                <w:sz w:val="21"/>
              </w:rPr>
              <w:t>16.91%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32"/>
              <w:jc w:val="right"/>
              <w:rPr>
                <w:rFonts w:ascii="Times New Roman" w:hAnsi="Times New Roman" w:cs="Times New Roman" w:eastAsia="Times New Roman" w:hint="default"/>
                <w:sz w:val="21"/>
                <w:szCs w:val="21"/>
              </w:rPr>
            </w:pPr>
            <w:r>
              <w:rPr>
                <w:rFonts w:ascii="Times New Roman"/>
                <w:spacing w:val="-1"/>
                <w:sz w:val="21"/>
              </w:rPr>
              <w:t>20,294,400</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03" w:right="0"/>
              <w:jc w:val="left"/>
              <w:rPr>
                <w:rFonts w:ascii="Times New Roman" w:hAnsi="Times New Roman" w:cs="Times New Roman" w:eastAsia="Times New Roman" w:hint="default"/>
                <w:sz w:val="21"/>
                <w:szCs w:val="21"/>
              </w:rPr>
            </w:pPr>
            <w:r>
              <w:rPr>
                <w:rFonts w:ascii="Times New Roman"/>
                <w:sz w:val="21"/>
              </w:rPr>
              <w:t>20,294,400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68" w:right="0"/>
              <w:jc w:val="left"/>
              <w:rPr>
                <w:rFonts w:ascii="Times New Roman" w:hAnsi="Times New Roman" w:cs="Times New Roman" w:eastAsia="Times New Roman" w:hint="default"/>
                <w:sz w:val="21"/>
                <w:szCs w:val="21"/>
              </w:rPr>
            </w:pPr>
            <w:r>
              <w:rPr>
                <w:rFonts w:ascii="Times New Roman"/>
                <w:sz w:val="21"/>
              </w:rPr>
              <w:t>6.82%</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5"/>
              <w:jc w:val="right"/>
              <w:rPr>
                <w:rFonts w:ascii="Times New Roman" w:hAnsi="Times New Roman" w:cs="Times New Roman" w:eastAsia="Times New Roman" w:hint="default"/>
                <w:sz w:val="21"/>
                <w:szCs w:val="21"/>
              </w:rPr>
            </w:pPr>
            <w:r>
              <w:rPr>
                <w:rFonts w:ascii="Times New Roman"/>
                <w:spacing w:val="-1"/>
                <w:sz w:val="21"/>
              </w:rPr>
              <w:t>8,179,200</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56" w:right="0"/>
              <w:jc w:val="left"/>
              <w:rPr>
                <w:rFonts w:ascii="Times New Roman" w:hAnsi="Times New Roman" w:cs="Times New Roman" w:eastAsia="Times New Roman" w:hint="default"/>
                <w:sz w:val="21"/>
                <w:szCs w:val="21"/>
              </w:rPr>
            </w:pPr>
            <w:r>
              <w:rPr>
                <w:rFonts w:ascii="Times New Roman"/>
                <w:sz w:val="21"/>
              </w:rPr>
              <w:t>8,179,200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559"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中国科学院地理科学与</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资源研究所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68" w:right="0"/>
              <w:jc w:val="left"/>
              <w:rPr>
                <w:rFonts w:ascii="Times New Roman" w:hAnsi="Times New Roman" w:cs="Times New Roman" w:eastAsia="Times New Roman" w:hint="default"/>
                <w:sz w:val="21"/>
                <w:szCs w:val="21"/>
              </w:rPr>
            </w:pPr>
            <w:r>
              <w:rPr>
                <w:rFonts w:ascii="Times New Roman"/>
                <w:sz w:val="21"/>
              </w:rPr>
              <w:t>5.40%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85"/>
              <w:jc w:val="right"/>
              <w:rPr>
                <w:rFonts w:ascii="Times New Roman" w:hAnsi="Times New Roman" w:cs="Times New Roman" w:eastAsia="Times New Roman" w:hint="default"/>
                <w:sz w:val="21"/>
                <w:szCs w:val="21"/>
              </w:rPr>
            </w:pPr>
            <w:r>
              <w:rPr>
                <w:rFonts w:ascii="Times New Roman"/>
                <w:spacing w:val="-1"/>
                <w:sz w:val="21"/>
              </w:rPr>
              <w:t>6,481,469</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w w:val="100"/>
                <w:sz w:val="21"/>
              </w:rPr>
              <w:t>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7"/>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吴秋华</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68" w:right="0"/>
              <w:jc w:val="left"/>
              <w:rPr>
                <w:rFonts w:ascii="Times New Roman" w:hAnsi="Times New Roman" w:cs="Times New Roman" w:eastAsia="Times New Roman" w:hint="default"/>
                <w:sz w:val="21"/>
                <w:szCs w:val="21"/>
              </w:rPr>
            </w:pPr>
            <w:r>
              <w:rPr>
                <w:rFonts w:ascii="Times New Roman"/>
                <w:sz w:val="21"/>
              </w:rPr>
              <w:t>3.48%</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5"/>
              <w:jc w:val="right"/>
              <w:rPr>
                <w:rFonts w:ascii="Times New Roman" w:hAnsi="Times New Roman" w:cs="Times New Roman" w:eastAsia="Times New Roman" w:hint="default"/>
                <w:sz w:val="21"/>
                <w:szCs w:val="21"/>
              </w:rPr>
            </w:pPr>
            <w:r>
              <w:rPr>
                <w:rFonts w:ascii="Times New Roman"/>
                <w:spacing w:val="-1"/>
                <w:sz w:val="21"/>
              </w:rPr>
              <w:t>4,171,768</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833"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中国建设银行－华商盛</w:t>
            </w:r>
          </w:p>
          <w:p>
            <w:pPr>
              <w:pStyle w:val="TableParagraph"/>
              <w:spacing w:line="272" w:lineRule="exact" w:before="27"/>
              <w:ind w:left="14" w:right="115"/>
              <w:jc w:val="left"/>
              <w:rPr>
                <w:rFonts w:ascii="宋体" w:hAnsi="宋体" w:cs="宋体" w:eastAsia="宋体" w:hint="default"/>
                <w:sz w:val="21"/>
                <w:szCs w:val="21"/>
              </w:rPr>
            </w:pPr>
            <w:r>
              <w:rPr>
                <w:rFonts w:ascii="宋体" w:hAnsi="宋体" w:cs="宋体" w:eastAsia="宋体" w:hint="default"/>
                <w:sz w:val="21"/>
                <w:szCs w:val="21"/>
              </w:rPr>
              <w:t>世成长股票型证券投资</w:t>
            </w:r>
            <w:r>
              <w:rPr>
                <w:rFonts w:ascii="宋体" w:hAnsi="宋体" w:cs="宋体" w:eastAsia="宋体" w:hint="default"/>
                <w:w w:val="100"/>
                <w:sz w:val="21"/>
                <w:szCs w:val="21"/>
              </w:rPr>
              <w:t> </w:t>
            </w:r>
            <w:r>
              <w:rPr>
                <w:rFonts w:ascii="宋体" w:hAnsi="宋体" w:cs="宋体" w:eastAsia="宋体" w:hint="default"/>
                <w:sz w:val="21"/>
                <w:szCs w:val="21"/>
              </w:rPr>
              <w:t>基金</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3.24%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5"/>
              <w:jc w:val="right"/>
              <w:rPr>
                <w:rFonts w:ascii="Times New Roman" w:hAnsi="Times New Roman" w:cs="Times New Roman" w:eastAsia="Times New Roman" w:hint="default"/>
                <w:sz w:val="21"/>
                <w:szCs w:val="21"/>
              </w:rPr>
            </w:pPr>
            <w:r>
              <w:rPr>
                <w:rFonts w:ascii="Times New Roman"/>
                <w:spacing w:val="-1"/>
                <w:sz w:val="21"/>
              </w:rPr>
              <w:t>3,893,383</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6"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王尔琪</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68" w:right="0"/>
              <w:jc w:val="left"/>
              <w:rPr>
                <w:rFonts w:ascii="Times New Roman" w:hAnsi="Times New Roman" w:cs="Times New Roman" w:eastAsia="Times New Roman" w:hint="default"/>
                <w:sz w:val="21"/>
                <w:szCs w:val="21"/>
              </w:rPr>
            </w:pPr>
            <w:r>
              <w:rPr>
                <w:rFonts w:ascii="Times New Roman"/>
                <w:sz w:val="21"/>
              </w:rPr>
              <w:t>3.24%</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85"/>
              <w:jc w:val="right"/>
              <w:rPr>
                <w:rFonts w:ascii="Times New Roman" w:hAnsi="Times New Roman" w:cs="Times New Roman" w:eastAsia="Times New Roman" w:hint="default"/>
                <w:sz w:val="21"/>
                <w:szCs w:val="21"/>
              </w:rPr>
            </w:pPr>
            <w:r>
              <w:rPr>
                <w:rFonts w:ascii="Times New Roman"/>
                <w:spacing w:val="-1"/>
                <w:sz w:val="21"/>
              </w:rPr>
              <w:t>3,891,200</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56" w:right="0"/>
              <w:jc w:val="left"/>
              <w:rPr>
                <w:rFonts w:ascii="Times New Roman" w:hAnsi="Times New Roman" w:cs="Times New Roman" w:eastAsia="Times New Roman" w:hint="default"/>
                <w:sz w:val="21"/>
                <w:szCs w:val="21"/>
              </w:rPr>
            </w:pPr>
            <w:r>
              <w:rPr>
                <w:rFonts w:ascii="Times New Roman"/>
                <w:sz w:val="21"/>
              </w:rPr>
              <w:t>3,891,200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68" w:right="0"/>
              <w:jc w:val="left"/>
              <w:rPr>
                <w:rFonts w:ascii="Times New Roman" w:hAnsi="Times New Roman" w:cs="Times New Roman" w:eastAsia="Times New Roman" w:hint="default"/>
                <w:sz w:val="21"/>
                <w:szCs w:val="21"/>
              </w:rPr>
            </w:pPr>
            <w:r>
              <w:rPr>
                <w:rFonts w:ascii="Times New Roman"/>
                <w:sz w:val="21"/>
              </w:rPr>
              <w:t>3.20%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5"/>
              <w:jc w:val="right"/>
              <w:rPr>
                <w:rFonts w:ascii="Times New Roman" w:hAnsi="Times New Roman" w:cs="Times New Roman" w:eastAsia="Times New Roman" w:hint="default"/>
                <w:sz w:val="21"/>
                <w:szCs w:val="21"/>
              </w:rPr>
            </w:pPr>
            <w:r>
              <w:rPr>
                <w:rFonts w:ascii="Times New Roman"/>
                <w:spacing w:val="-1"/>
                <w:sz w:val="21"/>
              </w:rPr>
              <w:t>3,840,000</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56" w:right="0"/>
              <w:jc w:val="left"/>
              <w:rPr>
                <w:rFonts w:ascii="Times New Roman" w:hAnsi="Times New Roman" w:cs="Times New Roman" w:eastAsia="Times New Roman" w:hint="default"/>
                <w:sz w:val="21"/>
                <w:szCs w:val="21"/>
              </w:rPr>
            </w:pPr>
            <w:r>
              <w:rPr>
                <w:rFonts w:ascii="Times New Roman"/>
                <w:sz w:val="21"/>
              </w:rPr>
              <w:t>3,840,000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梁军</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68" w:right="0"/>
              <w:jc w:val="left"/>
              <w:rPr>
                <w:rFonts w:ascii="Times New Roman" w:hAnsi="Times New Roman" w:cs="Times New Roman" w:eastAsia="Times New Roman" w:hint="default"/>
                <w:sz w:val="21"/>
                <w:szCs w:val="21"/>
              </w:rPr>
            </w:pPr>
            <w:r>
              <w:rPr>
                <w:rFonts w:ascii="Times New Roman"/>
                <w:sz w:val="21"/>
              </w:rPr>
              <w:t>3.20%</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85"/>
              <w:jc w:val="right"/>
              <w:rPr>
                <w:rFonts w:ascii="Times New Roman" w:hAnsi="Times New Roman" w:cs="Times New Roman" w:eastAsia="Times New Roman" w:hint="default"/>
                <w:sz w:val="21"/>
                <w:szCs w:val="21"/>
              </w:rPr>
            </w:pPr>
            <w:r>
              <w:rPr>
                <w:rFonts w:ascii="Times New Roman"/>
                <w:spacing w:val="-1"/>
                <w:sz w:val="21"/>
              </w:rPr>
              <w:t>3,840,000</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56" w:right="0"/>
              <w:jc w:val="left"/>
              <w:rPr>
                <w:rFonts w:ascii="Times New Roman" w:hAnsi="Times New Roman" w:cs="Times New Roman" w:eastAsia="Times New Roman" w:hint="default"/>
                <w:sz w:val="21"/>
                <w:szCs w:val="21"/>
              </w:rPr>
            </w:pPr>
            <w:r>
              <w:rPr>
                <w:rFonts w:ascii="Times New Roman"/>
                <w:sz w:val="21"/>
              </w:rPr>
              <w:t>3,840,000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833"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中国工商银行－易方达</w:t>
            </w:r>
          </w:p>
          <w:p>
            <w:pPr>
              <w:pStyle w:val="TableParagraph"/>
              <w:spacing w:line="272" w:lineRule="exact" w:before="27"/>
              <w:ind w:left="14" w:right="115"/>
              <w:jc w:val="left"/>
              <w:rPr>
                <w:rFonts w:ascii="宋体" w:hAnsi="宋体" w:cs="宋体" w:eastAsia="宋体" w:hint="default"/>
                <w:sz w:val="21"/>
                <w:szCs w:val="21"/>
              </w:rPr>
            </w:pPr>
            <w:r>
              <w:rPr>
                <w:rFonts w:ascii="宋体" w:hAnsi="宋体" w:cs="宋体" w:eastAsia="宋体" w:hint="default"/>
                <w:sz w:val="21"/>
                <w:szCs w:val="21"/>
              </w:rPr>
              <w:t>价值成长混合型证券投</w:t>
            </w:r>
            <w:r>
              <w:rPr>
                <w:rFonts w:ascii="宋体" w:hAnsi="宋体" w:cs="宋体" w:eastAsia="宋体" w:hint="default"/>
                <w:w w:val="100"/>
                <w:sz w:val="21"/>
                <w:szCs w:val="21"/>
              </w:rPr>
              <w:t> </w:t>
            </w:r>
            <w:r>
              <w:rPr>
                <w:rFonts w:ascii="宋体" w:hAnsi="宋体" w:cs="宋体" w:eastAsia="宋体" w:hint="default"/>
                <w:sz w:val="21"/>
                <w:szCs w:val="21"/>
              </w:rPr>
              <w:t>资基金</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left"/>
              <w:rPr>
                <w:rFonts w:ascii="宋体" w:hAnsi="宋体" w:cs="宋体" w:eastAsia="宋体" w:hint="default"/>
                <w:sz w:val="21"/>
                <w:szCs w:val="21"/>
              </w:rPr>
            </w:pPr>
            <w:r>
              <w:rPr>
                <w:rFonts w:ascii="宋体" w:hAnsi="宋体" w:cs="宋体" w:eastAsia="宋体" w:hint="default"/>
                <w:sz w:val="21"/>
                <w:szCs w:val="21"/>
              </w:rPr>
              <w:t>境内非国有法人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1" w:right="0"/>
              <w:jc w:val="left"/>
              <w:rPr>
                <w:rFonts w:ascii="Times New Roman" w:hAnsi="Times New Roman" w:cs="Times New Roman" w:eastAsia="Times New Roman" w:hint="default"/>
                <w:sz w:val="21"/>
                <w:szCs w:val="21"/>
              </w:rPr>
            </w:pPr>
            <w:r>
              <w:rPr>
                <w:rFonts w:ascii="Times New Roman"/>
                <w:sz w:val="21"/>
              </w:rPr>
              <w:t>3.11%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85"/>
              <w:jc w:val="right"/>
              <w:rPr>
                <w:rFonts w:ascii="Times New Roman" w:hAnsi="Times New Roman" w:cs="Times New Roman" w:eastAsia="Times New Roman" w:hint="default"/>
                <w:sz w:val="21"/>
                <w:szCs w:val="21"/>
              </w:rPr>
            </w:pPr>
            <w:r>
              <w:rPr>
                <w:rFonts w:ascii="Times New Roman"/>
                <w:spacing w:val="-1"/>
                <w:sz w:val="21"/>
              </w:rPr>
              <w:t>3,729,172</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6" w:hRule="exact"/>
        </w:trPr>
        <w:tc>
          <w:tcPr>
            <w:tcW w:w="225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东方证券股份有限公司</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0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68" w:right="0"/>
              <w:jc w:val="left"/>
              <w:rPr>
                <w:rFonts w:ascii="Times New Roman" w:hAnsi="Times New Roman" w:cs="Times New Roman" w:eastAsia="Times New Roman" w:hint="default"/>
                <w:sz w:val="21"/>
                <w:szCs w:val="21"/>
              </w:rPr>
            </w:pPr>
            <w:r>
              <w:rPr>
                <w:rFonts w:ascii="Times New Roman"/>
                <w:sz w:val="21"/>
              </w:rPr>
              <w:t>2.81%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85"/>
              <w:jc w:val="right"/>
              <w:rPr>
                <w:rFonts w:ascii="Times New Roman" w:hAnsi="Times New Roman" w:cs="Times New Roman" w:eastAsia="Times New Roman" w:hint="default"/>
                <w:sz w:val="21"/>
                <w:szCs w:val="21"/>
              </w:rPr>
            </w:pPr>
            <w:r>
              <w:rPr>
                <w:rFonts w:ascii="Times New Roman"/>
                <w:spacing w:val="-1"/>
                <w:sz w:val="21"/>
              </w:rPr>
              <w:t>3,374,818</w:t>
            </w:r>
          </w:p>
        </w:tc>
        <w:tc>
          <w:tcPr>
            <w:tcW w:w="13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0</w:t>
            </w:r>
          </w:p>
        </w:tc>
        <w:tc>
          <w:tcPr>
            <w:tcW w:w="122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7"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288" w:hRule="exact"/>
        </w:trPr>
        <w:tc>
          <w:tcPr>
            <w:tcW w:w="8750" w:type="dxa"/>
            <w:gridSpan w:val="9"/>
            <w:tcBorders>
              <w:top w:val="single" w:sz="6" w:space="0" w:color="000000"/>
              <w:left w:val="single" w:sz="12" w:space="0" w:color="000000"/>
              <w:bottom w:val="single" w:sz="6" w:space="0" w:color="000000"/>
              <w:right w:val="single" w:sz="12" w:space="0" w:color="000000"/>
            </w:tcBorders>
          </w:tcPr>
          <w:p>
            <w:pPr>
              <w:pStyle w:val="TableParagraph"/>
              <w:spacing w:line="259" w:lineRule="exact"/>
              <w:ind w:left="2830" w:right="0"/>
              <w:jc w:val="left"/>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559"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47"/>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42"/>
              <w:jc w:val="center"/>
              <w:rPr>
                <w:rFonts w:ascii="宋体" w:hAnsi="宋体" w:cs="宋体" w:eastAsia="宋体" w:hint="default"/>
                <w:sz w:val="21"/>
                <w:szCs w:val="21"/>
              </w:rPr>
            </w:pPr>
            <w:r>
              <w:rPr>
                <w:rFonts w:ascii="宋体" w:hAnsi="宋体" w:cs="宋体" w:eastAsia="宋体" w:hint="default"/>
                <w:b/>
                <w:bCs/>
                <w:sz w:val="21"/>
                <w:szCs w:val="21"/>
              </w:rPr>
              <w:t>持有无限售条件股份</w:t>
            </w:r>
            <w:r>
              <w:rPr>
                <w:rFonts w:ascii="宋体" w:hAnsi="宋体" w:cs="宋体" w:eastAsia="宋体" w:hint="default"/>
                <w:sz w:val="21"/>
                <w:szCs w:val="21"/>
              </w:rPr>
            </w:r>
          </w:p>
          <w:p>
            <w:pPr>
              <w:pStyle w:val="TableParagraph"/>
              <w:spacing w:line="274" w:lineRule="exact"/>
              <w:ind w:right="43"/>
              <w:jc w:val="center"/>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686" w:right="0"/>
              <w:jc w:val="left"/>
              <w:rPr>
                <w:rFonts w:ascii="宋体" w:hAnsi="宋体" w:cs="宋体" w:eastAsia="宋体" w:hint="default"/>
                <w:sz w:val="21"/>
                <w:szCs w:val="21"/>
              </w:rPr>
            </w:pPr>
            <w:r>
              <w:rPr>
                <w:rFonts w:ascii="宋体" w:hAnsi="宋体" w:cs="宋体" w:eastAsia="宋体" w:hint="default"/>
                <w:b/>
                <w:bCs/>
                <w:sz w:val="21"/>
                <w:szCs w:val="21"/>
              </w:rPr>
              <w:t>股份种类</w:t>
            </w:r>
            <w:r>
              <w:rPr>
                <w:rFonts w:ascii="宋体" w:hAnsi="宋体" w:cs="宋体" w:eastAsia="宋体" w:hint="default"/>
                <w:sz w:val="21"/>
                <w:szCs w:val="21"/>
              </w:rPr>
            </w:r>
          </w:p>
        </w:tc>
      </w:tr>
      <w:tr>
        <w:trPr>
          <w:trHeight w:val="288"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3"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5" w:right="0"/>
              <w:jc w:val="left"/>
              <w:rPr>
                <w:rFonts w:ascii="Times New Roman" w:hAnsi="Times New Roman" w:cs="Times New Roman" w:eastAsia="Times New Roman" w:hint="default"/>
                <w:sz w:val="21"/>
                <w:szCs w:val="21"/>
              </w:rPr>
            </w:pPr>
            <w:r>
              <w:rPr>
                <w:rFonts w:ascii="Times New Roman"/>
                <w:sz w:val="21"/>
              </w:rPr>
              <w:t>6,481,469</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吴秋华</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5" w:right="0"/>
              <w:jc w:val="left"/>
              <w:rPr>
                <w:rFonts w:ascii="Times New Roman" w:hAnsi="Times New Roman" w:cs="Times New Roman" w:eastAsia="Times New Roman" w:hint="default"/>
                <w:sz w:val="21"/>
                <w:szCs w:val="21"/>
              </w:rPr>
            </w:pPr>
            <w:r>
              <w:rPr>
                <w:rFonts w:ascii="Times New Roman"/>
                <w:sz w:val="21"/>
              </w:rPr>
              <w:t>4,171,768</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39"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中国建设银行－华商盛世成长股票型证券投资</w:t>
            </w:r>
          </w:p>
          <w:p>
            <w:pPr>
              <w:pStyle w:val="TableParagraph"/>
              <w:spacing w:line="273" w:lineRule="exact"/>
              <w:ind w:left="14"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575" w:right="0"/>
              <w:jc w:val="left"/>
              <w:rPr>
                <w:rFonts w:ascii="Times New Roman" w:hAnsi="Times New Roman" w:cs="Times New Roman" w:eastAsia="Times New Roman" w:hint="default"/>
                <w:sz w:val="21"/>
                <w:szCs w:val="21"/>
              </w:rPr>
            </w:pPr>
            <w:r>
              <w:rPr>
                <w:rFonts w:ascii="Times New Roman"/>
                <w:sz w:val="21"/>
              </w:rPr>
              <w:t>3,893,383</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中国工商银行－易方达价值成长混合型证券投</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资基金</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575" w:right="0"/>
              <w:jc w:val="left"/>
              <w:rPr>
                <w:rFonts w:ascii="Times New Roman" w:hAnsi="Times New Roman" w:cs="Times New Roman" w:eastAsia="Times New Roman" w:hint="default"/>
                <w:sz w:val="21"/>
                <w:szCs w:val="21"/>
              </w:rPr>
            </w:pPr>
            <w:r>
              <w:rPr>
                <w:rFonts w:ascii="Times New Roman"/>
                <w:sz w:val="21"/>
              </w:rPr>
              <w:t>3,729,172</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东方证券股份有限公司</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5" w:right="0"/>
              <w:jc w:val="left"/>
              <w:rPr>
                <w:rFonts w:ascii="Times New Roman" w:hAnsi="Times New Roman" w:cs="Times New Roman" w:eastAsia="Times New Roman" w:hint="default"/>
                <w:sz w:val="21"/>
                <w:szCs w:val="21"/>
              </w:rPr>
            </w:pPr>
            <w:r>
              <w:rPr>
                <w:rFonts w:ascii="Times New Roman"/>
                <w:sz w:val="21"/>
              </w:rPr>
              <w:t>3,374,818</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中国民生银行－华商策略精选灵活配置混合型</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证券投资基金</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575" w:right="0"/>
              <w:jc w:val="left"/>
              <w:rPr>
                <w:rFonts w:ascii="Times New Roman" w:hAnsi="Times New Roman" w:cs="Times New Roman" w:eastAsia="Times New Roman" w:hint="default"/>
                <w:sz w:val="21"/>
                <w:szCs w:val="21"/>
              </w:rPr>
            </w:pPr>
            <w:r>
              <w:rPr>
                <w:rFonts w:ascii="Times New Roman"/>
                <w:sz w:val="21"/>
              </w:rPr>
              <w:t>3,105,354</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全国社会保障基金理事会转持三户</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5" w:right="0"/>
              <w:jc w:val="left"/>
              <w:rPr>
                <w:rFonts w:ascii="Times New Roman" w:hAnsi="Times New Roman" w:cs="Times New Roman" w:eastAsia="Times New Roman" w:hint="default"/>
                <w:sz w:val="21"/>
                <w:szCs w:val="21"/>
              </w:rPr>
            </w:pPr>
            <w:r>
              <w:rPr>
                <w:rFonts w:ascii="Times New Roman"/>
                <w:sz w:val="21"/>
              </w:rPr>
              <w:t>2,049,731</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0" w:lineRule="exact"/>
              <w:ind w:left="14" w:right="0"/>
              <w:jc w:val="left"/>
              <w:rPr>
                <w:rFonts w:ascii="宋体" w:hAnsi="宋体" w:cs="宋体" w:eastAsia="宋体" w:hint="default"/>
                <w:sz w:val="21"/>
                <w:szCs w:val="21"/>
              </w:rPr>
            </w:pPr>
            <w:r>
              <w:rPr>
                <w:rFonts w:ascii="宋体" w:hAnsi="宋体" w:cs="宋体" w:eastAsia="宋体" w:hint="default"/>
                <w:sz w:val="21"/>
                <w:szCs w:val="21"/>
              </w:rPr>
              <w:t>中国光大银行股份有限公司－泰信先行策略开</w:t>
            </w:r>
          </w:p>
          <w:p>
            <w:pPr>
              <w:pStyle w:val="TableParagraph"/>
              <w:spacing w:line="274" w:lineRule="exact"/>
              <w:ind w:left="14" w:right="0"/>
              <w:jc w:val="left"/>
              <w:rPr>
                <w:rFonts w:ascii="宋体" w:hAnsi="宋体" w:cs="宋体" w:eastAsia="宋体" w:hint="default"/>
                <w:sz w:val="21"/>
                <w:szCs w:val="21"/>
              </w:rPr>
            </w:pPr>
            <w:r>
              <w:rPr>
                <w:rFonts w:ascii="宋体" w:hAnsi="宋体" w:cs="宋体" w:eastAsia="宋体" w:hint="default"/>
                <w:sz w:val="21"/>
                <w:szCs w:val="21"/>
              </w:rPr>
              <w:t>放式证券投资基金</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575" w:right="0"/>
              <w:jc w:val="left"/>
              <w:rPr>
                <w:rFonts w:ascii="Times New Roman" w:hAnsi="Times New Roman" w:cs="Times New Roman" w:eastAsia="Times New Roman" w:hint="default"/>
                <w:sz w:val="21"/>
                <w:szCs w:val="21"/>
              </w:rPr>
            </w:pPr>
            <w:r>
              <w:rPr>
                <w:rFonts w:ascii="Times New Roman"/>
                <w:sz w:val="21"/>
              </w:rPr>
              <w:t>1,928,259</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48" w:lineRule="exact"/>
              <w:ind w:left="14" w:right="0"/>
              <w:jc w:val="left"/>
              <w:rPr>
                <w:rFonts w:ascii="宋体" w:hAnsi="宋体" w:cs="宋体" w:eastAsia="宋体" w:hint="default"/>
                <w:sz w:val="21"/>
                <w:szCs w:val="21"/>
              </w:rPr>
            </w:pPr>
            <w:r>
              <w:rPr>
                <w:rFonts w:ascii="宋体" w:hAnsi="宋体" w:cs="宋体" w:eastAsia="宋体" w:hint="default"/>
                <w:sz w:val="21"/>
                <w:szCs w:val="21"/>
              </w:rPr>
              <w:t>华润深国投信托有限公司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博颐</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期证券投资信</w:t>
            </w:r>
          </w:p>
          <w:p>
            <w:pPr>
              <w:pStyle w:val="TableParagraph"/>
              <w:spacing w:line="266" w:lineRule="exact"/>
              <w:ind w:left="14" w:right="0"/>
              <w:jc w:val="left"/>
              <w:rPr>
                <w:rFonts w:ascii="宋体" w:hAnsi="宋体" w:cs="宋体" w:eastAsia="宋体" w:hint="default"/>
                <w:sz w:val="21"/>
                <w:szCs w:val="21"/>
              </w:rPr>
            </w:pPr>
            <w:r>
              <w:rPr>
                <w:rFonts w:ascii="宋体" w:hAnsi="宋体" w:cs="宋体" w:eastAsia="宋体" w:hint="default"/>
                <w:sz w:val="21"/>
                <w:szCs w:val="21"/>
              </w:rPr>
              <w:t>托计划</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575" w:right="0"/>
              <w:jc w:val="left"/>
              <w:rPr>
                <w:rFonts w:ascii="Times New Roman" w:hAnsi="Times New Roman" w:cs="Times New Roman" w:eastAsia="Times New Roman" w:hint="default"/>
                <w:sz w:val="21"/>
                <w:szCs w:val="21"/>
              </w:rPr>
            </w:pPr>
            <w:r>
              <w:rPr>
                <w:rFonts w:ascii="Times New Roman"/>
                <w:sz w:val="21"/>
              </w:rPr>
              <w:t>1,591,883</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46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57" w:lineRule="exact"/>
              <w:ind w:left="14" w:right="0"/>
              <w:jc w:val="left"/>
              <w:rPr>
                <w:rFonts w:ascii="宋体" w:hAnsi="宋体" w:cs="宋体" w:eastAsia="宋体" w:hint="default"/>
                <w:sz w:val="21"/>
                <w:szCs w:val="21"/>
              </w:rPr>
            </w:pPr>
            <w:r>
              <w:rPr>
                <w:rFonts w:ascii="宋体" w:hAnsi="宋体" w:cs="宋体" w:eastAsia="宋体" w:hint="default"/>
                <w:sz w:val="21"/>
                <w:szCs w:val="21"/>
              </w:rPr>
              <w:t>东证资管－工行－东方红</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号集合资产管理计划</w:t>
            </w:r>
          </w:p>
        </w:tc>
        <w:tc>
          <w:tcPr>
            <w:tcW w:w="20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5" w:right="0"/>
              <w:jc w:val="left"/>
              <w:rPr>
                <w:rFonts w:ascii="Times New Roman" w:hAnsi="Times New Roman" w:cs="Times New Roman" w:eastAsia="Times New Roman" w:hint="default"/>
                <w:sz w:val="21"/>
                <w:szCs w:val="21"/>
              </w:rPr>
            </w:pPr>
            <w:r>
              <w:rPr>
                <w:rFonts w:ascii="Times New Roman"/>
                <w:sz w:val="21"/>
              </w:rPr>
              <w:t>1,570,152</w:t>
            </w:r>
          </w:p>
        </w:tc>
        <w:tc>
          <w:tcPr>
            <w:tcW w:w="2233"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19"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40" w:hRule="exact"/>
        </w:trPr>
        <w:tc>
          <w:tcPr>
            <w:tcW w:w="2257" w:type="dxa"/>
            <w:tcBorders>
              <w:top w:val="single" w:sz="6" w:space="0" w:color="000000"/>
              <w:left w:val="single" w:sz="12" w:space="0" w:color="000000"/>
              <w:bottom w:val="single" w:sz="12" w:space="0" w:color="000000"/>
              <w:right w:val="single" w:sz="6" w:space="0" w:color="000000"/>
            </w:tcBorders>
          </w:tcPr>
          <w:p>
            <w:pPr>
              <w:pStyle w:val="TableParagraph"/>
              <w:spacing w:line="272" w:lineRule="exact" w:before="131"/>
              <w:ind w:left="482" w:right="67" w:hanging="420"/>
              <w:jc w:val="left"/>
              <w:rPr>
                <w:rFonts w:ascii="宋体" w:hAnsi="宋体" w:cs="宋体" w:eastAsia="宋体" w:hint="default"/>
                <w:sz w:val="21"/>
                <w:szCs w:val="21"/>
              </w:rPr>
            </w:pPr>
            <w:r>
              <w:rPr>
                <w:rFonts w:ascii="宋体" w:hAnsi="宋体" w:cs="宋体" w:eastAsia="宋体" w:hint="default"/>
                <w:sz w:val="21"/>
                <w:szCs w:val="21"/>
              </w:rPr>
              <w:t>上述股东关联关系或一</w:t>
            </w:r>
            <w:r>
              <w:rPr>
                <w:rFonts w:ascii="宋体" w:hAnsi="宋体" w:cs="宋体" w:eastAsia="宋体" w:hint="default"/>
                <w:w w:val="100"/>
                <w:sz w:val="21"/>
                <w:szCs w:val="21"/>
              </w:rPr>
              <w:t> </w:t>
            </w:r>
            <w:r>
              <w:rPr>
                <w:rFonts w:ascii="宋体" w:hAnsi="宋体" w:cs="宋体" w:eastAsia="宋体" w:hint="default"/>
                <w:sz w:val="21"/>
                <w:szCs w:val="21"/>
              </w:rPr>
              <w:t>致行动的说明</w:t>
            </w:r>
          </w:p>
        </w:tc>
        <w:tc>
          <w:tcPr>
            <w:tcW w:w="6493" w:type="dxa"/>
            <w:gridSpan w:val="8"/>
            <w:tcBorders>
              <w:top w:val="single" w:sz="6" w:space="0" w:color="000000"/>
              <w:left w:val="single" w:sz="6" w:space="0" w:color="000000"/>
              <w:bottom w:val="single" w:sz="12" w:space="0" w:color="000000"/>
              <w:right w:val="single" w:sz="12" w:space="0" w:color="000000"/>
            </w:tcBorders>
          </w:tcPr>
          <w:p>
            <w:pPr>
              <w:pStyle w:val="TableParagraph"/>
              <w:spacing w:line="248" w:lineRule="exact"/>
              <w:ind w:left="19" w:right="0"/>
              <w:jc w:val="left"/>
              <w:rPr>
                <w:rFonts w:ascii="宋体" w:hAnsi="宋体" w:cs="宋体" w:eastAsia="宋体" w:hint="default"/>
                <w:sz w:val="21"/>
                <w:szCs w:val="21"/>
              </w:rPr>
            </w:pPr>
            <w:r>
              <w:rPr>
                <w:rFonts w:ascii="宋体" w:hAnsi="宋体" w:cs="宋体" w:eastAsia="宋体" w:hint="default"/>
                <w:sz w:val="21"/>
                <w:szCs w:val="21"/>
              </w:rPr>
              <w:t>前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大股东之间不存在关联关系</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不属于一致行动人。公司未知前十名</w:t>
            </w:r>
          </w:p>
          <w:p>
            <w:pPr>
              <w:pStyle w:val="TableParagraph"/>
              <w:spacing w:line="272" w:lineRule="exact" w:before="19"/>
              <w:ind w:left="19" w:right="9"/>
              <w:jc w:val="left"/>
              <w:rPr>
                <w:rFonts w:ascii="宋体" w:hAnsi="宋体" w:cs="宋体" w:eastAsia="宋体" w:hint="default"/>
                <w:sz w:val="21"/>
                <w:szCs w:val="21"/>
              </w:rPr>
            </w:pPr>
            <w:r>
              <w:rPr>
                <w:rFonts w:ascii="宋体" w:hAnsi="宋体" w:cs="宋体" w:eastAsia="宋体" w:hint="default"/>
                <w:spacing w:val="-4"/>
                <w:sz w:val="21"/>
                <w:szCs w:val="21"/>
              </w:rPr>
              <w:t>无限售条件股东之间是否存在关联关系，也未知是否属于《上市公司信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息披露管理办法》中规定的一致行动人。</w:t>
            </w:r>
          </w:p>
        </w:tc>
      </w:tr>
    </w:tbl>
    <w:p>
      <w:pPr>
        <w:spacing w:after="0" w:line="272" w:lineRule="exact"/>
        <w:jc w:val="left"/>
        <w:rPr>
          <w:rFonts w:ascii="宋体" w:hAnsi="宋体" w:cs="宋体" w:eastAsia="宋体" w:hint="default"/>
          <w:sz w:val="21"/>
          <w:szCs w:val="21"/>
        </w:rPr>
        <w:sectPr>
          <w:type w:val="continuous"/>
          <w:pgSz w:w="11910" w:h="16840"/>
          <w:pgMar w:top="440" w:bottom="280" w:left="1640" w:right="1240"/>
        </w:sectPr>
      </w:pPr>
    </w:p>
    <w:p>
      <w:pPr>
        <w:spacing w:line="240" w:lineRule="auto" w:before="1"/>
        <w:rPr>
          <w:rFonts w:ascii="宋体" w:hAnsi="宋体" w:cs="宋体" w:eastAsia="宋体" w:hint="default"/>
          <w:sz w:val="17"/>
          <w:szCs w:val="17"/>
        </w:rPr>
      </w:pPr>
    </w:p>
    <w:p>
      <w:pPr>
        <w:pStyle w:val="Heading3"/>
        <w:spacing w:line="240" w:lineRule="auto" w:before="7"/>
        <w:ind w:right="124"/>
        <w:jc w:val="left"/>
        <w:rPr>
          <w:b w:val="0"/>
          <w:bCs w:val="0"/>
        </w:rPr>
      </w:pPr>
      <w:bookmarkStart w:name="_TOC_250026" w:id="62"/>
      <w:r>
        <w:rPr/>
        <w:t>三、证券发行与上市情况</w:t>
      </w:r>
      <w:bookmarkEnd w:id="62"/>
      <w:r>
        <w:rPr>
          <w:b w:val="0"/>
          <w:bCs w:val="0"/>
        </w:rPr>
      </w:r>
    </w:p>
    <w:p>
      <w:pPr>
        <w:spacing w:line="240" w:lineRule="auto" w:before="10"/>
        <w:rPr>
          <w:rFonts w:ascii="宋体" w:hAnsi="宋体" w:cs="宋体" w:eastAsia="宋体" w:hint="default"/>
          <w:b/>
          <w:bCs/>
          <w:sz w:val="43"/>
          <w:szCs w:val="43"/>
        </w:rPr>
      </w:pPr>
    </w:p>
    <w:p>
      <w:pPr>
        <w:pStyle w:val="Heading5"/>
        <w:spacing w:line="240" w:lineRule="auto"/>
        <w:ind w:right="124"/>
        <w:jc w:val="left"/>
        <w:rPr>
          <w:b w:val="0"/>
          <w:bCs w:val="0"/>
        </w:rPr>
      </w:pPr>
      <w:r>
        <w:rPr/>
        <w:t>（一）报告期股份发行及上市情况</w:t>
      </w:r>
      <w:r>
        <w:rPr>
          <w:b w:val="0"/>
          <w:bCs w:val="0"/>
        </w:rPr>
      </w:r>
    </w:p>
    <w:p>
      <w:pPr>
        <w:spacing w:line="240" w:lineRule="auto" w:before="6"/>
        <w:rPr>
          <w:rFonts w:ascii="宋体" w:hAnsi="宋体" w:cs="宋体" w:eastAsia="宋体" w:hint="default"/>
          <w:b/>
          <w:bCs/>
          <w:sz w:val="35"/>
          <w:szCs w:val="35"/>
        </w:rPr>
      </w:pPr>
    </w:p>
    <w:p>
      <w:pPr>
        <w:pStyle w:val="BodyText"/>
        <w:spacing w:line="240" w:lineRule="auto"/>
        <w:ind w:left="618" w:right="0"/>
        <w:jc w:val="left"/>
        <w:rPr>
          <w:rFonts w:ascii="Times New Roman" w:hAnsi="Times New Roman" w:cs="Times New Roman" w:eastAsia="Times New Roman" w:hint="default"/>
        </w:rPr>
      </w:pPr>
      <w:r>
        <w:rPr/>
        <w:t>报告期内，公司实施了 </w:t>
      </w:r>
      <w:r>
        <w:rPr>
          <w:rFonts w:ascii="Times New Roman" w:hAnsi="Times New Roman" w:cs="Times New Roman" w:eastAsia="Times New Roman" w:hint="default"/>
        </w:rPr>
        <w:t>2010 </w:t>
      </w:r>
      <w:r>
        <w:rPr/>
        <w:t>年利润分配方案，即以 </w:t>
      </w:r>
      <w:r>
        <w:rPr>
          <w:rFonts w:ascii="Times New Roman" w:hAnsi="Times New Roman" w:cs="Times New Roman" w:eastAsia="Times New Roman" w:hint="default"/>
        </w:rPr>
        <w:t>7,500 </w:t>
      </w:r>
      <w:r>
        <w:rPr/>
        <w:t>万股为基数，每</w:t>
      </w:r>
      <w:r>
        <w:rPr>
          <w:spacing w:val="-8"/>
        </w:rPr>
        <w:t> </w:t>
      </w:r>
      <w:r>
        <w:rPr>
          <w:rFonts w:ascii="Times New Roman" w:hAnsi="Times New Roman" w:cs="Times New Roman" w:eastAsia="Times New Roman" w:hint="default"/>
        </w:rPr>
        <w:t>10</w:t>
      </w:r>
    </w:p>
    <w:p>
      <w:pPr>
        <w:pStyle w:val="BodyText"/>
        <w:spacing w:line="240" w:lineRule="auto" w:before="133"/>
        <w:ind w:right="0"/>
        <w:jc w:val="left"/>
      </w:pPr>
      <w:r>
        <w:rPr/>
        <w:t>股派发现金红利</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元</w:t>
      </w:r>
      <w:r>
        <w:rPr>
          <w:spacing w:val="-3"/>
        </w:rPr>
        <w:t>（</w:t>
      </w:r>
      <w:r>
        <w:rPr/>
        <w:t>含税</w:t>
      </w:r>
      <w:r>
        <w:rPr>
          <w:spacing w:val="-120"/>
        </w:rPr>
        <w:t>）</w:t>
      </w:r>
      <w:r>
        <w:rPr/>
        <w:t>，并以资本公积金向全体股东每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spacing w:val="-3"/>
        </w:rPr>
        <w:t>股</w:t>
      </w:r>
      <w:r>
        <w:rPr/>
        <w:t>转增股本</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股，</w:t>
      </w:r>
    </w:p>
    <w:p>
      <w:pPr>
        <w:pStyle w:val="BodyText"/>
        <w:spacing w:line="240" w:lineRule="auto" w:before="135"/>
        <w:ind w:right="124"/>
        <w:jc w:val="left"/>
      </w:pPr>
      <w:r>
        <w:rPr/>
        <w:t>公司的股本总数因此由</w:t>
      </w:r>
      <w:r>
        <w:rPr>
          <w:spacing w:val="-60"/>
        </w:rPr>
        <w:t> </w:t>
      </w:r>
      <w:r>
        <w:rPr>
          <w:rFonts w:ascii="Times New Roman" w:hAnsi="Times New Roman" w:cs="Times New Roman" w:eastAsia="Times New Roman" w:hint="default"/>
        </w:rPr>
        <w:t>7,500 </w:t>
      </w:r>
      <w:r>
        <w:rPr/>
        <w:t>万股增加至</w:t>
      </w:r>
      <w:r>
        <w:rPr>
          <w:spacing w:val="-60"/>
        </w:rPr>
        <w:t> </w:t>
      </w:r>
      <w:r>
        <w:rPr>
          <w:rFonts w:ascii="Times New Roman" w:hAnsi="Times New Roman" w:cs="Times New Roman" w:eastAsia="Times New Roman" w:hint="default"/>
        </w:rPr>
        <w:t>12,000 </w:t>
      </w:r>
      <w:r>
        <w:rPr/>
        <w:t>万股。</w:t>
      </w:r>
    </w:p>
    <w:p>
      <w:pPr>
        <w:spacing w:line="240" w:lineRule="auto" w:before="9"/>
        <w:rPr>
          <w:rFonts w:ascii="宋体" w:hAnsi="宋体" w:cs="宋体" w:eastAsia="宋体" w:hint="default"/>
          <w:sz w:val="31"/>
          <w:szCs w:val="31"/>
        </w:rPr>
      </w:pPr>
    </w:p>
    <w:p>
      <w:pPr>
        <w:pStyle w:val="Heading5"/>
        <w:spacing w:line="240" w:lineRule="auto"/>
        <w:ind w:right="124"/>
        <w:jc w:val="left"/>
        <w:rPr>
          <w:b w:val="0"/>
          <w:bCs w:val="0"/>
        </w:rPr>
      </w:pPr>
      <w:r>
        <w:rPr/>
        <w:t>（二）报告期股份结构变动情况</w:t>
      </w:r>
      <w:r>
        <w:rPr>
          <w:b w:val="0"/>
          <w:bCs w:val="0"/>
        </w:rPr>
      </w:r>
    </w:p>
    <w:p>
      <w:pPr>
        <w:spacing w:line="240" w:lineRule="auto" w:before="6"/>
        <w:rPr>
          <w:rFonts w:ascii="宋体" w:hAnsi="宋体" w:cs="宋体" w:eastAsia="宋体" w:hint="default"/>
          <w:b/>
          <w:bCs/>
          <w:sz w:val="35"/>
          <w:szCs w:val="35"/>
        </w:rPr>
      </w:pPr>
    </w:p>
    <w:p>
      <w:pPr>
        <w:pStyle w:val="BodyText"/>
        <w:spacing w:line="336" w:lineRule="auto"/>
        <w:ind w:right="135"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6"/>
        </w:rPr>
        <w:t> </w:t>
      </w:r>
      <w:r>
        <w:rPr/>
        <w:t>日，公司上市发行网下配售的股份</w:t>
      </w:r>
      <w:r>
        <w:rPr>
          <w:spacing w:val="-44"/>
        </w:rPr>
        <w:t> </w:t>
      </w:r>
      <w:r>
        <w:rPr>
          <w:rFonts w:ascii="Times New Roman" w:hAnsi="Times New Roman" w:cs="Times New Roman" w:eastAsia="Times New Roman" w:hint="default"/>
        </w:rPr>
        <w:t>380</w:t>
      </w:r>
      <w:r>
        <w:rPr>
          <w:rFonts w:ascii="Times New Roman" w:hAnsi="Times New Roman" w:cs="Times New Roman" w:eastAsia="Times New Roman" w:hint="default"/>
          <w:spacing w:val="15"/>
        </w:rPr>
        <w:t> </w:t>
      </w:r>
      <w:r>
        <w:rPr/>
        <w:t>万股锁定三个月期满， 解除限售，可上市流通。</w:t>
      </w:r>
    </w:p>
    <w:p>
      <w:pPr>
        <w:pStyle w:val="BodyText"/>
        <w:spacing w:line="343" w:lineRule="auto" w:before="58"/>
        <w:ind w:right="132" w:firstLine="47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25</w:t>
      </w:r>
      <w:r>
        <w:rPr>
          <w:rFonts w:ascii="Times New Roman" w:hAnsi="Times New Roman" w:cs="Times New Roman" w:eastAsia="Times New Roman" w:hint="default"/>
          <w:spacing w:val="-2"/>
        </w:rPr>
        <w:t> </w:t>
      </w:r>
      <w:r>
        <w:rPr/>
        <w:t>日，公司上市前股东高投名力成长创业投资有限公司、中国科 学院地理科学与资源研究所、江苏高科技投资集团有限公司、全国社会保障基金理</w:t>
      </w:r>
      <w:r>
        <w:rPr>
          <w:spacing w:val="-77"/>
        </w:rPr>
        <w:t> </w:t>
      </w:r>
      <w:r>
        <w:rPr>
          <w:spacing w:val="-77"/>
        </w:rPr>
      </w:r>
      <w:r>
        <w:rPr/>
        <w:t>事会、吴秋华、沈舟峰、刘纪远、庄大方、龙亮合计持有的 </w:t>
      </w:r>
      <w:r>
        <w:rPr>
          <w:rFonts w:ascii="Times New Roman" w:hAnsi="Times New Roman" w:cs="Times New Roman" w:eastAsia="Times New Roman" w:hint="default"/>
        </w:rPr>
        <w:t>23,504,000</w:t>
      </w:r>
      <w:r>
        <w:rPr>
          <w:rFonts w:ascii="Times New Roman" w:hAnsi="Times New Roman" w:cs="Times New Roman" w:eastAsia="Times New Roman" w:hint="default"/>
          <w:spacing w:val="-7"/>
        </w:rPr>
        <w:t> </w:t>
      </w:r>
      <w:r>
        <w:rPr/>
        <w:t>股由于承诺 锁定一年的期限届满，解除限售，可上市流通。</w:t>
      </w:r>
    </w:p>
    <w:p>
      <w:pPr>
        <w:spacing w:line="240" w:lineRule="auto" w:before="10"/>
        <w:rPr>
          <w:rFonts w:ascii="宋体" w:hAnsi="宋体" w:cs="宋体" w:eastAsia="宋体" w:hint="default"/>
          <w:sz w:val="22"/>
          <w:szCs w:val="22"/>
        </w:rPr>
      </w:pPr>
    </w:p>
    <w:p>
      <w:pPr>
        <w:pStyle w:val="Heading3"/>
        <w:spacing w:line="240" w:lineRule="auto"/>
        <w:ind w:right="124"/>
        <w:jc w:val="left"/>
        <w:rPr>
          <w:b w:val="0"/>
          <w:bCs w:val="0"/>
        </w:rPr>
      </w:pPr>
      <w:bookmarkStart w:name="_TOC_250025" w:id="63"/>
      <w:r>
        <w:rPr/>
        <w:t>四、控股股东及实际控制人情况介绍</w:t>
      </w:r>
      <w:bookmarkEnd w:id="63"/>
      <w:r>
        <w:rPr>
          <w:b w:val="0"/>
          <w:bCs w:val="0"/>
        </w:rPr>
      </w:r>
    </w:p>
    <w:p>
      <w:pPr>
        <w:spacing w:line="770" w:lineRule="atLeast" w:before="119"/>
        <w:ind w:left="618" w:right="124" w:hanging="480"/>
        <w:jc w:val="left"/>
        <w:rPr>
          <w:rFonts w:ascii="宋体" w:hAnsi="宋体" w:cs="宋体" w:eastAsia="宋体" w:hint="default"/>
          <w:sz w:val="24"/>
          <w:szCs w:val="24"/>
        </w:rPr>
      </w:pPr>
      <w:r>
        <w:rPr>
          <w:rFonts w:ascii="宋体" w:hAnsi="宋体" w:cs="宋体" w:eastAsia="宋体" w:hint="default"/>
          <w:b/>
          <w:bCs/>
          <w:sz w:val="24"/>
          <w:szCs w:val="24"/>
        </w:rPr>
        <w:t>（一）控股股东及实际控制人</w:t>
      </w:r>
      <w:r>
        <w:rPr>
          <w:rFonts w:ascii="宋体" w:hAnsi="宋体" w:cs="宋体" w:eastAsia="宋体" w:hint="default"/>
          <w:b/>
          <w:bCs/>
          <w:w w:val="99"/>
          <w:sz w:val="24"/>
          <w:szCs w:val="24"/>
        </w:rPr>
        <w:t> </w:t>
      </w:r>
      <w:r>
        <w:rPr>
          <w:rFonts w:ascii="宋体" w:hAnsi="宋体" w:cs="宋体" w:eastAsia="宋体" w:hint="default"/>
          <w:sz w:val="24"/>
          <w:szCs w:val="24"/>
        </w:rPr>
        <w:t>公司控股股东以及实际控制人为钟耳顺先生，钟耳顺先生中国国籍，在其他国</w:t>
      </w:r>
    </w:p>
    <w:p>
      <w:pPr>
        <w:pStyle w:val="BodyText"/>
        <w:spacing w:line="336" w:lineRule="auto" w:before="154"/>
        <w:ind w:right="119"/>
        <w:jc w:val="left"/>
      </w:pPr>
      <w:r>
        <w:rPr/>
        <w:t>家或地区无居留权，钟耳顺先生最近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年一直工作于北京超图软件股份有限公司， 任董事长职务。</w:t>
      </w:r>
    </w:p>
    <w:p>
      <w:pPr>
        <w:spacing w:line="240" w:lineRule="auto" w:before="12"/>
        <w:rPr>
          <w:rFonts w:ascii="宋体" w:hAnsi="宋体" w:cs="宋体" w:eastAsia="宋体" w:hint="default"/>
          <w:sz w:val="25"/>
          <w:szCs w:val="25"/>
        </w:rPr>
      </w:pPr>
    </w:p>
    <w:p>
      <w:pPr>
        <w:pStyle w:val="Heading5"/>
        <w:spacing w:line="240" w:lineRule="auto"/>
        <w:ind w:right="124"/>
        <w:jc w:val="left"/>
        <w:rPr>
          <w:b w:val="0"/>
          <w:bCs w:val="0"/>
        </w:rPr>
      </w:pPr>
      <w:r>
        <w:rPr/>
        <w:t>（二）公司与实际控制人之间的产权和控制关系</w:t>
      </w:r>
      <w:r>
        <w:rPr>
          <w:b w:val="0"/>
          <w:bCs w:val="0"/>
        </w:rPr>
      </w:r>
    </w:p>
    <w:p>
      <w:pPr>
        <w:spacing w:line="240" w:lineRule="auto" w:before="2"/>
        <w:rPr>
          <w:rFonts w:ascii="宋体" w:hAnsi="宋体" w:cs="宋体" w:eastAsia="宋体" w:hint="default"/>
          <w:b/>
          <w:bCs/>
          <w:sz w:val="28"/>
          <w:szCs w:val="28"/>
        </w:rPr>
      </w:pPr>
    </w:p>
    <w:p>
      <w:pPr>
        <w:spacing w:line="420" w:lineRule="exact"/>
        <w:ind w:left="3245"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51.5pt;height:21pt;mso-position-horizontal-relative:char;mso-position-vertical-relative:line" type="#_x0000_t202" filled="true" fillcolor="#fad3b4" stroked="true" strokeweight=".75pt" strokecolor="#000000">
            <w10:anchorlock/>
            <v:textbox inset="0,0,0,0">
              <w:txbxContent>
                <w:p>
                  <w:pPr>
                    <w:spacing w:before="34"/>
                    <w:ind w:left="423" w:right="0" w:firstLine="0"/>
                    <w:jc w:val="left"/>
                    <w:rPr>
                      <w:rFonts w:ascii="宋体" w:hAnsi="宋体" w:cs="宋体" w:eastAsia="宋体" w:hint="default"/>
                      <w:sz w:val="24"/>
                      <w:szCs w:val="24"/>
                    </w:rPr>
                  </w:pPr>
                  <w:r>
                    <w:rPr>
                      <w:rFonts w:ascii="宋体" w:hAnsi="宋体" w:cs="宋体" w:eastAsia="宋体" w:hint="default"/>
                      <w:b/>
                      <w:bCs/>
                      <w:sz w:val="24"/>
                      <w:szCs w:val="24"/>
                    </w:rPr>
                    <w:t>实际控制人：钟耳顺</w:t>
                  </w:r>
                  <w:r>
                    <w:rPr>
                      <w:rFonts w:ascii="宋体" w:hAnsi="宋体" w:cs="宋体" w:eastAsia="宋体" w:hint="default"/>
                      <w:sz w:val="24"/>
                      <w:szCs w:val="24"/>
                    </w:rPr>
                  </w:r>
                </w:p>
              </w:txbxContent>
            </v:textbox>
            <v:fill type="solid"/>
          </v:shape>
        </w:pict>
      </w:r>
      <w:r>
        <w:rPr>
          <w:rFonts w:ascii="宋体" w:hAnsi="宋体" w:cs="宋体" w:eastAsia="宋体" w:hint="default"/>
          <w:position w:val="-7"/>
          <w:sz w:val="20"/>
          <w:szCs w:val="20"/>
        </w:rPr>
      </w:r>
    </w:p>
    <w:p>
      <w:pPr>
        <w:spacing w:line="240" w:lineRule="auto" w:before="0"/>
        <w:rPr>
          <w:rFonts w:ascii="宋体" w:hAnsi="宋体" w:cs="宋体" w:eastAsia="宋体" w:hint="default"/>
          <w:b/>
          <w:bCs/>
          <w:sz w:val="24"/>
          <w:szCs w:val="24"/>
        </w:rPr>
      </w:pPr>
    </w:p>
    <w:p>
      <w:pPr>
        <w:spacing w:line="240" w:lineRule="auto" w:before="12"/>
        <w:rPr>
          <w:rFonts w:ascii="宋体" w:hAnsi="宋体" w:cs="宋体" w:eastAsia="宋体" w:hint="default"/>
          <w:b/>
          <w:bCs/>
          <w:sz w:val="16"/>
          <w:szCs w:val="16"/>
        </w:rPr>
      </w:pPr>
    </w:p>
    <w:p>
      <w:pPr>
        <w:spacing w:before="0"/>
        <w:ind w:left="4970" w:right="124" w:firstLine="0"/>
        <w:jc w:val="left"/>
        <w:rPr>
          <w:rFonts w:ascii="微软雅黑" w:hAnsi="微软雅黑" w:cs="微软雅黑" w:eastAsia="微软雅黑" w:hint="default"/>
          <w:sz w:val="21"/>
          <w:szCs w:val="21"/>
        </w:rPr>
      </w:pPr>
      <w:r>
        <w:rPr/>
        <w:pict>
          <v:group style="position:absolute;margin-left:308.299988pt;margin-top:-26.773357pt;width:8.6pt;height:64.1500pt;mso-position-horizontal-relative:page;mso-position-vertical-relative:paragraph;z-index:-765736" coordorigin="6166,-535" coordsize="172,1283">
            <v:shape style="position:absolute;left:6166;top:-535;width:172;height:1283" coordorigin="6166,-535" coordsize="172,1283" path="m6338,427l6295,427,6295,-535,6209,-535,6209,427,6166,427,6252,748,6338,427xe" filled="false" stroked="true" strokeweight=".75pt" strokecolor="#000000">
              <v:path arrowok="t"/>
            </v:shape>
            <w10:wrap type="none"/>
          </v:group>
        </w:pict>
      </w:r>
      <w:r>
        <w:rPr>
          <w:rFonts w:ascii="微软雅黑" w:hAnsi="微软雅黑" w:cs="微软雅黑" w:eastAsia="微软雅黑" w:hint="default"/>
          <w:b/>
          <w:bCs/>
          <w:sz w:val="21"/>
          <w:szCs w:val="21"/>
        </w:rPr>
        <w:t>股份占比</w:t>
      </w:r>
      <w:r>
        <w:rPr>
          <w:rFonts w:ascii="Times New Roman" w:hAnsi="Times New Roman" w:cs="Times New Roman" w:eastAsia="Times New Roman" w:hint="default"/>
          <w:b/>
          <w:bCs/>
          <w:sz w:val="21"/>
          <w:szCs w:val="21"/>
        </w:rPr>
        <w:t>16.91</w:t>
      </w:r>
      <w:r>
        <w:rPr>
          <w:rFonts w:ascii="微软雅黑" w:hAnsi="微软雅黑" w:cs="微软雅黑" w:eastAsia="微软雅黑" w:hint="default"/>
          <w:b/>
          <w:bCs/>
          <w:sz w:val="21"/>
          <w:szCs w:val="21"/>
        </w:rPr>
        <w:t>％</w:t>
      </w:r>
      <w:r>
        <w:rPr>
          <w:rFonts w:ascii="微软雅黑" w:hAnsi="微软雅黑" w:cs="微软雅黑" w:eastAsia="微软雅黑" w:hint="default"/>
          <w:sz w:val="21"/>
          <w:szCs w:val="21"/>
        </w:rPr>
      </w:r>
    </w:p>
    <w:p>
      <w:pPr>
        <w:spacing w:line="240" w:lineRule="auto" w:before="5"/>
        <w:rPr>
          <w:rFonts w:ascii="微软雅黑" w:hAnsi="微软雅黑" w:cs="微软雅黑" w:eastAsia="微软雅黑" w:hint="default"/>
          <w:b/>
          <w:bCs/>
          <w:sz w:val="22"/>
          <w:szCs w:val="22"/>
        </w:rPr>
      </w:pPr>
    </w:p>
    <w:p>
      <w:pPr>
        <w:spacing w:line="510" w:lineRule="exact"/>
        <w:ind w:left="3245" w:right="0" w:firstLine="0"/>
        <w:rPr>
          <w:rFonts w:ascii="微软雅黑" w:hAnsi="微软雅黑" w:cs="微软雅黑" w:eastAsia="微软雅黑" w:hint="default"/>
          <w:sz w:val="20"/>
          <w:szCs w:val="20"/>
        </w:rPr>
      </w:pPr>
      <w:r>
        <w:rPr>
          <w:rFonts w:ascii="微软雅黑" w:hAnsi="微软雅黑" w:cs="微软雅黑" w:eastAsia="微软雅黑" w:hint="default"/>
          <w:position w:val="-9"/>
          <w:sz w:val="20"/>
          <w:szCs w:val="20"/>
        </w:rPr>
        <w:pict>
          <v:shape style="width:160.5pt;height:25.5pt;mso-position-horizontal-relative:char;mso-position-vertical-relative:line" type="#_x0000_t202" filled="true" fillcolor="#fad3b4" stroked="true" strokeweight=".75pt" strokecolor="#000000">
            <w10:anchorlock/>
            <v:textbox inset="0,0,0,0">
              <w:txbxContent>
                <w:p>
                  <w:pPr>
                    <w:spacing w:before="33"/>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北京超图软件股份有限公司</w:t>
                  </w:r>
                  <w:r>
                    <w:rPr>
                      <w:rFonts w:ascii="宋体" w:hAnsi="宋体" w:cs="宋体" w:eastAsia="宋体" w:hint="default"/>
                      <w:sz w:val="24"/>
                      <w:szCs w:val="24"/>
                    </w:rPr>
                  </w:r>
                </w:p>
              </w:txbxContent>
            </v:textbox>
            <v:fill type="solid"/>
          </v:shape>
        </w:pict>
      </w:r>
      <w:r>
        <w:rPr>
          <w:rFonts w:ascii="微软雅黑" w:hAnsi="微软雅黑" w:cs="微软雅黑" w:eastAsia="微软雅黑" w:hint="default"/>
          <w:position w:val="-9"/>
          <w:sz w:val="20"/>
          <w:szCs w:val="20"/>
        </w:rPr>
      </w:r>
    </w:p>
    <w:p>
      <w:pPr>
        <w:spacing w:after="0" w:line="510" w:lineRule="exact"/>
        <w:rPr>
          <w:rFonts w:ascii="微软雅黑" w:hAnsi="微软雅黑" w:cs="微软雅黑" w:eastAsia="微软雅黑" w:hint="default"/>
          <w:sz w:val="20"/>
          <w:szCs w:val="20"/>
        </w:rPr>
        <w:sectPr>
          <w:footerReference w:type="default" r:id="rId36"/>
          <w:pgSz w:w="11910" w:h="16840"/>
          <w:pgMar w:footer="1173" w:header="884" w:top="1140" w:bottom="1360" w:left="1660" w:right="1280"/>
        </w:sectPr>
      </w:pPr>
    </w:p>
    <w:p>
      <w:pPr>
        <w:pStyle w:val="Heading1"/>
        <w:tabs>
          <w:tab w:pos="5150" w:val="left" w:leader="none"/>
        </w:tabs>
        <w:spacing w:line="452" w:lineRule="exact"/>
        <w:ind w:left="3703" w:right="0"/>
        <w:jc w:val="left"/>
        <w:rPr>
          <w:b w:val="0"/>
          <w:bCs w:val="0"/>
        </w:rPr>
      </w:pPr>
      <w:r>
        <w:rPr/>
        <w:pict>
          <v:group style="position:absolute;margin-left:70.559998pt;margin-top:1.68pt;width:700.95pt;height:.1pt;mso-position-horizontal-relative:page;mso-position-vertical-relative:paragraph;z-index:-765712" coordorigin="1411,34" coordsize="14019,2">
            <v:shape style="position:absolute;left:1411;top:34;width:14019;height:2" coordorigin="1411,34" coordsize="14019,0" path="m1411,34l15430,34e" filled="false" stroked="true" strokeweight=".72pt" strokecolor="#000000">
              <v:path arrowok="t"/>
            </v:shape>
            <w10:wrap type="none"/>
          </v:group>
        </w:pict>
      </w:r>
      <w:bookmarkStart w:name="_TOC_250024" w:id="64"/>
      <w:r>
        <w:rPr>
          <w:w w:val="95"/>
        </w:rPr>
        <w:t>第七节</w:t>
        <w:tab/>
      </w:r>
      <w:r>
        <w:rPr/>
        <w:t>董事、监事和高级管理人员的情况</w:t>
      </w:r>
      <w:bookmarkEnd w:id="64"/>
      <w:r>
        <w:rPr>
          <w:b w:val="0"/>
          <w:bCs w:val="0"/>
        </w:rPr>
      </w:r>
    </w:p>
    <w:p>
      <w:pPr>
        <w:pStyle w:val="Heading3"/>
        <w:spacing w:line="240" w:lineRule="auto" w:before="263"/>
        <w:ind w:left="160" w:right="0"/>
        <w:jc w:val="left"/>
        <w:rPr>
          <w:b w:val="0"/>
          <w:bCs w:val="0"/>
        </w:rPr>
      </w:pPr>
      <w:bookmarkStart w:name="_TOC_250023" w:id="65"/>
      <w:r>
        <w:rPr/>
        <w:t>一、董事、监事和高级管理人员持股变动及报酬情况</w:t>
      </w:r>
      <w:bookmarkEnd w:id="65"/>
      <w:r>
        <w:rPr>
          <w:b w:val="0"/>
          <w:bCs w:val="0"/>
        </w:rPr>
      </w:r>
    </w:p>
    <w:p>
      <w:pPr>
        <w:spacing w:line="240" w:lineRule="auto" w:before="10"/>
        <w:rPr>
          <w:rFonts w:ascii="宋体" w:hAnsi="宋体" w:cs="宋体" w:eastAsia="宋体" w:hint="default"/>
          <w:b/>
          <w:bCs/>
          <w:sz w:val="3"/>
          <w:szCs w:val="3"/>
        </w:rPr>
      </w:pPr>
    </w:p>
    <w:tbl>
      <w:tblPr>
        <w:tblW w:w="0" w:type="auto"/>
        <w:jc w:val="left"/>
        <w:tblInd w:w="102" w:type="dxa"/>
        <w:tblLayout w:type="fixed"/>
        <w:tblCellMar>
          <w:top w:w="0" w:type="dxa"/>
          <w:left w:w="0" w:type="dxa"/>
          <w:bottom w:w="0" w:type="dxa"/>
          <w:right w:w="0" w:type="dxa"/>
        </w:tblCellMar>
        <w:tblLook w:val="01E0"/>
      </w:tblPr>
      <w:tblGrid>
        <w:gridCol w:w="1148"/>
        <w:gridCol w:w="1133"/>
        <w:gridCol w:w="850"/>
        <w:gridCol w:w="994"/>
        <w:gridCol w:w="1418"/>
        <w:gridCol w:w="1416"/>
        <w:gridCol w:w="1699"/>
        <w:gridCol w:w="1279"/>
        <w:gridCol w:w="1131"/>
        <w:gridCol w:w="1704"/>
        <w:gridCol w:w="1275"/>
      </w:tblGrid>
      <w:tr>
        <w:trPr>
          <w:trHeight w:val="955" w:hRule="exact"/>
        </w:trPr>
        <w:tc>
          <w:tcPr>
            <w:tcW w:w="114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任期起止日期</w:t>
            </w:r>
            <w:r>
              <w:rPr>
                <w:rFonts w:ascii="宋体" w:hAnsi="宋体" w:cs="宋体" w:eastAsia="宋体" w:hint="default"/>
                <w:sz w:val="18"/>
                <w:szCs w:val="18"/>
              </w:rPr>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任期终止日</w:t>
            </w:r>
            <w:r>
              <w:rPr>
                <w:rFonts w:ascii="宋体" w:hAnsi="宋体" w:cs="宋体" w:eastAsia="宋体" w:hint="default"/>
                <w:sz w:val="18"/>
                <w:szCs w:val="18"/>
              </w:rPr>
            </w:r>
          </w:p>
        </w:tc>
        <w:tc>
          <w:tcPr>
            <w:tcW w:w="16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b/>
                <w:bCs/>
                <w:sz w:val="18"/>
                <w:szCs w:val="18"/>
              </w:rPr>
              <w:t>年初持股数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27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b/>
                <w:bCs/>
                <w:sz w:val="18"/>
                <w:szCs w:val="18"/>
              </w:rPr>
              <w:t>期末持股数</w:t>
            </w:r>
            <w:r>
              <w:rPr>
                <w:rFonts w:ascii="宋体" w:hAnsi="宋体" w:cs="宋体" w:eastAsia="宋体" w:hint="default"/>
                <w:sz w:val="18"/>
                <w:szCs w:val="18"/>
              </w:rPr>
            </w: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1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c>
          <w:tcPr>
            <w:tcW w:w="1704" w:type="dxa"/>
            <w:tcBorders>
              <w:top w:val="single" w:sz="12" w:space="0" w:color="000000"/>
              <w:left w:val="single" w:sz="6" w:space="0" w:color="000000"/>
              <w:bottom w:val="single" w:sz="6" w:space="0" w:color="000000"/>
              <w:right w:val="single" w:sz="6" w:space="0" w:color="000000"/>
            </w:tcBorders>
          </w:tcPr>
          <w:p>
            <w:pPr>
              <w:pStyle w:val="TableParagraph"/>
              <w:spacing w:line="232" w:lineRule="exact" w:before="112"/>
              <w:ind w:left="119" w:right="123"/>
              <w:jc w:val="center"/>
              <w:rPr>
                <w:rFonts w:ascii="宋体" w:hAnsi="宋体" w:cs="宋体" w:eastAsia="宋体" w:hint="default"/>
                <w:sz w:val="18"/>
                <w:szCs w:val="18"/>
              </w:rPr>
            </w:pPr>
            <w:r>
              <w:rPr>
                <w:rFonts w:ascii="宋体" w:hAnsi="宋体" w:cs="宋体" w:eastAsia="宋体" w:hint="default"/>
                <w:b/>
                <w:bCs/>
                <w:sz w:val="18"/>
                <w:szCs w:val="18"/>
              </w:rPr>
              <w:t>报告期内从公司领</w:t>
            </w:r>
            <w:r>
              <w:rPr>
                <w:rFonts w:ascii="宋体" w:hAnsi="宋体" w:cs="宋体" w:eastAsia="宋体" w:hint="default"/>
                <w:b/>
                <w:bCs/>
                <w:w w:val="99"/>
                <w:sz w:val="18"/>
                <w:szCs w:val="18"/>
              </w:rPr>
              <w:t> </w:t>
            </w:r>
            <w:r>
              <w:rPr>
                <w:rFonts w:ascii="宋体" w:hAnsi="宋体" w:cs="宋体" w:eastAsia="宋体" w:hint="default"/>
                <w:b/>
                <w:bCs/>
                <w:sz w:val="18"/>
                <w:szCs w:val="18"/>
              </w:rPr>
              <w:t>取的报酬总额（万</w:t>
            </w:r>
            <w:r>
              <w:rPr>
                <w:rFonts w:ascii="宋体" w:hAnsi="宋体" w:cs="宋体" w:eastAsia="宋体" w:hint="default"/>
                <w:b/>
                <w:bCs/>
                <w:w w:val="99"/>
                <w:sz w:val="18"/>
                <w:szCs w:val="18"/>
              </w:rPr>
              <w:t> </w:t>
            </w:r>
            <w:r>
              <w:rPr>
                <w:rFonts w:ascii="宋体" w:hAnsi="宋体" w:cs="宋体" w:eastAsia="宋体" w:hint="default"/>
                <w:b/>
                <w:bCs/>
                <w:sz w:val="18"/>
                <w:szCs w:val="18"/>
              </w:rPr>
              <w:t>元）（税前）</w:t>
            </w:r>
            <w:r>
              <w:rPr>
                <w:rFonts w:ascii="宋体" w:hAnsi="宋体" w:cs="宋体" w:eastAsia="宋体" w:hint="default"/>
                <w:sz w:val="18"/>
                <w:szCs w:val="18"/>
              </w:rPr>
            </w:r>
          </w:p>
        </w:tc>
        <w:tc>
          <w:tcPr>
            <w:tcW w:w="1275" w:type="dxa"/>
            <w:tcBorders>
              <w:top w:val="single" w:sz="12" w:space="0" w:color="000000"/>
              <w:left w:val="single" w:sz="6" w:space="0" w:color="000000"/>
              <w:bottom w:val="single" w:sz="6" w:space="0" w:color="000000"/>
              <w:right w:val="single" w:sz="12"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b/>
                <w:bCs/>
                <w:sz w:val="18"/>
                <w:szCs w:val="18"/>
              </w:rPr>
              <w:t>是否在股东</w:t>
            </w:r>
            <w:r>
              <w:rPr>
                <w:rFonts w:ascii="宋体" w:hAnsi="宋体" w:cs="宋体" w:eastAsia="宋体" w:hint="default"/>
                <w:sz w:val="18"/>
                <w:szCs w:val="18"/>
              </w:rPr>
            </w:r>
          </w:p>
          <w:p>
            <w:pPr>
              <w:pStyle w:val="TableParagraph"/>
              <w:spacing w:line="237" w:lineRule="auto"/>
              <w:ind w:left="177" w:right="171"/>
              <w:jc w:val="center"/>
              <w:rPr>
                <w:rFonts w:ascii="宋体" w:hAnsi="宋体" w:cs="宋体" w:eastAsia="宋体" w:hint="default"/>
                <w:sz w:val="18"/>
                <w:szCs w:val="18"/>
              </w:rPr>
            </w:pPr>
            <w:r>
              <w:rPr>
                <w:rFonts w:ascii="宋体" w:hAnsi="宋体" w:cs="宋体" w:eastAsia="宋体" w:hint="default"/>
                <w:b/>
                <w:bCs/>
                <w:sz w:val="18"/>
                <w:szCs w:val="18"/>
              </w:rPr>
              <w:t>单位或其他</w:t>
            </w:r>
            <w:r>
              <w:rPr>
                <w:rFonts w:ascii="宋体" w:hAnsi="宋体" w:cs="宋体" w:eastAsia="宋体" w:hint="default"/>
                <w:b/>
                <w:bCs/>
                <w:w w:val="99"/>
                <w:sz w:val="18"/>
                <w:szCs w:val="18"/>
              </w:rPr>
              <w:t> </w:t>
            </w:r>
            <w:r>
              <w:rPr>
                <w:rFonts w:ascii="宋体" w:hAnsi="宋体" w:cs="宋体" w:eastAsia="宋体" w:hint="default"/>
                <w:b/>
                <w:bCs/>
                <w:sz w:val="18"/>
                <w:szCs w:val="18"/>
              </w:rPr>
              <w:t>关联单位领</w:t>
            </w:r>
            <w:r>
              <w:rPr>
                <w:rFonts w:ascii="宋体" w:hAnsi="宋体" w:cs="宋体" w:eastAsia="宋体" w:hint="default"/>
                <w:b/>
                <w:bCs/>
                <w:w w:val="99"/>
                <w:sz w:val="18"/>
                <w:szCs w:val="18"/>
              </w:rPr>
              <w:t> </w:t>
            </w:r>
            <w:r>
              <w:rPr>
                <w:rFonts w:ascii="宋体" w:hAnsi="宋体" w:cs="宋体" w:eastAsia="宋体" w:hint="default"/>
                <w:b/>
                <w:bCs/>
                <w:sz w:val="18"/>
                <w:szCs w:val="18"/>
              </w:rPr>
              <w:t>取薪酬</w:t>
            </w:r>
            <w:r>
              <w:rPr>
                <w:rFonts w:ascii="宋体" w:hAnsi="宋体" w:cs="宋体" w:eastAsia="宋体" w:hint="default"/>
                <w:sz w:val="18"/>
                <w:szCs w:val="18"/>
              </w:rPr>
            </w:r>
          </w:p>
        </w:tc>
      </w:tr>
      <w:tr>
        <w:trPr>
          <w:trHeight w:val="250"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钟耳顺</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56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12,684,000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20,294,400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51.32</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148" w:type="dxa"/>
            <w:vMerge w:val="restart"/>
            <w:tcBorders>
              <w:top w:val="single" w:sz="6" w:space="0" w:color="000000"/>
              <w:left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宋关福</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5,112,000</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8,179,200</w:t>
            </w:r>
          </w:p>
        </w:tc>
        <w:tc>
          <w:tcPr>
            <w:tcW w:w="1131"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40.63</w:t>
            </w:r>
          </w:p>
        </w:tc>
        <w:tc>
          <w:tcPr>
            <w:tcW w:w="1275" w:type="dxa"/>
            <w:vMerge w:val="restart"/>
            <w:tcBorders>
              <w:top w:val="single" w:sz="6"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148" w:type="dxa"/>
            <w:vMerge/>
            <w:tcBorders>
              <w:left w:val="single" w:sz="12"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850"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vMerge/>
            <w:tcBorders>
              <w:left w:val="single" w:sz="6" w:space="0" w:color="000000"/>
              <w:bottom w:val="single" w:sz="6" w:space="0" w:color="000000"/>
              <w:right w:val="single" w:sz="6" w:space="0" w:color="000000"/>
            </w:tcBorders>
          </w:tcPr>
          <w:p>
            <w:pPr/>
          </w:p>
        </w:tc>
        <w:tc>
          <w:tcPr>
            <w:tcW w:w="1279" w:type="dxa"/>
            <w:vMerge/>
            <w:tcBorders>
              <w:left w:val="single" w:sz="6" w:space="0" w:color="000000"/>
              <w:bottom w:val="single" w:sz="6" w:space="0" w:color="000000"/>
              <w:right w:val="single" w:sz="6" w:space="0" w:color="000000"/>
            </w:tcBorders>
          </w:tcPr>
          <w:p>
            <w:pPr/>
          </w:p>
        </w:tc>
        <w:tc>
          <w:tcPr>
            <w:tcW w:w="1131" w:type="dxa"/>
            <w:vMerge/>
            <w:tcBorders>
              <w:left w:val="single" w:sz="6" w:space="0" w:color="000000"/>
              <w:bottom w:val="single" w:sz="6" w:space="0" w:color="000000"/>
              <w:right w:val="single" w:sz="6" w:space="0" w:color="000000"/>
            </w:tcBorders>
          </w:tcPr>
          <w:p>
            <w:pPr/>
          </w:p>
        </w:tc>
        <w:tc>
          <w:tcPr>
            <w:tcW w:w="1704"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12" w:space="0" w:color="000000"/>
            </w:tcBorders>
          </w:tcPr>
          <w:p>
            <w:pPr/>
          </w:p>
        </w:tc>
      </w:tr>
      <w:tr>
        <w:trPr>
          <w:trHeight w:val="247"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葛全胜</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48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50"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高星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247"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徐立新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44</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
              <w:jc w:val="center"/>
              <w:rPr>
                <w:rFonts w:ascii="Times New Roman" w:hAnsi="Times New Roman" w:cs="Times New Roman" w:eastAsia="Times New Roman" w:hint="default"/>
                <w:sz w:val="18"/>
                <w:szCs w:val="18"/>
              </w:rPr>
            </w:pPr>
            <w:r>
              <w:rPr>
                <w:rFonts w:ascii="Times New Roman"/>
                <w:sz w:val="18"/>
              </w:rPr>
              <w:t>0</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148" w:type="dxa"/>
            <w:vMerge w:val="restart"/>
            <w:tcBorders>
              <w:top w:val="single" w:sz="6"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王尔琪</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2,432,000</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3,891,200</w:t>
            </w:r>
          </w:p>
        </w:tc>
        <w:tc>
          <w:tcPr>
            <w:tcW w:w="113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31.49</w:t>
            </w:r>
          </w:p>
        </w:tc>
        <w:tc>
          <w:tcPr>
            <w:tcW w:w="1275" w:type="dxa"/>
            <w:vMerge w:val="restart"/>
            <w:tcBorders>
              <w:top w:val="single" w:sz="6" w:space="0" w:color="000000"/>
              <w:left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148" w:type="dxa"/>
            <w:vMerge/>
            <w:tcBorders>
              <w:left w:val="single" w:sz="12"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vMerge/>
            <w:tcBorders>
              <w:left w:val="single" w:sz="6" w:space="0" w:color="000000"/>
              <w:bottom w:val="single" w:sz="6" w:space="0" w:color="000000"/>
              <w:right w:val="single" w:sz="6" w:space="0" w:color="000000"/>
            </w:tcBorders>
          </w:tcPr>
          <w:p>
            <w:pPr/>
          </w:p>
        </w:tc>
        <w:tc>
          <w:tcPr>
            <w:tcW w:w="1279" w:type="dxa"/>
            <w:vMerge/>
            <w:tcBorders>
              <w:left w:val="single" w:sz="6" w:space="0" w:color="000000"/>
              <w:bottom w:val="single" w:sz="6" w:space="0" w:color="000000"/>
              <w:right w:val="single" w:sz="6" w:space="0" w:color="000000"/>
            </w:tcBorders>
          </w:tcPr>
          <w:p>
            <w:pPr/>
          </w:p>
        </w:tc>
        <w:tc>
          <w:tcPr>
            <w:tcW w:w="1131" w:type="dxa"/>
            <w:vMerge/>
            <w:tcBorders>
              <w:left w:val="single" w:sz="6" w:space="0" w:color="000000"/>
              <w:bottom w:val="single" w:sz="6" w:space="0" w:color="000000"/>
              <w:right w:val="single" w:sz="6" w:space="0" w:color="000000"/>
            </w:tcBorders>
          </w:tcPr>
          <w:p>
            <w:pPr/>
          </w:p>
        </w:tc>
        <w:tc>
          <w:tcPr>
            <w:tcW w:w="1704"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12" w:space="0" w:color="000000"/>
            </w:tcBorders>
          </w:tcPr>
          <w:p>
            <w:pPr/>
          </w:p>
        </w:tc>
      </w:tr>
      <w:tr>
        <w:trPr>
          <w:trHeight w:val="331" w:hRule="exact"/>
        </w:trPr>
        <w:tc>
          <w:tcPr>
            <w:tcW w:w="1148" w:type="dxa"/>
            <w:vMerge w:val="restart"/>
            <w:tcBorders>
              <w:top w:val="single" w:sz="6"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王康弘</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2,400,000</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3,840,000</w:t>
            </w:r>
          </w:p>
        </w:tc>
        <w:tc>
          <w:tcPr>
            <w:tcW w:w="113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34.62</w:t>
            </w:r>
          </w:p>
        </w:tc>
        <w:tc>
          <w:tcPr>
            <w:tcW w:w="1275" w:type="dxa"/>
            <w:vMerge w:val="restart"/>
            <w:tcBorders>
              <w:top w:val="single" w:sz="6" w:space="0" w:color="000000"/>
              <w:left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9" w:hRule="exact"/>
        </w:trPr>
        <w:tc>
          <w:tcPr>
            <w:tcW w:w="1148" w:type="dxa"/>
            <w:vMerge/>
            <w:tcBorders>
              <w:left w:val="single" w:sz="12"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vMerge/>
            <w:tcBorders>
              <w:left w:val="single" w:sz="6" w:space="0" w:color="000000"/>
              <w:bottom w:val="single" w:sz="6" w:space="0" w:color="000000"/>
              <w:right w:val="single" w:sz="6" w:space="0" w:color="000000"/>
            </w:tcBorders>
          </w:tcPr>
          <w:p>
            <w:pPr/>
          </w:p>
        </w:tc>
        <w:tc>
          <w:tcPr>
            <w:tcW w:w="1279" w:type="dxa"/>
            <w:vMerge/>
            <w:tcBorders>
              <w:left w:val="single" w:sz="6" w:space="0" w:color="000000"/>
              <w:bottom w:val="single" w:sz="6" w:space="0" w:color="000000"/>
              <w:right w:val="single" w:sz="6" w:space="0" w:color="000000"/>
            </w:tcBorders>
          </w:tcPr>
          <w:p>
            <w:pPr/>
          </w:p>
        </w:tc>
        <w:tc>
          <w:tcPr>
            <w:tcW w:w="1131" w:type="dxa"/>
            <w:vMerge/>
            <w:tcBorders>
              <w:left w:val="single" w:sz="6" w:space="0" w:color="000000"/>
              <w:bottom w:val="single" w:sz="6" w:space="0" w:color="000000"/>
              <w:right w:val="single" w:sz="6" w:space="0" w:color="000000"/>
            </w:tcBorders>
          </w:tcPr>
          <w:p>
            <w:pPr/>
          </w:p>
        </w:tc>
        <w:tc>
          <w:tcPr>
            <w:tcW w:w="1704"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12" w:space="0" w:color="000000"/>
            </w:tcBorders>
          </w:tcPr>
          <w:p>
            <w:pPr/>
          </w:p>
        </w:tc>
      </w:tr>
      <w:tr>
        <w:trPr>
          <w:trHeight w:val="250"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刘先林</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72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1.78</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7"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王浩</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58</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5.35</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董云庭</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66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7.14</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7"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谢德仁</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7.14</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曾志明</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33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196,000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313,600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21.73</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7"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杨雪斌</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35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208,000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332,800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19.17</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区励</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31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3.61</w:t>
            </w:r>
          </w:p>
        </w:tc>
        <w:tc>
          <w:tcPr>
            <w:tcW w:w="1275" w:type="dxa"/>
            <w:tcBorders>
              <w:top w:val="single" w:sz="6" w:space="0" w:color="000000"/>
              <w:left w:val="single" w:sz="6" w:space="0" w:color="000000"/>
              <w:bottom w:val="single" w:sz="6" w:space="0" w:color="000000"/>
              <w:right w:val="single" w:sz="12" w:space="0" w:color="000000"/>
            </w:tcBorders>
          </w:tcPr>
          <w:p>
            <w:pPr/>
          </w:p>
        </w:tc>
      </w:tr>
      <w:tr>
        <w:trPr>
          <w:trHeight w:val="247"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刘英利</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36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7.26</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74" w:hRule="exact"/>
        </w:trPr>
        <w:tc>
          <w:tcPr>
            <w:tcW w:w="1148" w:type="dxa"/>
            <w:vMerge w:val="restart"/>
            <w:tcBorders>
              <w:top w:val="single" w:sz="6" w:space="0" w:color="000000"/>
              <w:left w:val="single" w:sz="12" w:space="0" w:color="000000"/>
              <w:right w:val="single" w:sz="6" w:space="0" w:color="000000"/>
            </w:tcBorders>
          </w:tcPr>
          <w:p>
            <w:pPr>
              <w:pStyle w:val="TableParagraph"/>
              <w:spacing w:line="240" w:lineRule="auto" w:before="128"/>
              <w:ind w:left="288" w:right="0"/>
              <w:jc w:val="left"/>
              <w:rPr>
                <w:rFonts w:ascii="宋体" w:hAnsi="宋体" w:cs="宋体" w:eastAsia="宋体" w:hint="default"/>
                <w:sz w:val="18"/>
                <w:szCs w:val="18"/>
              </w:rPr>
            </w:pPr>
            <w:r>
              <w:rPr>
                <w:rFonts w:ascii="宋体" w:hAnsi="宋体" w:cs="宋体" w:eastAsia="宋体" w:hint="default"/>
                <w:sz w:val="18"/>
                <w:szCs w:val="18"/>
              </w:rPr>
              <w:t>龚娅杰</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3"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132,000</w:t>
            </w:r>
          </w:p>
        </w:tc>
        <w:tc>
          <w:tcPr>
            <w:tcW w:w="1279"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211,200</w:t>
            </w:r>
          </w:p>
        </w:tc>
        <w:tc>
          <w:tcPr>
            <w:tcW w:w="1131" w:type="dxa"/>
            <w:vMerge w:val="restart"/>
            <w:tcBorders>
              <w:top w:val="single" w:sz="6" w:space="0" w:color="000000"/>
              <w:left w:val="single" w:sz="6" w:space="0" w:color="000000"/>
              <w:right w:val="single" w:sz="6" w:space="0" w:color="000000"/>
            </w:tcBorders>
          </w:tcPr>
          <w:p>
            <w:pPr>
              <w:pStyle w:val="TableParagraph"/>
              <w:spacing w:line="240" w:lineRule="auto" w:before="128"/>
              <w:ind w:left="108" w:right="0"/>
              <w:jc w:val="left"/>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33.63</w:t>
            </w:r>
          </w:p>
        </w:tc>
        <w:tc>
          <w:tcPr>
            <w:tcW w:w="1275" w:type="dxa"/>
            <w:vMerge w:val="restart"/>
            <w:tcBorders>
              <w:top w:val="single" w:sz="6" w:space="0" w:color="000000"/>
              <w:left w:val="single" w:sz="6" w:space="0" w:color="000000"/>
              <w:right w:val="single" w:sz="12" w:space="0" w:color="000000"/>
            </w:tcBorders>
          </w:tcPr>
          <w:p>
            <w:pPr>
              <w:pStyle w:val="TableParagraph"/>
              <w:spacing w:line="240" w:lineRule="auto" w:before="128"/>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90" w:hRule="exact"/>
        </w:trPr>
        <w:tc>
          <w:tcPr>
            <w:tcW w:w="1148" w:type="dxa"/>
            <w:vMerge/>
            <w:tcBorders>
              <w:left w:val="single" w:sz="12"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vMerge/>
            <w:tcBorders>
              <w:left w:val="single" w:sz="6" w:space="0" w:color="000000"/>
              <w:bottom w:val="single" w:sz="6" w:space="0" w:color="000000"/>
              <w:right w:val="single" w:sz="6" w:space="0" w:color="000000"/>
            </w:tcBorders>
          </w:tcPr>
          <w:p>
            <w:pPr/>
          </w:p>
        </w:tc>
        <w:tc>
          <w:tcPr>
            <w:tcW w:w="1279" w:type="dxa"/>
            <w:vMerge/>
            <w:tcBorders>
              <w:left w:val="single" w:sz="6" w:space="0" w:color="000000"/>
              <w:bottom w:val="single" w:sz="6" w:space="0" w:color="000000"/>
              <w:right w:val="single" w:sz="6" w:space="0" w:color="000000"/>
            </w:tcBorders>
          </w:tcPr>
          <w:p>
            <w:pPr/>
          </w:p>
        </w:tc>
        <w:tc>
          <w:tcPr>
            <w:tcW w:w="1131" w:type="dxa"/>
            <w:vMerge/>
            <w:tcBorders>
              <w:left w:val="single" w:sz="6" w:space="0" w:color="000000"/>
              <w:bottom w:val="single" w:sz="6" w:space="0" w:color="000000"/>
              <w:right w:val="single" w:sz="6" w:space="0" w:color="000000"/>
            </w:tcBorders>
          </w:tcPr>
          <w:p>
            <w:pPr/>
          </w:p>
        </w:tc>
        <w:tc>
          <w:tcPr>
            <w:tcW w:w="1704" w:type="dxa"/>
            <w:vMerge/>
            <w:tcBorders>
              <w:left w:val="single" w:sz="6" w:space="0" w:color="000000"/>
              <w:bottom w:val="single" w:sz="6" w:space="0" w:color="000000"/>
              <w:right w:val="single" w:sz="6" w:space="0" w:color="000000"/>
            </w:tcBorders>
          </w:tcPr>
          <w:p>
            <w:pPr/>
          </w:p>
        </w:tc>
        <w:tc>
          <w:tcPr>
            <w:tcW w:w="1275" w:type="dxa"/>
            <w:vMerge/>
            <w:tcBorders>
              <w:left w:val="single" w:sz="6" w:space="0" w:color="000000"/>
              <w:bottom w:val="single" w:sz="6" w:space="0" w:color="000000"/>
              <w:right w:val="single" w:sz="12" w:space="0" w:color="000000"/>
            </w:tcBorders>
          </w:tcPr>
          <w:p>
            <w:pPr/>
          </w:p>
        </w:tc>
      </w:tr>
      <w:tr>
        <w:trPr>
          <w:trHeight w:val="250"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7"/>
              <w:jc w:val="center"/>
              <w:rPr>
                <w:rFonts w:ascii="宋体" w:hAnsi="宋体" w:cs="宋体" w:eastAsia="宋体" w:hint="default"/>
                <w:sz w:val="18"/>
                <w:szCs w:val="18"/>
              </w:rPr>
            </w:pPr>
            <w:r>
              <w:rPr>
                <w:rFonts w:ascii="宋体" w:hAnsi="宋体" w:cs="宋体" w:eastAsia="宋体" w:hint="default"/>
                <w:sz w:val="18"/>
                <w:szCs w:val="18"/>
              </w:rPr>
              <w:t>杜庆娥</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37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1,400,000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2,240,000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35.33</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7"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王继晖</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39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240,000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384,000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35.55</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梁军</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2,400,000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3,840,000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公积金转增</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32.94</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8"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7" w:hRule="exact"/>
        </w:trPr>
        <w:tc>
          <w:tcPr>
            <w:tcW w:w="1148"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鹿麒</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33.64</w:t>
            </w:r>
          </w:p>
        </w:tc>
        <w:tc>
          <w:tcPr>
            <w:tcW w:w="1275"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7"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57" w:hRule="exact"/>
        </w:trPr>
        <w:tc>
          <w:tcPr>
            <w:tcW w:w="1148" w:type="dxa"/>
            <w:tcBorders>
              <w:top w:val="single" w:sz="6" w:space="0" w:color="000000"/>
              <w:left w:val="single" w:sz="12" w:space="0" w:color="000000"/>
              <w:bottom w:val="single" w:sz="12" w:space="0" w:color="000000"/>
              <w:right w:val="single" w:sz="6"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6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b/>
                <w:sz w:val="18"/>
              </w:rPr>
              <w:t>27,204,000</w:t>
            </w:r>
            <w:r>
              <w:rPr>
                <w:rFonts w:ascii="Times New Roman"/>
                <w:sz w:val="18"/>
              </w:rPr>
            </w:r>
          </w:p>
        </w:tc>
        <w:tc>
          <w:tcPr>
            <w:tcW w:w="12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b/>
                <w:sz w:val="18"/>
              </w:rPr>
              <w:t>43,526,400</w:t>
            </w:r>
            <w:r>
              <w:rPr>
                <w:rFonts w:ascii="Times New Roman"/>
                <w:sz w:val="18"/>
              </w:rPr>
            </w:r>
          </w:p>
        </w:tc>
        <w:tc>
          <w:tcPr>
            <w:tcW w:w="1131" w:type="dxa"/>
            <w:tcBorders>
              <w:top w:val="single" w:sz="6" w:space="0" w:color="000000"/>
              <w:left w:val="single" w:sz="6" w:space="0" w:color="000000"/>
              <w:bottom w:val="single" w:sz="12" w:space="0" w:color="000000"/>
              <w:right w:val="single" w:sz="6" w:space="0" w:color="000000"/>
            </w:tcBorders>
          </w:tcPr>
          <w:p>
            <w:pPr/>
          </w:p>
        </w:tc>
        <w:tc>
          <w:tcPr>
            <w:tcW w:w="1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18"/>
                <w:szCs w:val="18"/>
              </w:rPr>
            </w:pPr>
            <w:r>
              <w:rPr>
                <w:rFonts w:ascii="Times New Roman"/>
                <w:b/>
                <w:sz w:val="18"/>
              </w:rPr>
              <w:t>402.33</w:t>
            </w:r>
            <w:r>
              <w:rPr>
                <w:rFonts w:ascii="Times New Roman"/>
                <w:sz w:val="18"/>
              </w:rPr>
            </w:r>
          </w:p>
        </w:tc>
        <w:tc>
          <w:tcPr>
            <w:tcW w:w="1275" w:type="dxa"/>
            <w:tcBorders>
              <w:top w:val="single" w:sz="6" w:space="0" w:color="000000"/>
              <w:left w:val="single" w:sz="6" w:space="0" w:color="000000"/>
              <w:bottom w:val="single" w:sz="12" w:space="0" w:color="000000"/>
              <w:right w:val="single" w:sz="12" w:space="0" w:color="000000"/>
            </w:tcBorders>
          </w:tcPr>
          <w:p>
            <w:pPr/>
          </w:p>
        </w:tc>
      </w:tr>
    </w:tbl>
    <w:p>
      <w:pPr>
        <w:spacing w:line="257" w:lineRule="exact" w:before="0"/>
        <w:ind w:left="160"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、报告期内，公司董事、监事和高级管理人员合计在公司领取的报酬总额为</w:t>
      </w:r>
      <w:r>
        <w:rPr>
          <w:rFonts w:ascii="Times New Roman" w:hAnsi="Times New Roman" w:cs="Times New Roman" w:eastAsia="Times New Roman" w:hint="default"/>
          <w:sz w:val="21"/>
          <w:szCs w:val="21"/>
        </w:rPr>
        <w:t>380.92</w:t>
      </w:r>
      <w:r>
        <w:rPr>
          <w:rFonts w:ascii="宋体" w:hAnsi="宋体" w:cs="宋体" w:eastAsia="宋体" w:hint="default"/>
          <w:sz w:val="21"/>
          <w:szCs w:val="21"/>
        </w:rPr>
        <w:t>万元，同比上年的</w:t>
      </w:r>
      <w:r>
        <w:rPr>
          <w:rFonts w:ascii="Times New Roman" w:hAnsi="Times New Roman" w:cs="Times New Roman" w:eastAsia="Times New Roman" w:hint="default"/>
          <w:sz w:val="21"/>
          <w:szCs w:val="21"/>
        </w:rPr>
        <w:t>432.16</w:t>
      </w:r>
      <w:r>
        <w:rPr>
          <w:rFonts w:ascii="宋体" w:hAnsi="宋体" w:cs="宋体" w:eastAsia="宋体" w:hint="default"/>
          <w:sz w:val="21"/>
          <w:szCs w:val="21"/>
        </w:rPr>
        <w:t>万元下降了</w:t>
      </w:r>
      <w:r>
        <w:rPr>
          <w:rFonts w:ascii="Times New Roman" w:hAnsi="Times New Roman" w:cs="Times New Roman" w:eastAsia="Times New Roman" w:hint="default"/>
          <w:sz w:val="21"/>
          <w:szCs w:val="21"/>
        </w:rPr>
        <w:t>6.9%</w:t>
      </w:r>
      <w:r>
        <w:rPr>
          <w:rFonts w:ascii="宋体" w:hAnsi="宋体" w:cs="宋体" w:eastAsia="宋体" w:hint="default"/>
          <w:sz w:val="21"/>
          <w:szCs w:val="21"/>
        </w:rPr>
        <w:t>。</w:t>
      </w:r>
    </w:p>
    <w:p>
      <w:pPr>
        <w:spacing w:after="0" w:line="257" w:lineRule="exact"/>
        <w:jc w:val="left"/>
        <w:rPr>
          <w:rFonts w:ascii="宋体" w:hAnsi="宋体" w:cs="宋体" w:eastAsia="宋体" w:hint="default"/>
          <w:sz w:val="21"/>
          <w:szCs w:val="21"/>
        </w:rPr>
        <w:sectPr>
          <w:headerReference w:type="default" r:id="rId37"/>
          <w:footerReference w:type="default" r:id="rId38"/>
          <w:pgSz w:w="16840" w:h="11910" w:orient="landscape"/>
          <w:pgMar w:header="884" w:footer="1174" w:top="1100" w:bottom="1360" w:left="1280" w:right="1260"/>
          <w:pgNumType w:start="72"/>
        </w:sectPr>
      </w:pP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1" w:lineRule="exact"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、葛全胜先生、刘先林先生为第一届董事会成员，任期届满后不再担任第二届董事会成员；高星先生和王浩先生为第二届董事会新成员。</w:t>
      </w:r>
    </w:p>
    <w:p>
      <w:pPr>
        <w:spacing w:line="274" w:lineRule="exact" w:before="16"/>
        <w:ind w:left="140"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、原独立董事刘先林先生只领取了第一季度的薪酬，原职工监事区励在</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月份因个人原因辞去监事职务，其薪酬指的是其在</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年任监事期间的所</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得薪酬。</w:t>
      </w:r>
    </w:p>
    <w:p>
      <w:pPr>
        <w:spacing w:line="262" w:lineRule="exact" w:before="0"/>
        <w:ind w:left="14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、区励的薪酬为其任监事期间的薪酬，其于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日辞去监事职务。职工监事刘英利的薪酬为其任职监事期间的薪酬。</w:t>
      </w:r>
    </w:p>
    <w:p>
      <w:pPr>
        <w:spacing w:line="240" w:lineRule="auto" w:before="3"/>
        <w:rPr>
          <w:rFonts w:ascii="宋体" w:hAnsi="宋体" w:cs="宋体" w:eastAsia="宋体" w:hint="default"/>
          <w:sz w:val="17"/>
          <w:szCs w:val="17"/>
        </w:rPr>
      </w:pPr>
    </w:p>
    <w:p>
      <w:pPr>
        <w:pStyle w:val="Heading3"/>
        <w:spacing w:line="240" w:lineRule="auto"/>
        <w:ind w:left="140" w:right="0"/>
        <w:jc w:val="left"/>
        <w:rPr>
          <w:b w:val="0"/>
          <w:bCs w:val="0"/>
        </w:rPr>
      </w:pPr>
      <w:bookmarkStart w:name="_TOC_250022" w:id="66"/>
      <w:r>
        <w:rPr/>
        <w:t>二、董事、监事、高级管理人员报告期内被授予的股权激励情况</w:t>
      </w:r>
      <w:bookmarkEnd w:id="66"/>
      <w:r>
        <w:rPr>
          <w:b w:val="0"/>
          <w:bCs w:val="0"/>
        </w:rPr>
      </w:r>
    </w:p>
    <w:p>
      <w:pPr>
        <w:spacing w:line="240" w:lineRule="auto" w:before="1"/>
        <w:rPr>
          <w:rFonts w:ascii="宋体" w:hAnsi="宋体" w:cs="宋体" w:eastAsia="宋体" w:hint="default"/>
          <w:b/>
          <w:bCs/>
          <w:sz w:val="22"/>
          <w:szCs w:val="22"/>
        </w:rPr>
      </w:pPr>
    </w:p>
    <w:tbl>
      <w:tblPr>
        <w:tblW w:w="0" w:type="auto"/>
        <w:jc w:val="left"/>
        <w:tblInd w:w="125" w:type="dxa"/>
        <w:tblLayout w:type="fixed"/>
        <w:tblCellMar>
          <w:top w:w="0" w:type="dxa"/>
          <w:left w:w="0" w:type="dxa"/>
          <w:bottom w:w="0" w:type="dxa"/>
          <w:right w:w="0" w:type="dxa"/>
        </w:tblCellMar>
        <w:tblLook w:val="01E0"/>
      </w:tblPr>
      <w:tblGrid>
        <w:gridCol w:w="780"/>
        <w:gridCol w:w="1039"/>
        <w:gridCol w:w="1301"/>
        <w:gridCol w:w="1275"/>
        <w:gridCol w:w="1135"/>
        <w:gridCol w:w="1133"/>
        <w:gridCol w:w="1277"/>
        <w:gridCol w:w="1416"/>
        <w:gridCol w:w="1561"/>
        <w:gridCol w:w="1277"/>
        <w:gridCol w:w="1416"/>
      </w:tblGrid>
      <w:tr>
        <w:trPr>
          <w:trHeight w:val="841" w:hRule="exact"/>
        </w:trPr>
        <w:tc>
          <w:tcPr>
            <w:tcW w:w="78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68"/>
              <w:jc w:val="right"/>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10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b/>
                <w:bCs/>
                <w:sz w:val="21"/>
                <w:szCs w:val="21"/>
              </w:rPr>
              <w:t>职务</w:t>
            </w:r>
            <w:r>
              <w:rPr>
                <w:rFonts w:ascii="宋体" w:hAnsi="宋体" w:cs="宋体" w:eastAsia="宋体" w:hint="default"/>
                <w:sz w:val="21"/>
                <w:szCs w:val="21"/>
              </w:rPr>
            </w:r>
          </w:p>
        </w:tc>
        <w:tc>
          <w:tcPr>
            <w:tcW w:w="130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15" w:right="113"/>
              <w:jc w:val="left"/>
              <w:rPr>
                <w:rFonts w:ascii="宋体" w:hAnsi="宋体" w:cs="宋体" w:eastAsia="宋体" w:hint="default"/>
                <w:sz w:val="21"/>
                <w:szCs w:val="21"/>
              </w:rPr>
            </w:pPr>
            <w:r>
              <w:rPr>
                <w:rFonts w:ascii="宋体" w:hAnsi="宋体" w:cs="宋体" w:eastAsia="宋体" w:hint="default"/>
                <w:b/>
                <w:bCs/>
                <w:sz w:val="21"/>
                <w:szCs w:val="21"/>
              </w:rPr>
              <w:t>期初持有股</w:t>
            </w:r>
            <w:r>
              <w:rPr>
                <w:rFonts w:ascii="宋体" w:hAnsi="宋体" w:cs="宋体" w:eastAsia="宋体" w:hint="default"/>
                <w:b/>
                <w:bCs/>
                <w:w w:val="100"/>
                <w:sz w:val="21"/>
                <w:szCs w:val="21"/>
              </w:rPr>
              <w:t> </w:t>
            </w:r>
            <w:r>
              <w:rPr>
                <w:rFonts w:ascii="宋体" w:hAnsi="宋体" w:cs="宋体" w:eastAsia="宋体" w:hint="default"/>
                <w:b/>
                <w:bCs/>
                <w:sz w:val="21"/>
                <w:szCs w:val="21"/>
              </w:rPr>
              <w:t>票期权数量</w:t>
            </w:r>
            <w:r>
              <w:rPr>
                <w:rFonts w:ascii="宋体" w:hAnsi="宋体" w:cs="宋体" w:eastAsia="宋体" w:hint="default"/>
                <w:sz w:val="21"/>
                <w:szCs w:val="21"/>
              </w:rPr>
            </w:r>
          </w:p>
        </w:tc>
        <w:tc>
          <w:tcPr>
            <w:tcW w:w="127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报告期新授</w:t>
            </w:r>
            <w:r>
              <w:rPr>
                <w:rFonts w:ascii="宋体" w:hAnsi="宋体" w:cs="宋体" w:eastAsia="宋体" w:hint="default"/>
                <w:sz w:val="21"/>
                <w:szCs w:val="21"/>
              </w:rPr>
            </w:r>
          </w:p>
          <w:p>
            <w:pPr>
              <w:pStyle w:val="TableParagraph"/>
              <w:spacing w:line="272" w:lineRule="exact" w:before="27"/>
              <w:ind w:left="418" w:right="101" w:hanging="318"/>
              <w:jc w:val="left"/>
              <w:rPr>
                <w:rFonts w:ascii="宋体" w:hAnsi="宋体" w:cs="宋体" w:eastAsia="宋体" w:hint="default"/>
                <w:sz w:val="21"/>
                <w:szCs w:val="21"/>
              </w:rPr>
            </w:pPr>
            <w:r>
              <w:rPr>
                <w:rFonts w:ascii="宋体" w:hAnsi="宋体" w:cs="宋体" w:eastAsia="宋体" w:hint="default"/>
                <w:b/>
                <w:bCs/>
                <w:sz w:val="21"/>
                <w:szCs w:val="21"/>
              </w:rPr>
              <w:t>予股票期权</w:t>
            </w:r>
            <w:r>
              <w:rPr>
                <w:rFonts w:ascii="宋体" w:hAnsi="宋体" w:cs="宋体" w:eastAsia="宋体" w:hint="default"/>
                <w:b/>
                <w:bCs/>
                <w:w w:val="100"/>
                <w:sz w:val="21"/>
                <w:szCs w:val="21"/>
              </w:rPr>
              <w:t> </w:t>
            </w:r>
            <w:r>
              <w:rPr>
                <w:rFonts w:ascii="宋体" w:hAnsi="宋体" w:cs="宋体" w:eastAsia="宋体" w:hint="default"/>
                <w:b/>
                <w:bCs/>
                <w:sz w:val="21"/>
                <w:szCs w:val="21"/>
              </w:rPr>
              <w:t>数量</w:t>
            </w:r>
            <w:r>
              <w:rPr>
                <w:rFonts w:ascii="宋体" w:hAnsi="宋体" w:cs="宋体" w:eastAsia="宋体" w:hint="default"/>
                <w:sz w:val="21"/>
                <w:szCs w:val="21"/>
              </w:rPr>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hAnsi="宋体" w:cs="宋体" w:eastAsia="宋体" w:hint="default"/>
                <w:b/>
                <w:bCs/>
                <w:sz w:val="21"/>
                <w:szCs w:val="21"/>
              </w:rPr>
              <w:t>报告期股票</w:t>
            </w:r>
            <w:r>
              <w:rPr>
                <w:rFonts w:ascii="宋体" w:hAnsi="宋体" w:cs="宋体" w:eastAsia="宋体" w:hint="default"/>
                <w:sz w:val="21"/>
                <w:szCs w:val="21"/>
              </w:rPr>
            </w:r>
          </w:p>
          <w:p>
            <w:pPr>
              <w:pStyle w:val="TableParagraph"/>
              <w:spacing w:line="272" w:lineRule="exact" w:before="27"/>
              <w:ind w:left="453" w:right="29" w:hanging="420"/>
              <w:jc w:val="left"/>
              <w:rPr>
                <w:rFonts w:ascii="宋体" w:hAnsi="宋体" w:cs="宋体" w:eastAsia="宋体" w:hint="default"/>
                <w:sz w:val="21"/>
                <w:szCs w:val="21"/>
              </w:rPr>
            </w:pPr>
            <w:r>
              <w:rPr>
                <w:rFonts w:ascii="宋体" w:hAnsi="宋体" w:cs="宋体" w:eastAsia="宋体" w:hint="default"/>
                <w:b/>
                <w:bCs/>
                <w:sz w:val="21"/>
                <w:szCs w:val="21"/>
              </w:rPr>
              <w:t>期权行权数</w:t>
            </w:r>
            <w:r>
              <w:rPr>
                <w:rFonts w:ascii="宋体" w:hAnsi="宋体" w:cs="宋体" w:eastAsia="宋体" w:hint="default"/>
                <w:b/>
                <w:bCs/>
                <w:w w:val="100"/>
                <w:sz w:val="21"/>
                <w:szCs w:val="21"/>
              </w:rPr>
              <w:t> </w:t>
            </w:r>
            <w:r>
              <w:rPr>
                <w:rFonts w:ascii="宋体" w:hAnsi="宋体" w:cs="宋体" w:eastAsia="宋体" w:hint="default"/>
                <w:b/>
                <w:bCs/>
                <w:sz w:val="21"/>
                <w:szCs w:val="21"/>
              </w:rPr>
              <w:t>量</w:t>
            </w:r>
            <w:r>
              <w:rPr>
                <w:rFonts w:ascii="宋体" w:hAnsi="宋体" w:cs="宋体" w:eastAsia="宋体" w:hint="default"/>
                <w:sz w:val="21"/>
                <w:szCs w:val="21"/>
              </w:rPr>
            </w:r>
          </w:p>
        </w:tc>
        <w:tc>
          <w:tcPr>
            <w:tcW w:w="1133"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239" w:right="29" w:hanging="209"/>
              <w:jc w:val="left"/>
              <w:rPr>
                <w:rFonts w:ascii="宋体" w:hAnsi="宋体" w:cs="宋体" w:eastAsia="宋体" w:hint="default"/>
                <w:sz w:val="21"/>
                <w:szCs w:val="21"/>
              </w:rPr>
            </w:pPr>
            <w:r>
              <w:rPr>
                <w:rFonts w:ascii="宋体" w:hAnsi="宋体" w:cs="宋体" w:eastAsia="宋体" w:hint="default"/>
                <w:b/>
                <w:bCs/>
                <w:sz w:val="21"/>
                <w:szCs w:val="21"/>
              </w:rPr>
              <w:t>股票期权行</w:t>
            </w:r>
            <w:r>
              <w:rPr>
                <w:rFonts w:ascii="宋体" w:hAnsi="宋体" w:cs="宋体" w:eastAsia="宋体" w:hint="default"/>
                <w:b/>
                <w:bCs/>
                <w:w w:val="100"/>
                <w:sz w:val="21"/>
                <w:szCs w:val="21"/>
              </w:rPr>
              <w:t> </w:t>
            </w:r>
            <w:r>
              <w:rPr>
                <w:rFonts w:ascii="宋体" w:hAnsi="宋体" w:cs="宋体" w:eastAsia="宋体" w:hint="default"/>
                <w:b/>
                <w:bCs/>
                <w:sz w:val="21"/>
                <w:szCs w:val="21"/>
              </w:rPr>
              <w:t>权价格</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b/>
                <w:bCs/>
                <w:sz w:val="21"/>
                <w:szCs w:val="21"/>
              </w:rPr>
              <w:t>期末持有股</w:t>
            </w:r>
            <w:r>
              <w:rPr>
                <w:rFonts w:ascii="宋体" w:hAnsi="宋体" w:cs="宋体" w:eastAsia="宋体" w:hint="default"/>
                <w:b/>
                <w:bCs/>
                <w:w w:val="100"/>
                <w:sz w:val="21"/>
                <w:szCs w:val="21"/>
              </w:rPr>
              <w:t> </w:t>
            </w:r>
            <w:r>
              <w:rPr>
                <w:rFonts w:ascii="宋体" w:hAnsi="宋体" w:cs="宋体" w:eastAsia="宋体" w:hint="default"/>
                <w:b/>
                <w:bCs/>
                <w:sz w:val="21"/>
                <w:szCs w:val="21"/>
              </w:rPr>
              <w:t>票期权数量</w:t>
            </w:r>
            <w:r>
              <w:rPr>
                <w:rFonts w:ascii="宋体" w:hAnsi="宋体" w:cs="宋体" w:eastAsia="宋体" w:hint="default"/>
                <w:sz w:val="21"/>
                <w:szCs w:val="21"/>
              </w:rPr>
            </w:r>
          </w:p>
        </w:tc>
        <w:tc>
          <w:tcPr>
            <w:tcW w:w="1416"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72" w:right="65" w:hanging="106"/>
              <w:jc w:val="left"/>
              <w:rPr>
                <w:rFonts w:ascii="宋体" w:hAnsi="宋体" w:cs="宋体" w:eastAsia="宋体" w:hint="default"/>
                <w:sz w:val="21"/>
                <w:szCs w:val="21"/>
              </w:rPr>
            </w:pPr>
            <w:r>
              <w:rPr>
                <w:rFonts w:ascii="宋体" w:hAnsi="宋体" w:cs="宋体" w:eastAsia="宋体" w:hint="default"/>
                <w:b/>
                <w:bCs/>
                <w:sz w:val="21"/>
                <w:szCs w:val="21"/>
              </w:rPr>
              <w:t>期初持有限制</w:t>
            </w:r>
            <w:r>
              <w:rPr>
                <w:rFonts w:ascii="宋体" w:hAnsi="宋体" w:cs="宋体" w:eastAsia="宋体" w:hint="default"/>
                <w:b/>
                <w:bCs/>
                <w:spacing w:val="-104"/>
                <w:sz w:val="21"/>
                <w:szCs w:val="21"/>
              </w:rPr>
              <w:t> </w:t>
            </w:r>
            <w:r>
              <w:rPr>
                <w:rFonts w:ascii="宋体" w:hAnsi="宋体" w:cs="宋体" w:eastAsia="宋体" w:hint="default"/>
                <w:b/>
                <w:bCs/>
                <w:sz w:val="21"/>
                <w:szCs w:val="21"/>
              </w:rPr>
              <w:t>性股票数量</w:t>
            </w:r>
            <w:r>
              <w:rPr>
                <w:rFonts w:ascii="宋体" w:hAnsi="宋体" w:cs="宋体" w:eastAsia="宋体" w:hint="default"/>
                <w:sz w:val="21"/>
                <w:szCs w:val="21"/>
              </w:rPr>
            </w:r>
          </w:p>
        </w:tc>
        <w:tc>
          <w:tcPr>
            <w:tcW w:w="1561"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39" w:right="32" w:hanging="106"/>
              <w:jc w:val="left"/>
              <w:rPr>
                <w:rFonts w:ascii="宋体" w:hAnsi="宋体" w:cs="宋体" w:eastAsia="宋体" w:hint="default"/>
                <w:sz w:val="21"/>
                <w:szCs w:val="21"/>
              </w:rPr>
            </w:pPr>
            <w:r>
              <w:rPr>
                <w:rFonts w:ascii="宋体" w:hAnsi="宋体" w:cs="宋体" w:eastAsia="宋体" w:hint="default"/>
                <w:b/>
                <w:bCs/>
                <w:sz w:val="21"/>
                <w:szCs w:val="21"/>
              </w:rPr>
              <w:t>报告期新授予限</w:t>
            </w:r>
            <w:r>
              <w:rPr>
                <w:rFonts w:ascii="宋体" w:hAnsi="宋体" w:cs="宋体" w:eastAsia="宋体" w:hint="default"/>
                <w:b/>
                <w:bCs/>
                <w:spacing w:val="-104"/>
                <w:sz w:val="21"/>
                <w:szCs w:val="21"/>
              </w:rPr>
              <w:t> </w:t>
            </w:r>
            <w:r>
              <w:rPr>
                <w:rFonts w:ascii="宋体" w:hAnsi="宋体" w:cs="宋体" w:eastAsia="宋体" w:hint="default"/>
                <w:b/>
                <w:bCs/>
                <w:sz w:val="21"/>
                <w:szCs w:val="21"/>
              </w:rPr>
              <w:t>制性股票数量</w:t>
            </w:r>
            <w:r>
              <w:rPr>
                <w:rFonts w:ascii="宋体" w:hAnsi="宋体" w:cs="宋体" w:eastAsia="宋体" w:hint="default"/>
                <w:sz w:val="21"/>
                <w:szCs w:val="21"/>
              </w:rPr>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72" w:lineRule="exact" w:before="130"/>
              <w:ind w:left="103" w:right="101"/>
              <w:jc w:val="left"/>
              <w:rPr>
                <w:rFonts w:ascii="宋体" w:hAnsi="宋体" w:cs="宋体" w:eastAsia="宋体" w:hint="default"/>
                <w:sz w:val="21"/>
                <w:szCs w:val="21"/>
              </w:rPr>
            </w:pPr>
            <w:r>
              <w:rPr>
                <w:rFonts w:ascii="宋体" w:hAnsi="宋体" w:cs="宋体" w:eastAsia="宋体" w:hint="default"/>
                <w:b/>
                <w:bCs/>
                <w:sz w:val="21"/>
                <w:szCs w:val="21"/>
              </w:rPr>
              <w:t>限制性股票</w:t>
            </w:r>
            <w:r>
              <w:rPr>
                <w:rFonts w:ascii="宋体" w:hAnsi="宋体" w:cs="宋体" w:eastAsia="宋体" w:hint="default"/>
                <w:b/>
                <w:bCs/>
                <w:w w:val="100"/>
                <w:sz w:val="21"/>
                <w:szCs w:val="21"/>
              </w:rPr>
              <w:t> </w:t>
            </w:r>
            <w:r>
              <w:rPr>
                <w:rFonts w:ascii="宋体" w:hAnsi="宋体" w:cs="宋体" w:eastAsia="宋体" w:hint="default"/>
                <w:b/>
                <w:bCs/>
                <w:sz w:val="21"/>
                <w:szCs w:val="21"/>
              </w:rPr>
              <w:t>的授予价格</w:t>
            </w:r>
            <w:r>
              <w:rPr>
                <w:rFonts w:ascii="宋体" w:hAnsi="宋体" w:cs="宋体" w:eastAsia="宋体" w:hint="default"/>
                <w:sz w:val="21"/>
                <w:szCs w:val="21"/>
              </w:rPr>
            </w:r>
          </w:p>
        </w:tc>
        <w:tc>
          <w:tcPr>
            <w:tcW w:w="1416"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before="130"/>
              <w:ind w:left="172" w:right="58" w:hanging="106"/>
              <w:jc w:val="left"/>
              <w:rPr>
                <w:rFonts w:ascii="宋体" w:hAnsi="宋体" w:cs="宋体" w:eastAsia="宋体" w:hint="default"/>
                <w:sz w:val="21"/>
                <w:szCs w:val="21"/>
              </w:rPr>
            </w:pPr>
            <w:r>
              <w:rPr>
                <w:rFonts w:ascii="宋体" w:hAnsi="宋体" w:cs="宋体" w:eastAsia="宋体" w:hint="default"/>
                <w:b/>
                <w:bCs/>
                <w:sz w:val="21"/>
                <w:szCs w:val="21"/>
              </w:rPr>
              <w:t>期末持有限制</w:t>
            </w:r>
            <w:r>
              <w:rPr>
                <w:rFonts w:ascii="宋体" w:hAnsi="宋体" w:cs="宋体" w:eastAsia="宋体" w:hint="default"/>
                <w:b/>
                <w:bCs/>
                <w:spacing w:val="-104"/>
                <w:sz w:val="21"/>
                <w:szCs w:val="21"/>
              </w:rPr>
              <w:t> </w:t>
            </w:r>
            <w:r>
              <w:rPr>
                <w:rFonts w:ascii="宋体" w:hAnsi="宋体" w:cs="宋体" w:eastAsia="宋体" w:hint="default"/>
                <w:b/>
                <w:bCs/>
                <w:sz w:val="21"/>
                <w:szCs w:val="21"/>
              </w:rPr>
              <w:t>性股票数量</w:t>
            </w:r>
            <w:r>
              <w:rPr>
                <w:rFonts w:ascii="宋体" w:hAnsi="宋体" w:cs="宋体" w:eastAsia="宋体" w:hint="default"/>
                <w:sz w:val="21"/>
                <w:szCs w:val="21"/>
              </w:rPr>
            </w:r>
          </w:p>
        </w:tc>
      </w:tr>
      <w:tr>
        <w:trPr>
          <w:trHeight w:val="286" w:hRule="exact"/>
        </w:trPr>
        <w:tc>
          <w:tcPr>
            <w:tcW w:w="780"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left="14" w:right="0"/>
              <w:jc w:val="left"/>
              <w:rPr>
                <w:rFonts w:ascii="宋体" w:hAnsi="宋体" w:cs="宋体" w:eastAsia="宋体" w:hint="default"/>
                <w:sz w:val="21"/>
                <w:szCs w:val="21"/>
              </w:rPr>
            </w:pPr>
            <w:r>
              <w:rPr>
                <w:rFonts w:ascii="宋体" w:hAnsi="宋体" w:cs="宋体" w:eastAsia="宋体" w:hint="default"/>
                <w:sz w:val="21"/>
                <w:szCs w:val="21"/>
              </w:rPr>
              <w:t>鹿麒</w:t>
            </w:r>
          </w:p>
        </w:tc>
        <w:tc>
          <w:tcPr>
            <w:tcW w:w="10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96,000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23" w:right="0"/>
              <w:jc w:val="left"/>
              <w:rPr>
                <w:rFonts w:ascii="Times New Roman" w:hAnsi="Times New Roman" w:cs="Times New Roman" w:eastAsia="Times New Roman" w:hint="default"/>
                <w:sz w:val="21"/>
                <w:szCs w:val="21"/>
              </w:rPr>
            </w:pPr>
            <w:r>
              <w:rPr>
                <w:rFonts w:ascii="Times New Roman"/>
                <w:sz w:val="21"/>
              </w:rPr>
              <w:t>17.66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96,000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7"/>
              <w:jc w:val="right"/>
              <w:rPr>
                <w:rFonts w:ascii="Times New Roman" w:hAnsi="Times New Roman" w:cs="Times New Roman" w:eastAsia="Times New Roman" w:hint="default"/>
                <w:sz w:val="21"/>
                <w:szCs w:val="21"/>
              </w:rPr>
            </w:pPr>
            <w:r>
              <w:rPr>
                <w:rFonts w:ascii="Times New Roman"/>
                <w:sz w:val="21"/>
              </w:rPr>
              <w:t>0.00</w:t>
            </w:r>
          </w:p>
        </w:tc>
        <w:tc>
          <w:tcPr>
            <w:tcW w:w="141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right="12"/>
              <w:jc w:val="right"/>
              <w:rPr>
                <w:rFonts w:ascii="Times New Roman" w:hAnsi="Times New Roman" w:cs="Times New Roman" w:eastAsia="Times New Roman" w:hint="default"/>
                <w:sz w:val="21"/>
                <w:szCs w:val="21"/>
              </w:rPr>
            </w:pPr>
            <w:r>
              <w:rPr>
                <w:rFonts w:ascii="Times New Roman"/>
                <w:w w:val="100"/>
                <w:sz w:val="21"/>
              </w:rPr>
              <w:t>0</w:t>
            </w:r>
          </w:p>
        </w:tc>
      </w:tr>
      <w:tr>
        <w:trPr>
          <w:trHeight w:val="293" w:hRule="exact"/>
        </w:trPr>
        <w:tc>
          <w:tcPr>
            <w:tcW w:w="780" w:type="dxa"/>
            <w:tcBorders>
              <w:top w:val="single" w:sz="6" w:space="0" w:color="000000"/>
              <w:left w:val="single" w:sz="12" w:space="0" w:color="000000"/>
              <w:bottom w:val="single" w:sz="12"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z w:val="21"/>
                <w:szCs w:val="21"/>
              </w:rPr>
              <w:t>合计</w:t>
            </w:r>
          </w:p>
        </w:tc>
        <w:tc>
          <w:tcPr>
            <w:tcW w:w="10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w:t>
            </w:r>
          </w:p>
        </w:tc>
        <w:tc>
          <w:tcPr>
            <w:tcW w:w="13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96,000</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sz w:val="21"/>
              </w:rPr>
              <w:t>96,000</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7"/>
              <w:jc w:val="right"/>
              <w:rPr>
                <w:rFonts w:ascii="Times New Roman" w:hAnsi="Times New Roman" w:cs="Times New Roman" w:eastAsia="Times New Roman" w:hint="default"/>
                <w:sz w:val="21"/>
                <w:szCs w:val="21"/>
              </w:rPr>
            </w:pPr>
            <w:r>
              <w:rPr>
                <w:rFonts w:ascii="Times New Roman"/>
                <w:w w:val="100"/>
                <w:sz w:val="21"/>
              </w:rPr>
              <w:t>0</w:t>
            </w:r>
          </w:p>
        </w:tc>
        <w:tc>
          <w:tcPr>
            <w:tcW w:w="1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c>
          <w:tcPr>
            <w:tcW w:w="141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right="12"/>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84" w:footer="1174" w:top="1100" w:bottom="1360" w:left="1300" w:right="130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pStyle w:val="Heading3"/>
        <w:spacing w:line="388" w:lineRule="auto" w:before="7"/>
        <w:ind w:right="236"/>
        <w:jc w:val="both"/>
        <w:rPr>
          <w:b w:val="0"/>
          <w:bCs w:val="0"/>
        </w:rPr>
      </w:pPr>
      <w:r>
        <w:rPr/>
        <w:t>三、董事、监事、高级管理人员最近</w:t>
      </w:r>
      <w:r>
        <w:rPr>
          <w:spacing w:val="-100"/>
        </w:rPr>
        <w:t>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年的主要工作经历和在除股</w:t>
      </w:r>
      <w:r>
        <w:rPr>
          <w:w w:val="99"/>
        </w:rPr>
        <w:t> </w:t>
      </w:r>
      <w:r>
        <w:rPr/>
        <w:t>东单位外的其他单位的任职或兼职情况</w:t>
      </w:r>
      <w:r>
        <w:rPr>
          <w:b w:val="0"/>
          <w:bCs w:val="0"/>
        </w:rPr>
      </w:r>
    </w:p>
    <w:p>
      <w:pPr>
        <w:spacing w:line="240" w:lineRule="auto" w:before="1"/>
        <w:rPr>
          <w:rFonts w:ascii="宋体" w:hAnsi="宋体" w:cs="宋体" w:eastAsia="宋体" w:hint="default"/>
          <w:b/>
          <w:bCs/>
          <w:sz w:val="28"/>
          <w:szCs w:val="28"/>
        </w:rPr>
      </w:pPr>
    </w:p>
    <w:p>
      <w:pPr>
        <w:pStyle w:val="BodyText"/>
        <w:spacing w:line="338" w:lineRule="auto"/>
        <w:ind w:right="234" w:firstLine="479"/>
        <w:jc w:val="both"/>
      </w:pPr>
      <w:r>
        <w:rPr/>
        <w:t>董事长钟耳顺先生：中国国籍，无境外居留权，</w:t>
      </w:r>
      <w:r>
        <w:rPr>
          <w:rFonts w:ascii="Times New Roman" w:hAnsi="Times New Roman" w:cs="Times New Roman" w:eastAsia="Times New Roman" w:hint="default"/>
        </w:rPr>
        <w:t>56</w:t>
      </w:r>
      <w:r>
        <w:rPr/>
        <w:t>岁，博士，中国科学院地理 科学与资源研究所博士生导师，中国</w:t>
      </w:r>
      <w:r>
        <w:rPr>
          <w:rFonts w:ascii="Times New Roman" w:hAnsi="Times New Roman" w:cs="Times New Roman" w:eastAsia="Times New Roman" w:hint="default"/>
        </w:rPr>
        <w:t>GIS</w:t>
      </w:r>
      <w:r>
        <w:rPr/>
        <w:t>协会副会长，中国地理学会地图与</w:t>
      </w:r>
      <w:r>
        <w:rPr>
          <w:rFonts w:ascii="Times New Roman" w:hAnsi="Times New Roman" w:cs="Times New Roman" w:eastAsia="Times New Roman" w:hint="default"/>
        </w:rPr>
        <w:t>GIS</w:t>
      </w:r>
      <w:r>
        <w:rPr/>
        <w:t>专业 委员会主任委员。</w:t>
      </w:r>
    </w:p>
    <w:p>
      <w:pPr>
        <w:pStyle w:val="BodyText"/>
        <w:spacing w:line="340" w:lineRule="auto" w:before="53"/>
        <w:ind w:right="100" w:firstLine="412"/>
        <w:jc w:val="left"/>
      </w:pPr>
      <w:r>
        <w:rPr/>
        <w:t>钟耳顺先生是我国</w:t>
      </w:r>
      <w:r>
        <w:rPr>
          <w:spacing w:val="-61"/>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业界的知名专家，长期以来从事地理信息技术的研究和 产业发展工作，曾主持和参加多项由中国科学院和国家科技部下达的科研项目，其 中包括两项国家</w:t>
      </w:r>
      <w:r>
        <w:rPr>
          <w:spacing w:val="-61"/>
        </w:rPr>
        <w:t> </w:t>
      </w:r>
      <w:r>
        <w:rPr>
          <w:rFonts w:ascii="Times New Roman" w:hAnsi="Times New Roman" w:cs="Times New Roman" w:eastAsia="Times New Roman" w:hint="default"/>
        </w:rPr>
        <w:t>863 </w:t>
      </w:r>
      <w:r>
        <w:rPr/>
        <w:t>课题，并负责多个地方性地理信息系统工程建设。钟耳顺先生 领导和主持</w:t>
      </w:r>
      <w:r>
        <w:rPr>
          <w:spacing w:val="-62"/>
        </w:rPr>
        <w:t> </w:t>
      </w:r>
      <w:r>
        <w:rPr>
          <w:rFonts w:ascii="Times New Roman" w:hAnsi="Times New Roman" w:cs="Times New Roman" w:eastAsia="Times New Roman" w:hint="default"/>
        </w:rPr>
        <w:t>SuperMap GIS </w:t>
      </w:r>
      <w:r>
        <w:rPr>
          <w:spacing w:val="-3"/>
        </w:rPr>
        <w:t>软件的设计与产业化工作，为推动中国科学院地理信息产</w:t>
      </w:r>
      <w:r>
        <w:rPr/>
        <w:t> 业发展和成果转化做了大量的工作，发表学术论文</w:t>
      </w:r>
      <w:r>
        <w:rPr>
          <w:spacing w:val="-60"/>
        </w:rPr>
        <w:t> </w:t>
      </w:r>
      <w:r>
        <w:rPr>
          <w:rFonts w:ascii="Times New Roman" w:hAnsi="Times New Roman" w:cs="Times New Roman" w:eastAsia="Times New Roman" w:hint="default"/>
        </w:rPr>
        <w:t>30 </w:t>
      </w:r>
      <w:r>
        <w:rPr/>
        <w:t>多篇，</w:t>
      </w:r>
      <w:r>
        <w:rPr>
          <w:rFonts w:ascii="Times New Roman" w:hAnsi="Times New Roman" w:cs="Times New Roman" w:eastAsia="Times New Roman" w:hint="default"/>
        </w:rPr>
        <w:t>1999 </w:t>
      </w:r>
      <w:r>
        <w:rPr/>
        <w:t>年获中国科协杰 </w:t>
      </w:r>
      <w:r>
        <w:rPr>
          <w:spacing w:val="-3"/>
        </w:rPr>
        <w:t>出青年成果转化奖，</w:t>
      </w:r>
      <w:r>
        <w:rPr>
          <w:rFonts w:ascii="Times New Roman" w:hAnsi="Times New Roman" w:cs="Times New Roman" w:eastAsia="Times New Roman" w:hint="default"/>
          <w:spacing w:val="-3"/>
        </w:rPr>
        <w:t>2003 </w:t>
      </w:r>
      <w:r>
        <w:rPr/>
        <w:t>年获北京市科学技术奖一等奖，</w:t>
      </w:r>
      <w:r>
        <w:rPr>
          <w:rFonts w:ascii="Times New Roman" w:hAnsi="Times New Roman" w:cs="Times New Roman" w:eastAsia="Times New Roman" w:hint="default"/>
        </w:rPr>
        <w:t>2004</w:t>
      </w:r>
      <w:r>
        <w:rPr>
          <w:rFonts w:ascii="Times New Roman" w:hAnsi="Times New Roman" w:cs="Times New Roman" w:eastAsia="Times New Roman" w:hint="default"/>
          <w:spacing w:val="-12"/>
        </w:rPr>
        <w:t> </w:t>
      </w:r>
      <w:r>
        <w:rPr/>
        <w:t>年荣获国家科学技术 进步二等奖，</w:t>
      </w:r>
      <w:r>
        <w:rPr>
          <w:rFonts w:ascii="Times New Roman" w:hAnsi="Times New Roman" w:cs="Times New Roman" w:eastAsia="Times New Roman" w:hint="default"/>
        </w:rPr>
        <w:t>2005</w:t>
      </w:r>
      <w:r>
        <w:rPr>
          <w:rFonts w:ascii="Times New Roman" w:hAnsi="Times New Roman" w:cs="Times New Roman" w:eastAsia="Times New Roman" w:hint="default"/>
          <w:spacing w:val="-4"/>
        </w:rPr>
        <w:t> </w:t>
      </w:r>
      <w:r>
        <w:rPr/>
        <w:t>年和</w:t>
      </w:r>
      <w:r>
        <w:rPr>
          <w:spacing w:val="-6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年分别获北京市科学技术奖二等奖以及其他多个奖项。</w:t>
      </w:r>
    </w:p>
    <w:p>
      <w:pPr>
        <w:pStyle w:val="BodyText"/>
        <w:spacing w:line="338" w:lineRule="auto" w:before="24"/>
        <w:ind w:right="232" w:firstLine="479"/>
        <w:jc w:val="both"/>
      </w:pPr>
      <w:r>
        <w:rPr/>
        <w:t>董事、总经理宋关福先生：中国国籍，无境外居留权，</w:t>
      </w:r>
      <w:r>
        <w:rPr>
          <w:rFonts w:ascii="Times New Roman" w:hAnsi="Times New Roman" w:cs="Times New Roman" w:eastAsia="Times New Roman" w:hint="default"/>
        </w:rPr>
        <w:t>42 </w:t>
      </w:r>
      <w:r>
        <w:rPr/>
        <w:t>岁，博士，中国</w:t>
      </w:r>
      <w:r>
        <w:rPr>
          <w:spacing w:val="-41"/>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协会副会长，</w:t>
      </w:r>
      <w:r>
        <w:rPr>
          <w:rFonts w:ascii="Times New Roman" w:hAnsi="Times New Roman" w:cs="Times New Roman" w:eastAsia="Times New Roman" w:hint="default"/>
        </w:rPr>
        <w:t>2006 </w:t>
      </w:r>
      <w:r>
        <w:rPr>
          <w:spacing w:val="-3"/>
        </w:rPr>
        <w:t>年度“中国软件企业十大领军人物”之一。</w:t>
      </w:r>
      <w:r>
        <w:rPr>
          <w:rFonts w:ascii="Times New Roman" w:hAnsi="Times New Roman" w:cs="Times New Roman" w:eastAsia="Times New Roman" w:hint="default"/>
          <w:spacing w:val="-3"/>
        </w:rPr>
        <w:t>1997</w:t>
      </w:r>
      <w:r>
        <w:rPr>
          <w:rFonts w:ascii="Times New Roman" w:hAnsi="Times New Roman" w:cs="Times New Roman" w:eastAsia="Times New Roman" w:hint="default"/>
          <w:spacing w:val="1"/>
        </w:rPr>
        <w:t> </w:t>
      </w:r>
      <w:r>
        <w:rPr/>
        <w:t>年参与本公司筹 建，至今工作于本公司，任总经理。</w:t>
      </w:r>
    </w:p>
    <w:p>
      <w:pPr>
        <w:pStyle w:val="BodyText"/>
        <w:spacing w:line="240" w:lineRule="auto" w:before="55"/>
        <w:ind w:left="618" w:right="100"/>
        <w:jc w:val="left"/>
        <w:rPr>
          <w:rFonts w:ascii="Times New Roman" w:hAnsi="Times New Roman" w:cs="Times New Roman" w:eastAsia="Times New Roman" w:hint="default"/>
        </w:rPr>
      </w:pPr>
      <w:r>
        <w:rPr/>
        <w:t>董事高星先生：中国国籍，无境外居留权，</w:t>
      </w:r>
      <w:r>
        <w:rPr>
          <w:rFonts w:ascii="Times New Roman" w:hAnsi="Times New Roman" w:cs="Times New Roman" w:eastAsia="Times New Roman" w:hint="default"/>
        </w:rPr>
        <w:t>45 </w:t>
      </w:r>
      <w:r>
        <w:rPr/>
        <w:t>岁，博士，</w:t>
      </w:r>
      <w:r>
        <w:rPr>
          <w:rFonts w:ascii="Times New Roman" w:hAnsi="Times New Roman" w:cs="Times New Roman" w:eastAsia="Times New Roman" w:hint="default"/>
        </w:rPr>
        <w:t>1991 </w:t>
      </w:r>
      <w:r>
        <w:rPr/>
        <w:t>年 </w:t>
      </w:r>
      <w:r>
        <w:rPr>
          <w:rFonts w:ascii="Times New Roman" w:hAnsi="Times New Roman" w:cs="Times New Roman" w:eastAsia="Times New Roman" w:hint="default"/>
        </w:rPr>
        <w:t>7 </w:t>
      </w:r>
      <w:r>
        <w:rPr/>
        <w:t>月至</w:t>
      </w:r>
      <w:r>
        <w:rPr>
          <w:spacing w:val="-11"/>
        </w:rPr>
        <w:t> </w:t>
      </w:r>
      <w:r>
        <w:rPr>
          <w:rFonts w:ascii="Times New Roman" w:hAnsi="Times New Roman" w:cs="Times New Roman" w:eastAsia="Times New Roman" w:hint="default"/>
        </w:rPr>
        <w:t>1995</w:t>
      </w:r>
    </w:p>
    <w:p>
      <w:pPr>
        <w:pStyle w:val="BodyText"/>
        <w:spacing w:line="343" w:lineRule="auto" w:before="133"/>
        <w:ind w:right="234"/>
        <w:jc w:val="both"/>
      </w:pP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月工作于中国科学院地球物理研究所；</w:t>
      </w:r>
      <w:r>
        <w:rPr>
          <w:rFonts w:ascii="Times New Roman" w:hAnsi="Times New Roman" w:cs="Times New Roman" w:eastAsia="Times New Roman" w:hint="default"/>
        </w:rPr>
        <w:t>1995</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月至</w:t>
      </w:r>
      <w:r>
        <w:rPr>
          <w:spacing w:val="-48"/>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4"/>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月工作于中 国科学院机关，先后任中国科学院办公厅秘书处副处长、处长、人事教育局科技干</w:t>
      </w:r>
      <w:r>
        <w:rPr>
          <w:spacing w:val="-77"/>
        </w:rPr>
        <w:t> </w:t>
      </w:r>
      <w:r>
        <w:rPr>
          <w:spacing w:val="-77"/>
        </w:rPr>
      </w:r>
      <w:r>
        <w:rPr/>
        <w:t>部处处长；</w:t>
      </w:r>
      <w:r>
        <w:rPr>
          <w:rFonts w:ascii="Times New Roman" w:hAnsi="Times New Roman" w:cs="Times New Roman" w:eastAsia="Times New Roman" w:hint="default"/>
        </w:rPr>
        <w:t>2003</w:t>
      </w:r>
      <w:r>
        <w:rPr>
          <w:rFonts w:ascii="Times New Roman" w:hAnsi="Times New Roman" w:cs="Times New Roman" w:eastAsia="Times New Roman" w:hint="default"/>
          <w:spacing w:val="15"/>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月至</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5"/>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月工作于中国科学院青藏高原研究所，先后担 任副所长、党委副书记、党委书记；</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月至今，工作于中国科学院地理科学 与资源研究所工作，任党委副书记，分管科技成果转移转化和所地合作工作。</w:t>
      </w:r>
    </w:p>
    <w:p>
      <w:pPr>
        <w:pStyle w:val="BodyText"/>
        <w:spacing w:line="338" w:lineRule="auto" w:before="50"/>
        <w:ind w:right="234" w:firstLine="479"/>
        <w:jc w:val="both"/>
      </w:pPr>
      <w:r>
        <w:rPr/>
        <w:t>董事徐立新先生：美国国籍，在美国有居留权，</w:t>
      </w:r>
      <w:r>
        <w:rPr>
          <w:rFonts w:ascii="Times New Roman" w:hAnsi="Times New Roman" w:cs="Times New Roman" w:eastAsia="Times New Roman" w:hint="default"/>
        </w:rPr>
        <w:t>44 </w:t>
      </w:r>
      <w:r>
        <w:rPr/>
        <w:t>岁，博士，</w:t>
      </w:r>
      <w:r>
        <w:rPr>
          <w:rFonts w:ascii="Times New Roman" w:hAnsi="Times New Roman" w:cs="Times New Roman" w:eastAsia="Times New Roman" w:hint="default"/>
        </w:rPr>
        <w:t>1999 </w:t>
      </w:r>
      <w:r>
        <w:rPr/>
        <w:t>年</w:t>
      </w:r>
      <w:r>
        <w:rPr>
          <w:rFonts w:ascii="Times New Roman" w:hAnsi="Times New Roman" w:cs="Times New Roman" w:eastAsia="Times New Roman" w:hint="default"/>
        </w:rPr>
        <w:t>-2002</w:t>
      </w:r>
      <w:r>
        <w:rPr>
          <w:rFonts w:ascii="Times New Roman" w:hAnsi="Times New Roman" w:cs="Times New Roman" w:eastAsia="Times New Roman" w:hint="default"/>
          <w:spacing w:val="29"/>
        </w:rPr>
        <w:t> </w:t>
      </w:r>
      <w:r>
        <w:rPr/>
        <w:t>年 在高盛公司（香港）任投资银行经理；</w:t>
      </w: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-2003</w:t>
      </w:r>
      <w:r>
        <w:rPr>
          <w:rFonts w:ascii="Times New Roman" w:hAnsi="Times New Roman" w:cs="Times New Roman" w:eastAsia="Times New Roman" w:hint="default"/>
          <w:spacing w:val="30"/>
        </w:rPr>
        <w:t> </w:t>
      </w:r>
      <w:r>
        <w:rPr/>
        <w:t>年在中富证券任投行部主管、 </w:t>
      </w:r>
      <w:r>
        <w:rPr>
          <w:spacing w:val="-3"/>
        </w:rPr>
        <w:t>总经理以及董事；</w:t>
      </w:r>
      <w:r>
        <w:rPr>
          <w:rFonts w:ascii="Times New Roman" w:hAnsi="Times New Roman" w:cs="Times New Roman" w:eastAsia="Times New Roman" w:hint="default"/>
          <w:spacing w:val="-3"/>
        </w:rPr>
        <w:t>2003 </w:t>
      </w:r>
      <w:r>
        <w:rPr/>
        <w:t>年</w:t>
      </w:r>
      <w:r>
        <w:rPr>
          <w:rFonts w:ascii="Times New Roman" w:hAnsi="Times New Roman" w:cs="Times New Roman" w:eastAsia="Times New Roman" w:hint="default"/>
        </w:rPr>
        <w:t>-2004 </w:t>
      </w:r>
      <w:r>
        <w:rPr/>
        <w:t>年在格雷特投资管理公司任执行总裁；</w:t>
      </w:r>
      <w:r>
        <w:rPr>
          <w:rFonts w:ascii="Times New Roman" w:hAnsi="Times New Roman" w:cs="Times New Roman" w:eastAsia="Times New Roman" w:hint="default"/>
        </w:rPr>
        <w:t>2004-2006</w:t>
      </w:r>
      <w:r>
        <w:rPr>
          <w:rFonts w:ascii="Times New Roman" w:hAnsi="Times New Roman" w:cs="Times New Roman" w:eastAsia="Times New Roman" w:hint="default"/>
          <w:spacing w:val="-11"/>
        </w:rPr>
        <w:t> </w:t>
      </w:r>
      <w:r>
        <w:rPr/>
        <w:t>年 在坤茂国际投资公司任执行总裁；</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年至今，任高投名力成长创业投资有限公司 总经理。</w:t>
      </w:r>
    </w:p>
    <w:p>
      <w:pPr>
        <w:pStyle w:val="BodyText"/>
        <w:spacing w:line="338" w:lineRule="auto" w:before="53"/>
        <w:ind w:right="225" w:firstLine="479"/>
        <w:jc w:val="both"/>
      </w:pPr>
      <w:r>
        <w:rPr/>
        <w:t>董事王尔琪先生：中国国籍，无境外居留权，</w:t>
      </w:r>
      <w:r>
        <w:rPr>
          <w:rFonts w:ascii="Times New Roman" w:hAnsi="Times New Roman" w:cs="Times New Roman" w:eastAsia="Times New Roman" w:hint="default"/>
        </w:rPr>
        <w:t>40 </w:t>
      </w:r>
      <w:r>
        <w:rPr/>
        <w:t>岁，硕士。参与本公司创立， 曾任公司工程事业部副总经理，专用软件事业部总经理，现在公司副总经理。</w:t>
      </w:r>
    </w:p>
    <w:p>
      <w:pPr>
        <w:spacing w:after="0" w:line="338" w:lineRule="auto"/>
        <w:jc w:val="both"/>
        <w:sectPr>
          <w:headerReference w:type="default" r:id="rId39"/>
          <w:footerReference w:type="default" r:id="rId40"/>
          <w:pgSz w:w="11910" w:h="16840"/>
          <w:pgMar w:header="884" w:footer="1173" w:top="1140" w:bottom="1360" w:left="1660" w:right="1180"/>
          <w:pgNumType w:start="74"/>
        </w:sectPr>
      </w:pPr>
    </w:p>
    <w:p>
      <w:pPr>
        <w:spacing w:line="240" w:lineRule="auto" w:before="6"/>
        <w:rPr>
          <w:rFonts w:ascii="宋体" w:hAnsi="宋体" w:cs="宋体" w:eastAsia="宋体" w:hint="default"/>
          <w:sz w:val="16"/>
          <w:szCs w:val="16"/>
        </w:rPr>
      </w:pPr>
    </w:p>
    <w:p>
      <w:pPr>
        <w:pStyle w:val="BodyText"/>
        <w:spacing w:line="348" w:lineRule="auto" w:before="26"/>
        <w:ind w:right="232" w:firstLine="479"/>
        <w:jc w:val="right"/>
      </w:pPr>
      <w:r>
        <w:rPr/>
        <w:t>董事王康弘先生：中国国籍，无境外居留权，</w:t>
      </w:r>
      <w:r>
        <w:rPr>
          <w:rFonts w:ascii="Times New Roman" w:hAnsi="Times New Roman" w:cs="Times New Roman" w:eastAsia="Times New Roman" w:hint="default"/>
        </w:rPr>
        <w:t>39</w:t>
      </w:r>
      <w:r>
        <w:rPr>
          <w:rFonts w:ascii="Times New Roman" w:hAnsi="Times New Roman" w:cs="Times New Roman" w:eastAsia="Times New Roman" w:hint="default"/>
          <w:spacing w:val="-6"/>
        </w:rPr>
        <w:t> </w:t>
      </w:r>
      <w:r>
        <w:rPr>
          <w:spacing w:val="-3"/>
        </w:rPr>
        <w:t>岁，博士，中国</w:t>
      </w:r>
      <w:r>
        <w:rPr>
          <w:spacing w:val="-66"/>
        </w:rPr>
        <w:t> </w:t>
      </w: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t>协会电子 政务分会委员。自毕业后加入本公司从事市场销售主管工作，现任公司副总经理。 独立董事王浩先生：中国国籍，无境外居留权，</w:t>
      </w:r>
      <w:r>
        <w:rPr>
          <w:rFonts w:ascii="Times New Roman" w:hAnsi="Times New Roman" w:cs="Times New Roman" w:eastAsia="Times New Roman" w:hint="default"/>
        </w:rPr>
        <w:t>58</w:t>
      </w:r>
      <w:r>
        <w:rPr>
          <w:rFonts w:ascii="Times New Roman" w:hAnsi="Times New Roman" w:cs="Times New Roman" w:eastAsia="Times New Roman" w:hint="default"/>
          <w:spacing w:val="-12"/>
        </w:rPr>
        <w:t> </w:t>
      </w:r>
      <w:r>
        <w:rPr/>
        <w:t>岁，中国工程院院士，教授</w:t>
      </w:r>
    </w:p>
    <w:p>
      <w:pPr>
        <w:pStyle w:val="BodyText"/>
        <w:spacing w:line="338" w:lineRule="auto" w:before="16"/>
        <w:ind w:right="100"/>
        <w:jc w:val="left"/>
      </w:pPr>
      <w:r>
        <w:rPr>
          <w:spacing w:val="-7"/>
        </w:rPr>
        <w:t>级高工，博导，享有国务院政府津贴。</w:t>
      </w:r>
      <w:r>
        <w:rPr>
          <w:rFonts w:ascii="Times New Roman" w:hAnsi="Times New Roman" w:cs="Times New Roman" w:eastAsia="Times New Roman" w:hint="default"/>
          <w:spacing w:val="-7"/>
        </w:rPr>
        <w:t>1985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8"/>
        </w:rPr>
        <w:t> </w:t>
      </w:r>
      <w:r>
        <w:rPr/>
        <w:t>月至今工作于中国水科院水资源所， 历任工程师、副室主任、室主任、总工程师。</w:t>
      </w:r>
      <w:r>
        <w:rPr>
          <w:rFonts w:ascii="Times New Roman" w:hAnsi="Times New Roman" w:cs="Times New Roman" w:eastAsia="Times New Roman" w:hint="default"/>
        </w:rPr>
        <w:t>2001</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月至今任中国水科院水资源 所所长。</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t>年起兼任江门市地尔汉宇电器股份有限公司独立董事。</w:t>
      </w:r>
    </w:p>
    <w:p>
      <w:pPr>
        <w:pStyle w:val="BodyText"/>
        <w:spacing w:line="340" w:lineRule="auto" w:before="24"/>
        <w:ind w:right="234" w:firstLine="479"/>
        <w:jc w:val="both"/>
      </w:pPr>
      <w:r>
        <w:rPr/>
        <w:t>独立董事董云庭先生：中国国籍，无境外居留权，</w:t>
      </w:r>
      <w:r>
        <w:rPr>
          <w:rFonts w:ascii="Times New Roman" w:hAnsi="Times New Roman" w:cs="Times New Roman" w:eastAsia="Times New Roman" w:hint="default"/>
        </w:rPr>
        <w:t>66</w:t>
      </w:r>
      <w:r>
        <w:rPr>
          <w:rFonts w:ascii="Times New Roman" w:hAnsi="Times New Roman" w:cs="Times New Roman" w:eastAsia="Times New Roman" w:hint="default"/>
          <w:spacing w:val="-13"/>
        </w:rPr>
        <w:t> </w:t>
      </w:r>
      <w:r>
        <w:rPr/>
        <w:t>岁，硕士，教授，享有国 务院政府津贴。历任杭州电子工业学院讲师、系统工程教研室主任、管理工程系主</w:t>
      </w:r>
      <w:r>
        <w:rPr>
          <w:spacing w:val="-77"/>
        </w:rPr>
        <w:t> </w:t>
      </w:r>
      <w:r>
        <w:rPr>
          <w:spacing w:val="-77"/>
        </w:rPr>
      </w:r>
      <w:r>
        <w:rPr/>
        <w:t>任，</w:t>
      </w:r>
      <w:r>
        <w:rPr>
          <w:rFonts w:ascii="Times New Roman" w:hAnsi="Times New Roman" w:cs="Times New Roman" w:eastAsia="Times New Roman" w:hint="default"/>
        </w:rPr>
        <w:t>1990 </w:t>
      </w:r>
      <w:r>
        <w:rPr/>
        <w:t>年至 </w:t>
      </w:r>
      <w:r>
        <w:rPr>
          <w:rFonts w:ascii="Times New Roman" w:hAnsi="Times New Roman" w:cs="Times New Roman" w:eastAsia="Times New Roman" w:hint="default"/>
        </w:rPr>
        <w:t>1997 </w:t>
      </w:r>
      <w:r>
        <w:rPr/>
        <w:t>年回杭州电子工业学院历任院长助理、副院长等职务；在</w:t>
      </w:r>
      <w:r>
        <w:rPr>
          <w:spacing w:val="-71"/>
        </w:rPr>
        <w:t> </w:t>
      </w:r>
      <w:r>
        <w:rPr>
          <w:rFonts w:ascii="Times New Roman" w:hAnsi="Times New Roman" w:cs="Times New Roman" w:eastAsia="Times New Roman" w:hint="default"/>
        </w:rPr>
        <w:t>1994 </w:t>
      </w:r>
      <w:r>
        <w:rPr/>
        <w:t>年至 </w:t>
      </w:r>
      <w:r>
        <w:rPr>
          <w:rFonts w:ascii="Times New Roman" w:hAnsi="Times New Roman" w:cs="Times New Roman" w:eastAsia="Times New Roman" w:hint="default"/>
        </w:rPr>
        <w:t>1997 </w:t>
      </w:r>
      <w:r>
        <w:rPr/>
        <w:t>年期间兼任杭州电子工业学院工商管理学院院长职务；</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2000</w:t>
      </w:r>
      <w:r>
        <w:rPr>
          <w:rFonts w:ascii="Times New Roman" w:hAnsi="Times New Roman" w:cs="Times New Roman" w:eastAsia="Times New Roman" w:hint="default"/>
          <w:spacing w:val="-11"/>
        </w:rPr>
        <w:t> </w:t>
      </w:r>
      <w:r>
        <w:rPr/>
        <w:t>年 任中国电子工业发展规划研究院院长；</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年至今任中国电子信息产业发展研究院 战略研究中心主任；</w:t>
      </w:r>
      <w:r>
        <w:rPr>
          <w:rFonts w:ascii="Times New Roman" w:hAnsi="Times New Roman" w:cs="Times New Roman" w:eastAsia="Times New Roman" w:hint="default"/>
        </w:rPr>
        <w:t>2010 </w:t>
      </w:r>
      <w:r>
        <w:rPr/>
        <w:t>年至今任中国电子企业协会会长。</w:t>
      </w:r>
    </w:p>
    <w:p>
      <w:pPr>
        <w:pStyle w:val="BodyText"/>
        <w:spacing w:line="348" w:lineRule="auto" w:before="21"/>
        <w:ind w:right="232" w:firstLine="479"/>
        <w:jc w:val="both"/>
      </w:pPr>
      <w:r>
        <w:rPr>
          <w:spacing w:val="-6"/>
        </w:rPr>
        <w:t>独立董事谢德仁先生：男，中国国籍，无境外居留权，</w:t>
      </w:r>
      <w:r>
        <w:rPr>
          <w:rFonts w:ascii="Times New Roman" w:hAnsi="Times New Roman" w:cs="Times New Roman" w:eastAsia="Times New Roman" w:hint="default"/>
          <w:spacing w:val="-6"/>
        </w:rPr>
        <w:t>40</w:t>
      </w:r>
      <w:r>
        <w:rPr>
          <w:rFonts w:ascii="Times New Roman" w:hAnsi="Times New Roman" w:cs="Times New Roman" w:eastAsia="Times New Roman" w:hint="default"/>
          <w:spacing w:val="11"/>
        </w:rPr>
        <w:t> </w:t>
      </w:r>
      <w:r>
        <w:rPr>
          <w:spacing w:val="-9"/>
        </w:rPr>
        <w:t>岁，博士，教授。</w:t>
      </w:r>
      <w:r>
        <w:rPr>
          <w:rFonts w:ascii="Times New Roman" w:hAnsi="Times New Roman" w:cs="Times New Roman" w:eastAsia="Times New Roman" w:hint="default"/>
          <w:spacing w:val="-9"/>
        </w:rPr>
        <w:t>1998</w:t>
      </w:r>
      <w:r>
        <w:rPr>
          <w:rFonts w:ascii="Times New Roman" w:hAnsi="Times New Roman" w:cs="Times New Roman" w:eastAsia="Times New Roman" w:hint="default"/>
        </w:rPr>
        <w:t> </w:t>
      </w:r>
      <w:r>
        <w:rPr/>
        <w:t>年</w:t>
      </w:r>
      <w:r>
        <w:rPr>
          <w:spacing w:val="-69"/>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 </w:t>
      </w:r>
      <w:r>
        <w:rPr/>
        <w:t>月至今在清华大学经济管理学院任教，</w:t>
      </w:r>
      <w:r>
        <w:rPr>
          <w:rFonts w:ascii="Times New Roman" w:hAnsi="Times New Roman" w:cs="Times New Roman" w:eastAsia="Times New Roman" w:hint="default"/>
        </w:rPr>
        <w:t>1999</w:t>
      </w:r>
      <w:r>
        <w:rPr>
          <w:rFonts w:ascii="Times New Roman" w:hAnsi="Times New Roman" w:cs="Times New Roman" w:eastAsia="Times New Roman" w:hint="default"/>
          <w:spacing w:val="-8"/>
        </w:rPr>
        <w:t> </w:t>
      </w:r>
      <w:r>
        <w:rPr>
          <w:spacing w:val="-3"/>
        </w:rPr>
        <w:t>年晋升为副教授，</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8"/>
        </w:rPr>
        <w:t> </w:t>
      </w:r>
      <w:r>
        <w:rPr/>
        <w:t>年晋升为教 授。现任中国会计学会《会计研究》编委、中国会计学会财务成本分会理事会副会</w:t>
      </w:r>
      <w:r>
        <w:rPr>
          <w:spacing w:val="-77"/>
        </w:rPr>
        <w:t> </w:t>
      </w:r>
      <w:r>
        <w:rPr>
          <w:spacing w:val="-77"/>
        </w:rPr>
      </w:r>
      <w:r>
        <w:rPr/>
        <w:t>长等学术兼职，并担任北京双杰电气股份有限公司、同方环境股份有限公司独立董</w:t>
      </w:r>
      <w:r>
        <w:rPr>
          <w:spacing w:val="-77"/>
        </w:rPr>
        <w:t> </w:t>
      </w:r>
      <w:r>
        <w:rPr>
          <w:spacing w:val="-77"/>
        </w:rPr>
      </w:r>
      <w:r>
        <w:rPr/>
        <w:t>事。</w:t>
      </w:r>
    </w:p>
    <w:p>
      <w:pPr>
        <w:pStyle w:val="BodyText"/>
        <w:spacing w:line="348" w:lineRule="auto" w:before="43"/>
        <w:ind w:right="232" w:firstLine="479"/>
        <w:jc w:val="both"/>
      </w:pPr>
      <w:r>
        <w:rPr/>
        <w:t>监事会主席曾志明先生：中国国籍，无境外居留权，</w:t>
      </w:r>
      <w:r>
        <w:rPr>
          <w:rFonts w:ascii="Times New Roman" w:hAnsi="Times New Roman" w:cs="Times New Roman" w:eastAsia="Times New Roman" w:hint="default"/>
        </w:rPr>
        <w:t>33</w:t>
      </w:r>
      <w:r>
        <w:rPr>
          <w:rFonts w:ascii="Times New Roman" w:hAnsi="Times New Roman" w:cs="Times New Roman" w:eastAsia="Times New Roman" w:hint="default"/>
          <w:spacing w:val="-8"/>
        </w:rPr>
        <w:t> </w:t>
      </w:r>
      <w:r>
        <w:rPr/>
        <w:t>岁，博士，曾志明先生 自毕业后即加盟公司并工作至今，一直主持公司研发工作，现任公司基础研发中心</w:t>
      </w:r>
      <w:r>
        <w:rPr>
          <w:spacing w:val="-72"/>
        </w:rPr>
        <w:t> </w:t>
      </w:r>
      <w:r>
        <w:rPr>
          <w:spacing w:val="-72"/>
        </w:rPr>
      </w:r>
      <w:r>
        <w:rPr/>
        <w:t>研发总监。</w:t>
      </w:r>
    </w:p>
    <w:p>
      <w:pPr>
        <w:pStyle w:val="BodyText"/>
        <w:spacing w:line="348" w:lineRule="auto" w:before="46"/>
        <w:ind w:right="229" w:firstLine="479"/>
        <w:jc w:val="both"/>
      </w:pPr>
      <w:r>
        <w:rPr/>
        <w:t>股东监事杨雪斌先生：中国国籍，无境外居留权，</w:t>
      </w:r>
      <w:r>
        <w:rPr>
          <w:rFonts w:ascii="Times New Roman" w:hAnsi="Times New Roman" w:cs="Times New Roman" w:eastAsia="Times New Roman" w:hint="default"/>
        </w:rPr>
        <w:t>35</w:t>
      </w:r>
      <w:r>
        <w:rPr>
          <w:rFonts w:ascii="Times New Roman" w:hAnsi="Times New Roman" w:cs="Times New Roman" w:eastAsia="Times New Roman" w:hint="default"/>
          <w:spacing w:val="-10"/>
        </w:rPr>
        <w:t> </w:t>
      </w:r>
      <w:r>
        <w:rPr/>
        <w:t>岁，博士，曾任公司高级 程序员、研发中心项目经理、研发中心产品经理、人力资源部经理、现任公司企业</w:t>
      </w:r>
      <w:r>
        <w:rPr>
          <w:spacing w:val="-69"/>
        </w:rPr>
        <w:t> </w:t>
      </w:r>
      <w:r>
        <w:rPr>
          <w:spacing w:val="-69"/>
        </w:rPr>
      </w:r>
      <w:r>
        <w:rPr/>
        <w:t>管理中心信息化总监。</w:t>
      </w:r>
    </w:p>
    <w:p>
      <w:pPr>
        <w:pStyle w:val="BodyText"/>
        <w:spacing w:line="350" w:lineRule="auto" w:before="43"/>
        <w:ind w:right="102" w:firstLine="479"/>
        <w:jc w:val="left"/>
        <w:rPr>
          <w:rFonts w:ascii="Times New Roman" w:hAnsi="Times New Roman" w:cs="Times New Roman" w:eastAsia="Times New Roman" w:hint="default"/>
        </w:rPr>
      </w:pPr>
      <w:r>
        <w:rPr/>
        <w:t>职工代表监事区励女士：中国国籍，无境外居留权，</w:t>
      </w:r>
      <w:r>
        <w:rPr>
          <w:rFonts w:ascii="Times New Roman" w:hAnsi="Times New Roman" w:cs="Times New Roman" w:eastAsia="Times New Roman" w:hint="default"/>
        </w:rPr>
        <w:t>31 </w:t>
      </w:r>
      <w:r>
        <w:rPr/>
        <w:t>岁，本科， </w:t>
      </w:r>
      <w:r>
        <w:rPr>
          <w:rFonts w:ascii="Times New Roman" w:hAnsi="Times New Roman" w:cs="Times New Roman" w:eastAsia="Times New Roman" w:hint="default"/>
        </w:rPr>
        <w:t>2001 </w:t>
      </w:r>
      <w:r>
        <w:rPr/>
        <w:t>年</w:t>
      </w:r>
      <w:r>
        <w:rPr>
          <w:spacing w:val="-72"/>
        </w:rPr>
        <w:t> </w:t>
      </w:r>
      <w:r>
        <w:rPr>
          <w:rFonts w:ascii="Times New Roman" w:hAnsi="Times New Roman" w:cs="Times New Roman" w:eastAsia="Times New Roman" w:hint="default"/>
        </w:rPr>
        <w:t>8 </w:t>
      </w:r>
      <w:r>
        <w:rPr/>
        <w:t>月至今在北京超图软件股份有限公司工作。曾任产品工程师，配置管理工程师、过</w:t>
      </w:r>
      <w:r>
        <w:rPr>
          <w:spacing w:val="-77"/>
        </w:rPr>
        <w:t> </w:t>
      </w:r>
      <w:r>
        <w:rPr>
          <w:spacing w:val="-77"/>
        </w:rPr>
      </w:r>
      <w:r>
        <w:rPr>
          <w:spacing w:val="-2"/>
        </w:rPr>
        <w:t>程管理部经理，以及质量保障工程师，现任公司企管中心平台项目质量控制部经理。</w:t>
      </w:r>
      <w:r>
        <w:rPr>
          <w:spacing w:val="-114"/>
        </w:rPr>
        <w:t> </w:t>
      </w:r>
      <w:r>
        <w:rPr>
          <w:spacing w:val="-114"/>
        </w:rPr>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2"/>
        </w:rPr>
        <w:t> </w:t>
      </w:r>
      <w:r>
        <w:rPr/>
        <w:t>日区励女士因工作原因向公司监事会提出辞去公司监事职务，</w:t>
      </w:r>
      <w:r>
        <w:rPr>
          <w:rFonts w:ascii="Times New Roman" w:hAnsi="Times New Roman" w:cs="Times New Roman" w:eastAsia="Times New Roman" w:hint="default"/>
        </w:rPr>
        <w:t>2011</w:t>
      </w:r>
    </w:p>
    <w:p>
      <w:pPr>
        <w:pStyle w:val="BodyText"/>
        <w:spacing w:line="338" w:lineRule="auto" w:before="11"/>
        <w:ind w:left="618" w:right="219" w:hanging="480"/>
        <w:jc w:val="left"/>
        <w:rPr>
          <w:rFonts w:ascii="Times New Roman" w:hAnsi="Times New Roman" w:cs="Times New Roman" w:eastAsia="Times New Roman" w:hint="default"/>
        </w:rPr>
      </w:pPr>
      <w:r>
        <w:rPr/>
        <w:t>年</w:t>
      </w:r>
      <w:r>
        <w:rPr>
          <w:spacing w:val="-61"/>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16 </w:t>
      </w:r>
      <w:r>
        <w:rPr/>
        <w:t>日公司职工代表大会选举刘英利女士为公司职工代表监事。 职工监事刘英利女士：中国国籍，无境外居留权，</w:t>
      </w:r>
      <w:r>
        <w:rPr>
          <w:rFonts w:ascii="Times New Roman" w:hAnsi="Times New Roman" w:cs="Times New Roman" w:eastAsia="Times New Roman" w:hint="default"/>
        </w:rPr>
        <w:t>36 </w:t>
      </w:r>
      <w:r>
        <w:rPr/>
        <w:t>岁，在职硕士，</w:t>
      </w:r>
      <w:r>
        <w:rPr>
          <w:rFonts w:ascii="Times New Roman" w:hAnsi="Times New Roman" w:cs="Times New Roman" w:eastAsia="Times New Roman" w:hint="default"/>
        </w:rPr>
        <w:t>2000 </w:t>
      </w:r>
      <w:r>
        <w:rPr/>
        <w:t>年</w:t>
      </w:r>
      <w:r>
        <w:rPr>
          <w:spacing w:val="-71"/>
        </w:rPr>
        <w:t> </w:t>
      </w:r>
      <w:r>
        <w:rPr>
          <w:rFonts w:ascii="Times New Roman" w:hAnsi="Times New Roman" w:cs="Times New Roman" w:eastAsia="Times New Roman" w:hint="default"/>
        </w:rPr>
        <w:t>7</w:t>
      </w:r>
    </w:p>
    <w:p>
      <w:pPr>
        <w:pStyle w:val="BodyText"/>
        <w:spacing w:line="240" w:lineRule="auto" w:before="24"/>
        <w:ind w:right="100"/>
        <w:jc w:val="left"/>
        <w:rPr>
          <w:rFonts w:ascii="Times New Roman" w:hAnsi="Times New Roman" w:cs="Times New Roman" w:eastAsia="Times New Roman" w:hint="default"/>
        </w:rPr>
      </w:pPr>
      <w:r>
        <w:rPr/>
        <w:t>月－</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月在百丽投资股份有限公司工作，任采购专员； </w:t>
      </w:r>
      <w:r>
        <w:rPr>
          <w:rFonts w:ascii="Times New Roman" w:hAnsi="Times New Roman" w:cs="Times New Roman" w:eastAsia="Times New Roman" w:hint="default"/>
        </w:rPr>
        <w:t>2006</w:t>
      </w:r>
      <w:r>
        <w:rPr>
          <w:rFonts w:ascii="Times New Roman" w:hAnsi="Times New Roman" w:cs="Times New Roman" w:eastAsia="Times New Roman" w:hint="default"/>
          <w:spacing w:val="9"/>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rFonts w:ascii="Times New Roman" w:hAnsi="Times New Roman" w:cs="Times New Roman" w:eastAsia="Times New Roman" w:hint="default"/>
        </w:rPr>
        <w:t>2008</w:t>
      </w:r>
    </w:p>
    <w:p>
      <w:pPr>
        <w:spacing w:after="0" w:line="240" w:lineRule="auto"/>
        <w:jc w:val="left"/>
        <w:rPr>
          <w:rFonts w:ascii="Times New Roman" w:hAnsi="Times New Roman" w:cs="Times New Roman" w:eastAsia="Times New Roman" w:hint="default"/>
        </w:rPr>
        <w:sectPr>
          <w:footerReference w:type="default" r:id="rId41"/>
          <w:pgSz w:w="11910" w:h="16840"/>
          <w:pgMar w:footer="1173" w:header="884" w:top="1140" w:bottom="1360" w:left="1660" w:right="1180"/>
          <w:pgNumType w:start="75"/>
        </w:sectPr>
      </w:pPr>
    </w:p>
    <w:p>
      <w:pPr>
        <w:spacing w:line="240" w:lineRule="auto" w:before="8"/>
        <w:rPr>
          <w:rFonts w:ascii="Times New Roman" w:hAnsi="Times New Roman" w:cs="Times New Roman" w:eastAsia="Times New Roman" w:hint="default"/>
          <w:sz w:val="18"/>
          <w:szCs w:val="18"/>
        </w:rPr>
      </w:pPr>
    </w:p>
    <w:p>
      <w:pPr>
        <w:pStyle w:val="BodyText"/>
        <w:spacing w:line="338" w:lineRule="auto" w:before="26"/>
        <w:ind w:right="101"/>
        <w:jc w:val="left"/>
      </w:pPr>
      <w:r>
        <w:rPr/>
        <w:t>年</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3"/>
        </w:rPr>
        <w:t>月在汉王科技股份有限公司工作，任研发采购主管；</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118"/>
        </w:rPr>
        <w:t> </w:t>
      </w:r>
      <w:r>
        <w:rPr>
          <w:spacing w:val="-7"/>
        </w:rPr>
        <w:t>在北京金昶科技有限公司工作；</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spacing w:val="-1"/>
        </w:rPr>
        <w:t>月至今在北京超图软件股份有限公司工作，</w:t>
      </w:r>
      <w:r>
        <w:rPr/>
        <w:t> 任采购管理部经理。</w:t>
      </w:r>
    </w:p>
    <w:p>
      <w:pPr>
        <w:pStyle w:val="BodyText"/>
        <w:spacing w:line="357" w:lineRule="auto" w:before="55"/>
        <w:ind w:left="618" w:right="219"/>
        <w:jc w:val="left"/>
      </w:pPr>
      <w:r>
        <w:rPr/>
        <w:t>总经理宋关福先生：见前述董事介绍。 副总经理王尔琪先生：见前述董事介绍。 副总经理王康弘先生：见前述董事介绍。 副总经理梁军先生：中国国籍，无境外居留权，</w:t>
      </w:r>
      <w:r>
        <w:rPr>
          <w:rFonts w:ascii="Times New Roman" w:hAnsi="Times New Roman" w:cs="Times New Roman" w:eastAsia="Times New Roman" w:hint="default"/>
        </w:rPr>
        <w:t>46 </w:t>
      </w:r>
      <w:r>
        <w:rPr>
          <w:spacing w:val="-4"/>
        </w:rPr>
        <w:t>岁，博士，</w:t>
      </w:r>
      <w:r>
        <w:rPr>
          <w:rFonts w:ascii="Times New Roman" w:hAnsi="Times New Roman" w:cs="Times New Roman" w:eastAsia="Times New Roman" w:hint="default"/>
          <w:spacing w:val="-4"/>
        </w:rPr>
        <w:t>1990</w:t>
      </w:r>
      <w:r>
        <w:rPr>
          <w:rFonts w:ascii="Times New Roman" w:hAnsi="Times New Roman" w:cs="Times New Roman" w:eastAsia="Times New Roman" w:hint="default"/>
          <w:spacing w:val="-35"/>
        </w:rPr>
        <w:t> </w:t>
      </w:r>
      <w:r>
        <w:rPr/>
        <w:t>年在广西南</w:t>
      </w:r>
    </w:p>
    <w:p>
      <w:pPr>
        <w:pStyle w:val="BodyText"/>
        <w:spacing w:line="350" w:lineRule="auto" w:before="6"/>
        <w:ind w:right="232"/>
        <w:jc w:val="both"/>
      </w:pPr>
      <w:r>
        <w:rPr/>
        <w:t>宁市广西师范学院地理系、地理所工作。</w:t>
      </w:r>
      <w:r>
        <w:rPr>
          <w:rFonts w:ascii="Times New Roman" w:hAnsi="Times New Roman" w:cs="Times New Roman" w:eastAsia="Times New Roman" w:hint="default"/>
        </w:rPr>
        <w:t>1994</w:t>
      </w:r>
      <w:r>
        <w:rPr>
          <w:rFonts w:ascii="Times New Roman" w:hAnsi="Times New Roman" w:cs="Times New Roman" w:eastAsia="Times New Roman" w:hint="default"/>
          <w:spacing w:val="-8"/>
        </w:rPr>
        <w:t> </w:t>
      </w:r>
      <w:r>
        <w:rPr/>
        <w:t>年调入北海市城市信息中心，任中心 主任、总工程师，曾任广西规划学会理事、政协广西第八届委员会常委、南宁市土</w:t>
      </w:r>
      <w:r>
        <w:rPr>
          <w:spacing w:val="-77"/>
        </w:rPr>
        <w:t> </w:t>
      </w:r>
      <w:r>
        <w:rPr>
          <w:spacing w:val="-77"/>
        </w:rPr>
      </w:r>
      <w:r>
        <w:rPr/>
        <w:t>地局土地信息系统顾问、广西师范学院兼职研究员和硕士生导师，现任公司副总经</w:t>
      </w:r>
      <w:r>
        <w:rPr>
          <w:spacing w:val="-77"/>
        </w:rPr>
        <w:t> </w:t>
      </w:r>
      <w:r>
        <w:rPr>
          <w:spacing w:val="-77"/>
        </w:rPr>
      </w:r>
      <w:r>
        <w:rPr/>
        <w:t>理。</w:t>
      </w:r>
    </w:p>
    <w:p>
      <w:pPr>
        <w:pStyle w:val="BodyText"/>
        <w:spacing w:line="338" w:lineRule="auto" w:before="43"/>
        <w:ind w:right="165" w:firstLine="479"/>
        <w:jc w:val="both"/>
      </w:pPr>
      <w:r>
        <w:rPr/>
        <w:t>副总经理杜庆娥女士：中国国籍，无境外居留权，</w:t>
      </w:r>
      <w:r>
        <w:rPr>
          <w:rFonts w:ascii="Times New Roman" w:hAnsi="Times New Roman" w:cs="Times New Roman" w:eastAsia="Times New Roman" w:hint="default"/>
        </w:rPr>
        <w:t>37 </w:t>
      </w:r>
      <w:r>
        <w:rPr>
          <w:spacing w:val="-3"/>
        </w:rPr>
        <w:t>岁，学士，</w:t>
      </w:r>
      <w:r>
        <w:rPr>
          <w:rFonts w:ascii="Times New Roman" w:hAnsi="Times New Roman" w:cs="Times New Roman" w:eastAsia="Times New Roman" w:hint="default"/>
          <w:spacing w:val="-3"/>
        </w:rPr>
        <w:t>1998</w:t>
      </w:r>
      <w:r>
        <w:rPr>
          <w:rFonts w:ascii="Times New Roman" w:hAnsi="Times New Roman" w:cs="Times New Roman" w:eastAsia="Times New Roman" w:hint="default"/>
          <w:spacing w:val="-27"/>
        </w:rPr>
        <w:t> </w:t>
      </w:r>
      <w:r>
        <w:rPr/>
        <w:t>年进入北 大集软计算机应用工程公司工作，并于</w:t>
      </w:r>
      <w:r>
        <w:rPr>
          <w:spacing w:val="-60"/>
        </w:rPr>
        <w:t> </w:t>
      </w:r>
      <w:r>
        <w:rPr>
          <w:rFonts w:ascii="Times New Roman" w:hAnsi="Times New Roman" w:cs="Times New Roman" w:eastAsia="Times New Roman" w:hint="default"/>
        </w:rPr>
        <w:t>2000 </w:t>
      </w:r>
      <w:r>
        <w:rPr/>
        <w:t>年</w:t>
      </w:r>
      <w:r>
        <w:rPr>
          <w:spacing w:val="-60"/>
        </w:rPr>
        <w:t> </w:t>
      </w:r>
      <w:r>
        <w:rPr>
          <w:rFonts w:ascii="Times New Roman" w:hAnsi="Times New Roman" w:cs="Times New Roman" w:eastAsia="Times New Roman" w:hint="default"/>
        </w:rPr>
        <w:t>7 </w:t>
      </w:r>
      <w:r>
        <w:rPr/>
        <w:t>月加入公司，现任公司副总经理， 分管公司平台软件销售工作。</w:t>
      </w:r>
    </w:p>
    <w:p>
      <w:pPr>
        <w:pStyle w:val="BodyText"/>
        <w:spacing w:line="338" w:lineRule="auto" w:before="53"/>
        <w:ind w:right="102" w:firstLine="479"/>
        <w:jc w:val="left"/>
      </w:pPr>
      <w:r>
        <w:rPr>
          <w:spacing w:val="-3"/>
        </w:rPr>
        <w:t>副总经理王继晖女士：中国国籍，无境外居留权，</w:t>
      </w:r>
      <w:r>
        <w:rPr>
          <w:rFonts w:ascii="Times New Roman" w:hAnsi="Times New Roman" w:cs="Times New Roman" w:eastAsia="Times New Roman" w:hint="default"/>
          <w:spacing w:val="-3"/>
        </w:rPr>
        <w:t>39 </w:t>
      </w:r>
      <w:r>
        <w:rPr>
          <w:spacing w:val="-5"/>
        </w:rPr>
        <w:t>岁，学士</w:t>
      </w:r>
      <w:r>
        <w:rPr>
          <w:rFonts w:ascii="Times New Roman" w:hAnsi="Times New Roman" w:cs="Times New Roman" w:eastAsia="Times New Roman" w:hint="default"/>
          <w:spacing w:val="-5"/>
        </w:rPr>
        <w:t>, </w:t>
      </w:r>
      <w:r>
        <w:rPr>
          <w:rFonts w:ascii="Times New Roman" w:hAnsi="Times New Roman" w:cs="Times New Roman" w:eastAsia="Times New Roman" w:hint="default"/>
        </w:rPr>
        <w:t>1993 </w:t>
      </w:r>
      <w:r>
        <w:rPr/>
        <w:t>年</w:t>
      </w:r>
      <w:r>
        <w:rPr>
          <w:rFonts w:ascii="Times New Roman" w:hAnsi="Times New Roman" w:cs="Times New Roman" w:eastAsia="Times New Roman" w:hint="default"/>
        </w:rPr>
        <w:t>-1997</w:t>
      </w:r>
      <w:r>
        <w:rPr>
          <w:rFonts w:ascii="Times New Roman" w:hAnsi="Times New Roman" w:cs="Times New Roman" w:eastAsia="Times New Roman" w:hint="default"/>
          <w:spacing w:val="13"/>
        </w:rPr>
        <w:t> </w:t>
      </w:r>
      <w:r>
        <w:rPr/>
        <w:t>年 </w:t>
      </w:r>
      <w:r>
        <w:rPr>
          <w:spacing w:val="-4"/>
        </w:rPr>
        <w:t>任职于沈阳测绘局，</w:t>
      </w:r>
      <w:r>
        <w:rPr>
          <w:rFonts w:ascii="Times New Roman" w:hAnsi="Times New Roman" w:cs="Times New Roman" w:eastAsia="Times New Roman" w:hint="default"/>
          <w:spacing w:val="-4"/>
        </w:rPr>
        <w:t>2000</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年任</w:t>
      </w:r>
      <w:r>
        <w:rPr>
          <w:spacing w:val="-58"/>
        </w:rPr>
        <w:t> </w:t>
      </w:r>
      <w:r>
        <w:rPr>
          <w:rFonts w:ascii="Times New Roman" w:hAnsi="Times New Roman" w:cs="Times New Roman" w:eastAsia="Times New Roman" w:hint="default"/>
          <w:spacing w:val="-9"/>
        </w:rPr>
        <w:t>ESRI</w:t>
      </w:r>
      <w:r>
        <w:rPr>
          <w:spacing w:val="-9"/>
        </w:rPr>
        <w:t>（中国）市场总监，</w:t>
      </w:r>
      <w:r>
        <w:rPr>
          <w:rFonts w:ascii="Times New Roman" w:hAnsi="Times New Roman" w:cs="Times New Roman" w:eastAsia="Times New Roman" w:hint="default"/>
          <w:spacing w:val="-9"/>
        </w:rPr>
        <w:t>2007</w:t>
      </w:r>
      <w:r>
        <w:rPr>
          <w:rFonts w:ascii="Times New Roman" w:hAnsi="Times New Roman" w:cs="Times New Roman" w:eastAsia="Times New Roman" w:hint="default"/>
          <w:spacing w:val="5"/>
        </w:rPr>
        <w:t> </w:t>
      </w:r>
      <w:r>
        <w:rPr/>
        <w:t>年加盟本公司， 现任公司副总经理，分管行业事业部销售管理工作。</w:t>
      </w:r>
    </w:p>
    <w:p>
      <w:pPr>
        <w:pStyle w:val="BodyText"/>
        <w:spacing w:line="338" w:lineRule="auto" w:before="53"/>
        <w:ind w:right="164" w:firstLine="479"/>
        <w:jc w:val="right"/>
      </w:pPr>
      <w:r>
        <w:rPr/>
        <w:t>董事会秘书龚娅杰女士：中国国籍，无境外居留权，</w:t>
      </w:r>
      <w:r>
        <w:rPr>
          <w:rFonts w:ascii="Times New Roman" w:hAnsi="Times New Roman" w:cs="Times New Roman" w:eastAsia="Times New Roman" w:hint="default"/>
        </w:rPr>
        <w:t>36 </w:t>
      </w:r>
      <w:r>
        <w:rPr>
          <w:spacing w:val="-3"/>
        </w:rPr>
        <w:t>岁，硕士，</w:t>
      </w:r>
      <w:r>
        <w:rPr>
          <w:rFonts w:ascii="Times New Roman" w:hAnsi="Times New Roman" w:cs="Times New Roman" w:eastAsia="Times New Roman" w:hint="default"/>
          <w:spacing w:val="-3"/>
        </w:rPr>
        <w:t>1997</w:t>
      </w:r>
      <w:r>
        <w:rPr>
          <w:rFonts w:ascii="Times New Roman" w:hAnsi="Times New Roman" w:cs="Times New Roman" w:eastAsia="Times New Roman" w:hint="default"/>
          <w:spacing w:val="-42"/>
        </w:rPr>
        <w:t> </w:t>
      </w:r>
      <w:r>
        <w:rPr/>
        <w:t>年毕业 </w:t>
      </w:r>
      <w:r>
        <w:rPr>
          <w:spacing w:val="-4"/>
        </w:rPr>
        <w:t>后在中国地质博物馆从事社教工作；</w:t>
      </w:r>
      <w:r>
        <w:rPr>
          <w:rFonts w:ascii="Times New Roman" w:hAnsi="Times New Roman" w:cs="Times New Roman" w:eastAsia="Times New Roman" w:hint="default"/>
          <w:spacing w:val="-4"/>
        </w:rPr>
        <w:t>1999</w:t>
      </w:r>
      <w:r>
        <w:rPr>
          <w:rFonts w:ascii="Times New Roman" w:hAnsi="Times New Roman" w:cs="Times New Roman" w:eastAsia="Times New Roman" w:hint="default"/>
          <w:spacing w:val="19"/>
        </w:rPr>
        <w:t> </w:t>
      </w:r>
      <w:r>
        <w:rPr>
          <w:spacing w:val="-9"/>
        </w:rPr>
        <w:t>年进入瑞士徕卡（北京办事处）工作。</w:t>
      </w:r>
      <w:r>
        <w:rPr>
          <w:rFonts w:ascii="Times New Roman" w:hAnsi="Times New Roman" w:cs="Times New Roman" w:eastAsia="Times New Roman" w:hint="default"/>
          <w:spacing w:val="-9"/>
        </w:rPr>
        <w:t>2003</w:t>
      </w:r>
      <w:r>
        <w:rPr>
          <w:rFonts w:ascii="Times New Roman" w:hAnsi="Times New Roman" w:cs="Times New Roman" w:eastAsia="Times New Roman" w:hint="default"/>
        </w:rPr>
        <w:t> </w:t>
      </w:r>
      <w:r>
        <w:rPr/>
        <w:t>年 </w:t>
      </w:r>
      <w:r>
        <w:rPr>
          <w:rFonts w:ascii="Times New Roman" w:hAnsi="Times New Roman" w:cs="Times New Roman" w:eastAsia="Times New Roman" w:hint="default"/>
          <w:spacing w:val="-5"/>
        </w:rPr>
        <w:t>11 </w:t>
      </w:r>
      <w:r>
        <w:rPr/>
        <w:t>月加盟公司任市场部经理，</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月起担任总经理助理，协助总经理处理 日常事务。</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月担任公司董事会秘书职务，</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月担任公司副总经理。 财务负责人鹿麒先生：中国国籍，无境外居留权，</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岁，学士，高级会计师。</w:t>
      </w:r>
    </w:p>
    <w:p>
      <w:pPr>
        <w:pStyle w:val="BodyText"/>
        <w:spacing w:line="338" w:lineRule="auto" w:before="27"/>
        <w:ind w:right="236"/>
        <w:jc w:val="both"/>
      </w:pPr>
      <w:r>
        <w:rPr>
          <w:rFonts w:ascii="Times New Roman" w:hAnsi="Times New Roman" w:cs="Times New Roman" w:eastAsia="Times New Roman" w:hint="default"/>
        </w:rPr>
        <w:t>1991-2000 </w:t>
      </w:r>
      <w:r>
        <w:rPr/>
        <w:t>年在首钢集团总公司工作； </w:t>
      </w:r>
      <w:r>
        <w:rPr>
          <w:rFonts w:ascii="Times New Roman" w:hAnsi="Times New Roman" w:cs="Times New Roman" w:eastAsia="Times New Roman" w:hint="default"/>
        </w:rPr>
        <w:t>2000-2003</w:t>
      </w:r>
      <w:r>
        <w:rPr>
          <w:rFonts w:ascii="Times New Roman" w:hAnsi="Times New Roman" w:cs="Times New Roman" w:eastAsia="Times New Roman" w:hint="default"/>
          <w:spacing w:val="-36"/>
        </w:rPr>
        <w:t> </w:t>
      </w:r>
      <w:r>
        <w:rPr>
          <w:spacing w:val="-5"/>
        </w:rPr>
        <w:t>年在赛孚耐（北京）信息技术有限</w:t>
      </w:r>
      <w:r>
        <w:rPr/>
        <w:t> 公司工作；</w:t>
      </w:r>
      <w:r>
        <w:rPr>
          <w:rFonts w:ascii="Times New Roman" w:hAnsi="Times New Roman" w:cs="Times New Roman" w:eastAsia="Times New Roman" w:hint="default"/>
        </w:rPr>
        <w:t>2003-2006</w:t>
      </w:r>
      <w:r>
        <w:rPr>
          <w:rFonts w:ascii="Times New Roman" w:hAnsi="Times New Roman" w:cs="Times New Roman" w:eastAsia="Times New Roman" w:hint="default"/>
          <w:spacing w:val="-7"/>
        </w:rPr>
        <w:t> </w:t>
      </w:r>
      <w:r>
        <w:rPr/>
        <w:t>年在</w:t>
      </w:r>
      <w:r>
        <w:rPr>
          <w:spacing w:val="-67"/>
        </w:rPr>
        <w:t> </w:t>
      </w:r>
      <w:r>
        <w:rPr>
          <w:rFonts w:ascii="Times New Roman" w:hAnsi="Times New Roman" w:cs="Times New Roman" w:eastAsia="Times New Roman" w:hint="default"/>
        </w:rPr>
        <w:t>SafeNet</w:t>
      </w:r>
      <w:r>
        <w:rPr>
          <w:rFonts w:ascii="Times New Roman" w:hAnsi="Times New Roman" w:cs="Times New Roman" w:eastAsia="Times New Roman" w:hint="default"/>
          <w:spacing w:val="-18"/>
        </w:rPr>
        <w:t> </w:t>
      </w:r>
      <w:r>
        <w:rPr>
          <w:rFonts w:ascii="Times New Roman" w:hAnsi="Times New Roman" w:cs="Times New Roman" w:eastAsia="Times New Roman" w:hint="default"/>
        </w:rPr>
        <w:t>Asia</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6"/>
        </w:rPr>
        <w:t> </w:t>
      </w:r>
      <w:r>
        <w:rPr/>
        <w:t>工作。</w:t>
      </w:r>
      <w:r>
        <w:rPr>
          <w:rFonts w:ascii="Times New Roman" w:hAnsi="Times New Roman" w:cs="Times New Roman" w:eastAsia="Times New Roman" w:hint="default"/>
        </w:rPr>
        <w:t>2006-2008</w:t>
      </w:r>
      <w:r>
        <w:rPr>
          <w:rFonts w:ascii="Times New Roman" w:hAnsi="Times New Roman" w:cs="Times New Roman" w:eastAsia="Times New Roman" w:hint="default"/>
          <w:spacing w:val="-7"/>
        </w:rPr>
        <w:t> </w:t>
      </w:r>
      <w:r>
        <w:rPr/>
        <w:t>在威利朗沃矿业设 备有限公司工作。</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月至今，任本公司财务总监。</w:t>
      </w:r>
    </w:p>
    <w:p>
      <w:pPr>
        <w:spacing w:after="0" w:line="338" w:lineRule="auto"/>
        <w:jc w:val="both"/>
        <w:sectPr>
          <w:pgSz w:w="11910" w:h="16840"/>
          <w:pgMar w:header="884" w:footer="1173" w:top="1140" w:bottom="1360" w:left="1660" w:right="1180"/>
        </w:sectPr>
      </w:pPr>
    </w:p>
    <w:p>
      <w:pPr>
        <w:spacing w:line="240" w:lineRule="auto" w:before="1"/>
        <w:rPr>
          <w:rFonts w:ascii="宋体" w:hAnsi="宋体" w:cs="宋体" w:eastAsia="宋体" w:hint="default"/>
          <w:sz w:val="17"/>
          <w:szCs w:val="17"/>
        </w:rPr>
      </w:pPr>
    </w:p>
    <w:p>
      <w:pPr>
        <w:pStyle w:val="Heading3"/>
        <w:spacing w:line="240" w:lineRule="auto" w:before="7"/>
        <w:ind w:right="100"/>
        <w:jc w:val="left"/>
        <w:rPr>
          <w:b w:val="0"/>
          <w:bCs w:val="0"/>
        </w:rPr>
      </w:pPr>
      <w:bookmarkStart w:name="_TOC_250021" w:id="67"/>
      <w:r>
        <w:rPr/>
        <w:t>三、报告期内，董事、监事、高管变动情况</w:t>
      </w:r>
      <w:bookmarkEnd w:id="67"/>
      <w:r>
        <w:rPr>
          <w:b w:val="0"/>
          <w:bCs w:val="0"/>
        </w:rPr>
      </w:r>
    </w:p>
    <w:p>
      <w:pPr>
        <w:spacing w:line="240" w:lineRule="auto" w:before="10"/>
        <w:rPr>
          <w:rFonts w:ascii="宋体" w:hAnsi="宋体" w:cs="宋体" w:eastAsia="宋体" w:hint="default"/>
          <w:b/>
          <w:bCs/>
          <w:sz w:val="43"/>
          <w:szCs w:val="43"/>
        </w:rPr>
      </w:pPr>
    </w:p>
    <w:p>
      <w:pPr>
        <w:pStyle w:val="Heading5"/>
        <w:spacing w:line="240" w:lineRule="auto"/>
        <w:ind w:right="100"/>
        <w:jc w:val="left"/>
        <w:rPr>
          <w:b w:val="0"/>
          <w:bCs w:val="0"/>
        </w:rPr>
      </w:pPr>
      <w:r>
        <w:rPr/>
        <w:t>（一）董事变动情况</w:t>
      </w:r>
      <w:r>
        <w:rPr>
          <w:b w:val="0"/>
          <w:bCs w:val="0"/>
        </w:rPr>
      </w:r>
    </w:p>
    <w:p>
      <w:pPr>
        <w:spacing w:line="240" w:lineRule="auto" w:before="6"/>
        <w:rPr>
          <w:rFonts w:ascii="宋体" w:hAnsi="宋体" w:cs="宋体" w:eastAsia="宋体" w:hint="default"/>
          <w:b/>
          <w:bCs/>
          <w:sz w:val="35"/>
          <w:szCs w:val="35"/>
        </w:rPr>
      </w:pPr>
    </w:p>
    <w:p>
      <w:pPr>
        <w:pStyle w:val="BodyText"/>
        <w:spacing w:line="348" w:lineRule="auto"/>
        <w:ind w:right="102" w:firstLine="599"/>
        <w:jc w:val="left"/>
      </w:pP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日，公司董事会进行了换届选举，经股东大会选举，公司第二 </w:t>
      </w:r>
      <w:r>
        <w:rPr>
          <w:spacing w:val="-2"/>
        </w:rPr>
        <w:t>届董事会成员为钟耳顺、宋关福、王康弘、王尔琪、徐立新、高星、王浩、董云庭、</w:t>
      </w:r>
      <w:r>
        <w:rPr>
          <w:spacing w:val="-116"/>
        </w:rPr>
        <w:t> </w:t>
      </w:r>
      <w:r>
        <w:rPr>
          <w:spacing w:val="-116"/>
        </w:rPr>
      </w:r>
      <w:r>
        <w:rPr/>
        <w:t>谢德仁，其中王浩、董云庭、谢德仁为第二届董事会独立董事。</w:t>
      </w:r>
    </w:p>
    <w:p>
      <w:pPr>
        <w:pStyle w:val="BodyText"/>
        <w:spacing w:line="240" w:lineRule="auto" w:before="43"/>
        <w:ind w:left="618" w:right="100"/>
        <w:jc w:val="left"/>
      </w:pPr>
      <w:r>
        <w:rPr/>
        <w:t>原第一届董事会成员刘先林先生、葛全胜先生不再担任第二届董事会成员。</w:t>
      </w:r>
    </w:p>
    <w:p>
      <w:pPr>
        <w:spacing w:line="776" w:lineRule="exact" w:before="95"/>
        <w:ind w:left="697" w:right="223" w:hanging="560"/>
        <w:jc w:val="left"/>
        <w:rPr>
          <w:rFonts w:ascii="宋体" w:hAnsi="宋体" w:cs="宋体" w:eastAsia="宋体" w:hint="default"/>
          <w:sz w:val="24"/>
          <w:szCs w:val="24"/>
        </w:rPr>
      </w:pPr>
      <w:r>
        <w:rPr>
          <w:rFonts w:ascii="宋体" w:hAnsi="宋体" w:cs="宋体" w:eastAsia="宋体" w:hint="default"/>
          <w:b/>
          <w:bCs/>
          <w:sz w:val="24"/>
          <w:szCs w:val="24"/>
        </w:rPr>
        <w:t>（二）监事变动情况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报告期内，公司监事会主席王伟先生以及职工监事庞静女士因个人原因，分别</w:t>
      </w:r>
    </w:p>
    <w:p>
      <w:pPr>
        <w:pStyle w:val="BodyText"/>
        <w:spacing w:line="240" w:lineRule="auto" w:before="32"/>
        <w:ind w:right="100"/>
        <w:jc w:val="left"/>
      </w:pPr>
      <w:r>
        <w:rPr/>
        <w:t>于</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月以及</w:t>
      </w:r>
      <w:r>
        <w:rPr>
          <w:spacing w:val="-51"/>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月申请辞去监事会相关职务。</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29</w:t>
      </w:r>
      <w:r>
        <w:rPr>
          <w:rFonts w:ascii="Times New Roman" w:hAnsi="Times New Roman" w:cs="Times New Roman" w:eastAsia="Times New Roman" w:hint="default"/>
          <w:spacing w:val="8"/>
        </w:rPr>
        <w:t> </w:t>
      </w:r>
      <w:r>
        <w:rPr/>
        <w:t>日，公</w:t>
      </w:r>
    </w:p>
    <w:p>
      <w:pPr>
        <w:pStyle w:val="BodyText"/>
        <w:spacing w:line="240" w:lineRule="auto" w:before="135"/>
        <w:ind w:right="100"/>
        <w:jc w:val="left"/>
      </w:pPr>
      <w:r>
        <w:rPr/>
        <w:t>司 </w:t>
      </w:r>
      <w:r>
        <w:rPr>
          <w:rFonts w:ascii="Times New Roman" w:hAnsi="Times New Roman" w:cs="Times New Roman" w:eastAsia="Times New Roman" w:hint="default"/>
        </w:rPr>
        <w:t>2009 </w:t>
      </w:r>
      <w:r>
        <w:rPr>
          <w:rFonts w:ascii="Times New Roman" w:hAnsi="Times New Roman" w:cs="Times New Roman" w:eastAsia="Times New Roman" w:hint="default"/>
          <w:spacing w:val="45"/>
        </w:rPr>
        <w:t> </w:t>
      </w:r>
      <w:r>
        <w:rPr/>
        <w:t>年年度股东大会审议选举曾志明先生为公司监事，兼任公司监事会主席，</w:t>
      </w:r>
    </w:p>
    <w:p>
      <w:pPr>
        <w:pStyle w:val="BodyText"/>
        <w:spacing w:line="240" w:lineRule="auto" w:before="133"/>
        <w:ind w:right="10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5 </w:t>
      </w:r>
      <w:r>
        <w:rPr/>
        <w:t>日公司职工代表大会选举区励女士为公司职工代表监事。</w:t>
      </w:r>
    </w:p>
    <w:p>
      <w:pPr>
        <w:pStyle w:val="BodyText"/>
        <w:spacing w:line="240" w:lineRule="auto" w:before="136"/>
        <w:ind w:left="697" w:right="10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5"/>
        </w:rPr>
        <w:t> </w:t>
      </w:r>
      <w:r>
        <w:rPr/>
        <w:t>日，职工监事区励女士申请辞去公司监事职务。</w:t>
      </w:r>
      <w:r>
        <w:rPr>
          <w:spacing w:val="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月</w:t>
      </w:r>
    </w:p>
    <w:p>
      <w:pPr>
        <w:pStyle w:val="BodyText"/>
        <w:spacing w:line="240" w:lineRule="auto" w:before="133"/>
        <w:ind w:right="100"/>
        <w:jc w:val="left"/>
      </w:pP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日，公司召开的职工代表大会选举刘英利女士担任公司职工代表监事。</w:t>
      </w:r>
    </w:p>
    <w:p>
      <w:pPr>
        <w:spacing w:line="240" w:lineRule="auto" w:before="11"/>
        <w:rPr>
          <w:rFonts w:ascii="宋体" w:hAnsi="宋体" w:cs="宋体" w:eastAsia="宋体" w:hint="default"/>
          <w:sz w:val="31"/>
          <w:szCs w:val="31"/>
        </w:rPr>
      </w:pPr>
    </w:p>
    <w:p>
      <w:pPr>
        <w:spacing w:line="592" w:lineRule="auto" w:before="0"/>
        <w:ind w:left="697" w:right="4269" w:hanging="560"/>
        <w:jc w:val="left"/>
        <w:rPr>
          <w:rFonts w:ascii="宋体" w:hAnsi="宋体" w:cs="宋体" w:eastAsia="宋体" w:hint="default"/>
          <w:sz w:val="24"/>
          <w:szCs w:val="24"/>
        </w:rPr>
      </w:pPr>
      <w:r>
        <w:rPr>
          <w:rFonts w:ascii="宋体" w:hAnsi="宋体" w:cs="宋体" w:eastAsia="宋体" w:hint="default"/>
          <w:b/>
          <w:bCs/>
          <w:sz w:val="24"/>
          <w:szCs w:val="24"/>
        </w:rPr>
        <w:t>（三）高管变动情况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报告期内，公司高管人员未发生变动。</w:t>
      </w:r>
    </w:p>
    <w:p>
      <w:pPr>
        <w:pStyle w:val="Heading3"/>
        <w:spacing w:line="240" w:lineRule="auto" w:before="50"/>
        <w:ind w:right="100"/>
        <w:jc w:val="left"/>
        <w:rPr>
          <w:b w:val="0"/>
          <w:bCs w:val="0"/>
        </w:rPr>
      </w:pPr>
      <w:bookmarkStart w:name="_TOC_250020" w:id="68"/>
      <w:r>
        <w:rPr/>
        <w:t>四、报告期内公司核心技术团队和关键技术人员变动情况</w:t>
      </w:r>
      <w:bookmarkEnd w:id="68"/>
      <w:r>
        <w:rPr>
          <w:b w:val="0"/>
          <w:bCs w:val="0"/>
        </w:rPr>
      </w:r>
    </w:p>
    <w:p>
      <w:pPr>
        <w:spacing w:line="240" w:lineRule="auto" w:before="4"/>
        <w:rPr>
          <w:rFonts w:ascii="宋体" w:hAnsi="宋体" w:cs="宋体" w:eastAsia="宋体" w:hint="default"/>
          <w:b/>
          <w:bCs/>
          <w:sz w:val="42"/>
          <w:szCs w:val="42"/>
        </w:rPr>
      </w:pPr>
    </w:p>
    <w:p>
      <w:pPr>
        <w:pStyle w:val="BodyText"/>
        <w:spacing w:line="240" w:lineRule="auto"/>
        <w:ind w:left="618" w:right="100"/>
        <w:jc w:val="left"/>
      </w:pPr>
      <w:r>
        <w:rPr/>
        <w:t>报告期内公司核心技术团队和关键技术人员没有发生变动。</w:t>
      </w:r>
    </w:p>
    <w:p>
      <w:pPr>
        <w:spacing w:line="240" w:lineRule="auto" w:before="8"/>
        <w:rPr>
          <w:rFonts w:ascii="宋体" w:hAnsi="宋体" w:cs="宋体" w:eastAsia="宋体" w:hint="default"/>
          <w:sz w:val="30"/>
          <w:szCs w:val="30"/>
        </w:rPr>
      </w:pPr>
    </w:p>
    <w:p>
      <w:pPr>
        <w:pStyle w:val="Heading3"/>
        <w:spacing w:line="240" w:lineRule="auto"/>
        <w:ind w:right="100"/>
        <w:jc w:val="left"/>
        <w:rPr>
          <w:b w:val="0"/>
          <w:bCs w:val="0"/>
        </w:rPr>
      </w:pPr>
      <w:bookmarkStart w:name="_TOC_250019" w:id="69"/>
      <w:r>
        <w:rPr/>
        <w:t>五、员工情况</w:t>
      </w:r>
      <w:bookmarkEnd w:id="69"/>
      <w:r>
        <w:rPr>
          <w:b w:val="0"/>
          <w:bCs w:val="0"/>
        </w:rPr>
      </w:r>
    </w:p>
    <w:p>
      <w:pPr>
        <w:spacing w:line="240" w:lineRule="auto" w:before="4"/>
        <w:rPr>
          <w:rFonts w:ascii="宋体" w:hAnsi="宋体" w:cs="宋体" w:eastAsia="宋体" w:hint="default"/>
          <w:b/>
          <w:bCs/>
          <w:sz w:val="42"/>
          <w:szCs w:val="42"/>
        </w:rPr>
      </w:pPr>
    </w:p>
    <w:p>
      <w:pPr>
        <w:pStyle w:val="BodyText"/>
        <w:spacing w:line="240" w:lineRule="auto"/>
        <w:ind w:left="618" w:right="100"/>
        <w:jc w:val="left"/>
      </w:pPr>
      <w:r>
        <w:rPr/>
        <w:t>截止</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日，公司共有员工</w:t>
      </w:r>
      <w:r>
        <w:rPr>
          <w:spacing w:val="-60"/>
        </w:rPr>
        <w:t> </w:t>
      </w:r>
      <w:r>
        <w:rPr>
          <w:rFonts w:ascii="Times New Roman" w:hAnsi="Times New Roman" w:cs="Times New Roman" w:eastAsia="Times New Roman" w:hint="default"/>
          <w:spacing w:val="-4"/>
        </w:rPr>
        <w:t>1,111</w:t>
      </w:r>
      <w:r>
        <w:rPr>
          <w:rFonts w:ascii="Times New Roman" w:hAnsi="Times New Roman" w:cs="Times New Roman" w:eastAsia="Times New Roman" w:hint="default"/>
        </w:rPr>
        <w:t> </w:t>
      </w:r>
      <w:r>
        <w:rPr/>
        <w:t>人，人员构成情况如下：</w:t>
      </w:r>
    </w:p>
    <w:p>
      <w:pPr>
        <w:spacing w:line="240" w:lineRule="auto" w:before="9"/>
        <w:rPr>
          <w:rFonts w:ascii="宋体" w:hAnsi="宋体" w:cs="宋体" w:eastAsia="宋体" w:hint="default"/>
          <w:sz w:val="31"/>
          <w:szCs w:val="31"/>
        </w:rPr>
      </w:pPr>
    </w:p>
    <w:p>
      <w:pPr>
        <w:pStyle w:val="Heading5"/>
        <w:spacing w:line="240" w:lineRule="auto"/>
        <w:ind w:right="100"/>
        <w:jc w:val="left"/>
        <w:rPr>
          <w:b w:val="0"/>
          <w:bCs w:val="0"/>
        </w:rPr>
      </w:pPr>
      <w:r>
        <w:rPr/>
        <w:t>（一）学历结构</w:t>
      </w:r>
      <w:r>
        <w:rPr>
          <w:b w:val="0"/>
          <w:bCs w:val="0"/>
        </w:rPr>
      </w:r>
    </w:p>
    <w:p>
      <w:pPr>
        <w:spacing w:after="0" w:line="240" w:lineRule="auto"/>
        <w:jc w:val="left"/>
        <w:sectPr>
          <w:pgSz w:w="11910" w:h="16840"/>
          <w:pgMar w:header="884" w:footer="1173" w:top="1140" w:bottom="1360" w:left="1660" w:right="1180"/>
        </w:sectPr>
      </w:pPr>
    </w:p>
    <w:p>
      <w:pPr>
        <w:spacing w:line="240" w:lineRule="auto" w:before="6"/>
        <w:rPr>
          <w:rFonts w:ascii="宋体" w:hAnsi="宋体" w:cs="宋体" w:eastAsia="宋体" w:hint="default"/>
          <w:b/>
          <w:bCs/>
          <w:sz w:val="21"/>
          <w:szCs w:val="21"/>
        </w:rPr>
      </w:pPr>
    </w:p>
    <w:tbl>
      <w:tblPr>
        <w:tblW w:w="0" w:type="auto"/>
        <w:jc w:val="left"/>
        <w:tblInd w:w="115" w:type="dxa"/>
        <w:tblLayout w:type="fixed"/>
        <w:tblCellMar>
          <w:top w:w="0" w:type="dxa"/>
          <w:left w:w="0" w:type="dxa"/>
          <w:bottom w:w="0" w:type="dxa"/>
          <w:right w:w="0" w:type="dxa"/>
        </w:tblCellMar>
        <w:tblLook w:val="01E0"/>
      </w:tblPr>
      <w:tblGrid>
        <w:gridCol w:w="2967"/>
        <w:gridCol w:w="2972"/>
        <w:gridCol w:w="2969"/>
      </w:tblGrid>
      <w:tr>
        <w:trPr>
          <w:trHeight w:val="346" w:hRule="exact"/>
        </w:trPr>
        <w:tc>
          <w:tcPr>
            <w:tcW w:w="2967" w:type="dxa"/>
            <w:tcBorders>
              <w:top w:val="single" w:sz="12" w:space="0" w:color="000000"/>
              <w:left w:val="single" w:sz="12" w:space="0" w:color="000000"/>
              <w:bottom w:val="single" w:sz="6" w:space="0" w:color="000000"/>
              <w:right w:val="single" w:sz="6"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b/>
                <w:bCs/>
                <w:sz w:val="21"/>
                <w:szCs w:val="21"/>
              </w:rPr>
              <w:t>学历</w:t>
            </w:r>
            <w:r>
              <w:rPr>
                <w:rFonts w:ascii="宋体" w:hAnsi="宋体" w:cs="宋体" w:eastAsia="宋体" w:hint="default"/>
                <w:sz w:val="21"/>
                <w:szCs w:val="21"/>
              </w:rPr>
            </w:r>
          </w:p>
        </w:tc>
        <w:tc>
          <w:tcPr>
            <w:tcW w:w="2972" w:type="dxa"/>
            <w:tcBorders>
              <w:top w:val="single" w:sz="12" w:space="0" w:color="000000"/>
              <w:left w:val="single" w:sz="6" w:space="0" w:color="000000"/>
              <w:bottom w:val="single" w:sz="6" w:space="0" w:color="000000"/>
              <w:right w:val="single" w:sz="6"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969" w:type="dxa"/>
            <w:tcBorders>
              <w:top w:val="single" w:sz="12" w:space="0" w:color="000000"/>
              <w:left w:val="single" w:sz="6" w:space="0" w:color="000000"/>
              <w:bottom w:val="single" w:sz="6" w:space="0" w:color="000000"/>
              <w:right w:val="single" w:sz="12" w:space="0" w:color="000000"/>
            </w:tcBorders>
          </w:tcPr>
          <w:p>
            <w:pPr>
              <w:pStyle w:val="TableParagraph"/>
              <w:spacing w:line="244"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百分比</w:t>
            </w:r>
            <w:r>
              <w:rPr>
                <w:rFonts w:ascii="宋体" w:hAnsi="宋体" w:cs="宋体" w:eastAsia="宋体" w:hint="default"/>
                <w:sz w:val="21"/>
                <w:szCs w:val="21"/>
              </w:rPr>
            </w:r>
          </w:p>
        </w:tc>
      </w:tr>
      <w:tr>
        <w:trPr>
          <w:trHeight w:val="343"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博士</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14</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5" w:lineRule="exact"/>
              <w:ind w:left="7" w:right="0"/>
              <w:jc w:val="center"/>
              <w:rPr>
                <w:rFonts w:ascii="Times New Roman" w:hAnsi="Times New Roman" w:cs="Times New Roman" w:eastAsia="Times New Roman" w:hint="default"/>
                <w:sz w:val="21"/>
                <w:szCs w:val="21"/>
              </w:rPr>
            </w:pPr>
            <w:r>
              <w:rPr>
                <w:rFonts w:ascii="Times New Roman"/>
                <w:sz w:val="21"/>
              </w:rPr>
              <w:t>1.26%</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硕士</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178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7" w:right="0"/>
              <w:jc w:val="center"/>
              <w:rPr>
                <w:rFonts w:ascii="Times New Roman" w:hAnsi="Times New Roman" w:cs="Times New Roman" w:eastAsia="Times New Roman" w:hint="default"/>
                <w:sz w:val="21"/>
                <w:szCs w:val="21"/>
              </w:rPr>
            </w:pPr>
            <w:r>
              <w:rPr>
                <w:rFonts w:ascii="Times New Roman"/>
                <w:sz w:val="21"/>
              </w:rPr>
              <w:t>16.02%</w:t>
            </w:r>
          </w:p>
        </w:tc>
      </w:tr>
      <w:tr>
        <w:trPr>
          <w:trHeight w:val="286"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sz w:val="21"/>
                <w:szCs w:val="21"/>
              </w:rPr>
              <w:t>本科</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710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7" w:right="0"/>
              <w:jc w:val="center"/>
              <w:rPr>
                <w:rFonts w:ascii="Times New Roman" w:hAnsi="Times New Roman" w:cs="Times New Roman" w:eastAsia="Times New Roman" w:hint="default"/>
                <w:sz w:val="21"/>
                <w:szCs w:val="21"/>
              </w:rPr>
            </w:pPr>
            <w:r>
              <w:rPr>
                <w:rFonts w:ascii="Times New Roman"/>
                <w:sz w:val="21"/>
              </w:rPr>
              <w:t>63.91%</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大专</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sz w:val="21"/>
              </w:rPr>
              <w:t>170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Times New Roman" w:hAnsi="Times New Roman" w:cs="Times New Roman" w:eastAsia="Times New Roman" w:hint="default"/>
                <w:sz w:val="21"/>
                <w:szCs w:val="21"/>
              </w:rPr>
            </w:pPr>
            <w:r>
              <w:rPr>
                <w:rFonts w:ascii="Times New Roman"/>
                <w:sz w:val="21"/>
              </w:rPr>
              <w:t>15.30%</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39</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7" w:right="0"/>
              <w:jc w:val="center"/>
              <w:rPr>
                <w:rFonts w:ascii="Times New Roman" w:hAnsi="Times New Roman" w:cs="Times New Roman" w:eastAsia="Times New Roman" w:hint="default"/>
                <w:sz w:val="21"/>
                <w:szCs w:val="21"/>
              </w:rPr>
            </w:pPr>
            <w:r>
              <w:rPr>
                <w:rFonts w:ascii="Times New Roman"/>
                <w:sz w:val="21"/>
              </w:rPr>
              <w:t>3.51%</w:t>
            </w:r>
          </w:p>
        </w:tc>
      </w:tr>
      <w:tr>
        <w:trPr>
          <w:trHeight w:val="295" w:hRule="exact"/>
        </w:trPr>
        <w:tc>
          <w:tcPr>
            <w:tcW w:w="296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b/>
                <w:spacing w:val="-6"/>
                <w:sz w:val="21"/>
              </w:rPr>
              <w:t>1,111</w:t>
            </w:r>
            <w:r>
              <w:rPr>
                <w:rFonts w:ascii="Times New Roman"/>
                <w:spacing w:val="-6"/>
                <w:sz w:val="21"/>
              </w:rPr>
            </w:r>
          </w:p>
        </w:tc>
        <w:tc>
          <w:tcPr>
            <w:tcW w:w="2969"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5"/>
        <w:rPr>
          <w:rFonts w:ascii="宋体" w:hAnsi="宋体" w:cs="宋体" w:eastAsia="宋体" w:hint="default"/>
          <w:b/>
          <w:bCs/>
          <w:sz w:val="16"/>
          <w:szCs w:val="16"/>
        </w:rPr>
      </w:pPr>
    </w:p>
    <w:p>
      <w:pPr>
        <w:spacing w:before="26"/>
        <w:ind w:left="238" w:right="121" w:firstLine="0"/>
        <w:jc w:val="left"/>
        <w:rPr>
          <w:rFonts w:ascii="宋体" w:hAnsi="宋体" w:cs="宋体" w:eastAsia="宋体" w:hint="default"/>
          <w:sz w:val="24"/>
          <w:szCs w:val="24"/>
        </w:rPr>
      </w:pPr>
      <w:r>
        <w:rPr>
          <w:rFonts w:ascii="宋体" w:hAnsi="宋体" w:cs="宋体" w:eastAsia="宋体" w:hint="default"/>
          <w:b/>
          <w:bCs/>
          <w:sz w:val="24"/>
          <w:szCs w:val="24"/>
        </w:rPr>
        <w:t>（二）岗位结构</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115" w:type="dxa"/>
        <w:tblLayout w:type="fixed"/>
        <w:tblCellMar>
          <w:top w:w="0" w:type="dxa"/>
          <w:left w:w="0" w:type="dxa"/>
          <w:bottom w:w="0" w:type="dxa"/>
          <w:right w:w="0" w:type="dxa"/>
        </w:tblCellMar>
        <w:tblLook w:val="01E0"/>
      </w:tblPr>
      <w:tblGrid>
        <w:gridCol w:w="2967"/>
        <w:gridCol w:w="2972"/>
        <w:gridCol w:w="2969"/>
      </w:tblGrid>
      <w:tr>
        <w:trPr>
          <w:trHeight w:val="296" w:hRule="exact"/>
        </w:trPr>
        <w:tc>
          <w:tcPr>
            <w:tcW w:w="2967" w:type="dxa"/>
            <w:tcBorders>
              <w:top w:val="single" w:sz="12" w:space="0" w:color="000000"/>
              <w:left w:val="single" w:sz="12" w:space="0" w:color="000000"/>
              <w:bottom w:val="single" w:sz="6"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岗位类型</w:t>
            </w:r>
            <w:r>
              <w:rPr>
                <w:rFonts w:ascii="宋体" w:hAnsi="宋体" w:cs="宋体" w:eastAsia="宋体" w:hint="default"/>
                <w:sz w:val="21"/>
                <w:szCs w:val="21"/>
              </w:rPr>
            </w:r>
          </w:p>
        </w:tc>
        <w:tc>
          <w:tcPr>
            <w:tcW w:w="2972" w:type="dxa"/>
            <w:tcBorders>
              <w:top w:val="single" w:sz="12"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2969" w:type="dxa"/>
            <w:tcBorders>
              <w:top w:val="single" w:sz="12" w:space="0" w:color="000000"/>
              <w:left w:val="single" w:sz="6" w:space="0" w:color="000000"/>
              <w:bottom w:val="single" w:sz="6" w:space="0" w:color="000000"/>
              <w:right w:val="single" w:sz="12"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百分比</w:t>
            </w:r>
            <w:r>
              <w:rPr>
                <w:rFonts w:ascii="宋体" w:hAnsi="宋体" w:cs="宋体" w:eastAsia="宋体" w:hint="default"/>
                <w:sz w:val="21"/>
                <w:szCs w:val="21"/>
              </w:rPr>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131</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 w:right="0"/>
              <w:jc w:val="center"/>
              <w:rPr>
                <w:rFonts w:ascii="Times New Roman" w:hAnsi="Times New Roman" w:cs="Times New Roman" w:eastAsia="Times New Roman" w:hint="default"/>
                <w:sz w:val="21"/>
                <w:szCs w:val="21"/>
              </w:rPr>
            </w:pPr>
            <w:r>
              <w:rPr>
                <w:rFonts w:ascii="Times New Roman"/>
                <w:sz w:val="21"/>
              </w:rPr>
              <w:t>11.79%</w:t>
            </w:r>
          </w:p>
        </w:tc>
      </w:tr>
      <w:tr>
        <w:trPr>
          <w:trHeight w:val="286"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734</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7" w:right="0"/>
              <w:jc w:val="center"/>
              <w:rPr>
                <w:rFonts w:ascii="Times New Roman" w:hAnsi="Times New Roman" w:cs="Times New Roman" w:eastAsia="Times New Roman" w:hint="default"/>
                <w:sz w:val="21"/>
                <w:szCs w:val="21"/>
              </w:rPr>
            </w:pPr>
            <w:r>
              <w:rPr>
                <w:rFonts w:ascii="Times New Roman"/>
                <w:sz w:val="21"/>
              </w:rPr>
              <w:t>66.07%</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137</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7" w:right="0"/>
              <w:jc w:val="center"/>
              <w:rPr>
                <w:rFonts w:ascii="Times New Roman" w:hAnsi="Times New Roman" w:cs="Times New Roman" w:eastAsia="Times New Roman" w:hint="default"/>
                <w:sz w:val="21"/>
                <w:szCs w:val="21"/>
              </w:rPr>
            </w:pPr>
            <w:r>
              <w:rPr>
                <w:rFonts w:ascii="Times New Roman"/>
                <w:sz w:val="21"/>
              </w:rPr>
              <w:t>12.33%</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71</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7" w:right="0"/>
              <w:jc w:val="center"/>
              <w:rPr>
                <w:rFonts w:ascii="Times New Roman" w:hAnsi="Times New Roman" w:cs="Times New Roman" w:eastAsia="Times New Roman" w:hint="default"/>
                <w:sz w:val="21"/>
                <w:szCs w:val="21"/>
              </w:rPr>
            </w:pPr>
            <w:r>
              <w:rPr>
                <w:rFonts w:ascii="Times New Roman"/>
                <w:sz w:val="21"/>
              </w:rPr>
              <w:t>6.39%</w:t>
            </w:r>
          </w:p>
        </w:tc>
      </w:tr>
      <w:tr>
        <w:trPr>
          <w:trHeight w:val="286"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咨询人员</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28</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4"/>
              <w:ind w:left="7" w:right="0"/>
              <w:jc w:val="center"/>
              <w:rPr>
                <w:rFonts w:ascii="Times New Roman" w:hAnsi="Times New Roman" w:cs="Times New Roman" w:eastAsia="Times New Roman" w:hint="default"/>
                <w:sz w:val="21"/>
                <w:szCs w:val="21"/>
              </w:rPr>
            </w:pPr>
            <w:r>
              <w:rPr>
                <w:rFonts w:ascii="Times New Roman"/>
                <w:sz w:val="21"/>
              </w:rPr>
              <w:t>2.52%</w:t>
            </w:r>
          </w:p>
        </w:tc>
      </w:tr>
      <w:tr>
        <w:trPr>
          <w:trHeight w:val="288" w:hRule="exact"/>
        </w:trPr>
        <w:tc>
          <w:tcPr>
            <w:tcW w:w="2967"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其他</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sz w:val="21"/>
              </w:rPr>
              <w:t>10</w:t>
            </w:r>
          </w:p>
        </w:tc>
        <w:tc>
          <w:tcPr>
            <w:tcW w:w="2969" w:type="dxa"/>
            <w:tcBorders>
              <w:top w:val="single" w:sz="6" w:space="0" w:color="000000"/>
              <w:left w:val="single" w:sz="6" w:space="0" w:color="000000"/>
              <w:bottom w:val="single" w:sz="6" w:space="0" w:color="000000"/>
              <w:right w:val="single" w:sz="12" w:space="0" w:color="000000"/>
            </w:tcBorders>
          </w:tcPr>
          <w:p>
            <w:pPr>
              <w:pStyle w:val="TableParagraph"/>
              <w:spacing w:line="237" w:lineRule="exact"/>
              <w:ind w:left="7" w:right="0"/>
              <w:jc w:val="center"/>
              <w:rPr>
                <w:rFonts w:ascii="Times New Roman" w:hAnsi="Times New Roman" w:cs="Times New Roman" w:eastAsia="Times New Roman" w:hint="default"/>
                <w:sz w:val="21"/>
                <w:szCs w:val="21"/>
              </w:rPr>
            </w:pPr>
            <w:r>
              <w:rPr>
                <w:rFonts w:ascii="Times New Roman"/>
                <w:sz w:val="21"/>
              </w:rPr>
              <w:t>0.90%</w:t>
            </w:r>
          </w:p>
        </w:tc>
      </w:tr>
      <w:tr>
        <w:trPr>
          <w:trHeight w:val="295" w:hRule="exact"/>
        </w:trPr>
        <w:tc>
          <w:tcPr>
            <w:tcW w:w="2967"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72" w:type="dxa"/>
            <w:tcBorders>
              <w:top w:val="single" w:sz="6" w:space="0" w:color="000000"/>
              <w:left w:val="single" w:sz="6" w:space="0" w:color="000000"/>
              <w:bottom w:val="single" w:sz="12" w:space="0" w:color="000000"/>
              <w:right w:val="single" w:sz="6"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b/>
                <w:spacing w:val="-6"/>
                <w:sz w:val="21"/>
              </w:rPr>
              <w:t>1,111</w:t>
            </w:r>
            <w:r>
              <w:rPr>
                <w:rFonts w:ascii="Times New Roman"/>
                <w:spacing w:val="-6"/>
                <w:sz w:val="21"/>
              </w:rPr>
            </w:r>
          </w:p>
        </w:tc>
        <w:tc>
          <w:tcPr>
            <w:tcW w:w="2969" w:type="dxa"/>
            <w:tcBorders>
              <w:top w:val="single" w:sz="6" w:space="0" w:color="000000"/>
              <w:left w:val="single" w:sz="6" w:space="0" w:color="000000"/>
              <w:bottom w:val="single" w:sz="12" w:space="0" w:color="000000"/>
              <w:right w:val="single" w:sz="12" w:space="0" w:color="000000"/>
            </w:tcBorders>
          </w:tcPr>
          <w:p>
            <w:pPr>
              <w:pStyle w:val="TableParagraph"/>
              <w:spacing w:line="240" w:lineRule="exact"/>
              <w:ind w:left="9"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5"/>
        <w:rPr>
          <w:rFonts w:ascii="宋体" w:hAnsi="宋体" w:cs="宋体" w:eastAsia="宋体" w:hint="default"/>
          <w:b/>
          <w:bCs/>
          <w:sz w:val="16"/>
          <w:szCs w:val="16"/>
        </w:rPr>
      </w:pPr>
    </w:p>
    <w:p>
      <w:pPr>
        <w:spacing w:before="26"/>
        <w:ind w:left="238" w:right="121" w:firstLine="0"/>
        <w:jc w:val="left"/>
        <w:rPr>
          <w:rFonts w:ascii="宋体" w:hAnsi="宋体" w:cs="宋体" w:eastAsia="宋体" w:hint="default"/>
          <w:sz w:val="24"/>
          <w:szCs w:val="24"/>
        </w:rPr>
      </w:pPr>
      <w:r>
        <w:rPr>
          <w:rFonts w:ascii="宋体" w:hAnsi="宋体" w:cs="宋体" w:eastAsia="宋体" w:hint="default"/>
          <w:b/>
          <w:bCs/>
          <w:sz w:val="24"/>
          <w:szCs w:val="24"/>
        </w:rPr>
        <w:t>（三）截至报告期末，公司没有需要承担费用的离退休人员。</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1910" w:h="16840"/>
          <w:pgMar w:header="884" w:footer="1173" w:top="1140" w:bottom="1360" w:left="1560" w:right="1160"/>
        </w:sectPr>
      </w:pPr>
    </w:p>
    <w:p>
      <w:pPr>
        <w:spacing w:line="240" w:lineRule="auto" w:before="12"/>
        <w:rPr>
          <w:rFonts w:ascii="宋体" w:hAnsi="宋体" w:cs="宋体" w:eastAsia="宋体" w:hint="default"/>
          <w:b/>
          <w:bCs/>
          <w:sz w:val="23"/>
          <w:szCs w:val="23"/>
        </w:rPr>
      </w:pPr>
    </w:p>
    <w:p>
      <w:pPr>
        <w:pStyle w:val="Heading1"/>
        <w:tabs>
          <w:tab w:pos="4122" w:val="left" w:leader="none"/>
        </w:tabs>
        <w:spacing w:line="460" w:lineRule="exact"/>
        <w:ind w:left="2675" w:right="100"/>
        <w:jc w:val="left"/>
        <w:rPr>
          <w:b w:val="0"/>
          <w:bCs w:val="0"/>
        </w:rPr>
      </w:pPr>
      <w:bookmarkStart w:name="_TOC_250018" w:id="70"/>
      <w:r>
        <w:rPr>
          <w:w w:val="95"/>
        </w:rPr>
        <w:t>第八节</w:t>
        <w:tab/>
      </w:r>
      <w:r>
        <w:rPr/>
        <w:t>公司治理结构</w:t>
      </w:r>
      <w:bookmarkEnd w:id="70"/>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pStyle w:val="Heading3"/>
        <w:spacing w:line="240" w:lineRule="auto" w:before="7"/>
        <w:ind w:right="100"/>
        <w:jc w:val="left"/>
        <w:rPr>
          <w:b w:val="0"/>
          <w:bCs w:val="0"/>
        </w:rPr>
      </w:pPr>
      <w:bookmarkStart w:name="_TOC_250017" w:id="71"/>
      <w:r>
        <w:rPr/>
        <w:t>一、公司治理情况</w:t>
      </w:r>
      <w:bookmarkEnd w:id="71"/>
      <w:r>
        <w:rPr>
          <w:b w:val="0"/>
          <w:bCs w:val="0"/>
        </w:rPr>
      </w:r>
    </w:p>
    <w:p>
      <w:pPr>
        <w:spacing w:line="240" w:lineRule="auto" w:before="4"/>
        <w:rPr>
          <w:rFonts w:ascii="宋体" w:hAnsi="宋体" w:cs="宋体" w:eastAsia="宋体" w:hint="default"/>
          <w:b/>
          <w:bCs/>
          <w:sz w:val="35"/>
          <w:szCs w:val="35"/>
        </w:rPr>
      </w:pPr>
    </w:p>
    <w:p>
      <w:pPr>
        <w:pStyle w:val="BodyText"/>
        <w:spacing w:line="357" w:lineRule="auto"/>
        <w:ind w:right="102" w:firstLine="479"/>
        <w:jc w:val="left"/>
      </w:pPr>
      <w:r>
        <w:rPr>
          <w:spacing w:val="-19"/>
        </w:rPr>
        <w:t>报告期内，公司严格按照《公司法》、《证券法》、《上市公司治理准则》、《深圳</w:t>
      </w:r>
      <w:r>
        <w:rPr/>
        <w:t> </w:t>
      </w:r>
      <w:r>
        <w:rPr>
          <w:spacing w:val="-9"/>
        </w:rPr>
        <w:t>证券交易所创业板股票上市规则》、《深圳证券交易所创业板上市公司规范运作指引》</w:t>
      </w:r>
      <w:r>
        <w:rPr>
          <w:spacing w:val="-88"/>
        </w:rPr>
        <w:t> </w:t>
      </w:r>
      <w:r>
        <w:rPr>
          <w:spacing w:val="-88"/>
        </w:rPr>
      </w:r>
      <w:r>
        <w:rPr>
          <w:spacing w:val="-2"/>
        </w:rPr>
        <w:t>等法律、法规和中国证监会有关法律法规等的要求，不断完善公司的法人治理结构，</w:t>
      </w:r>
      <w:r>
        <w:rPr>
          <w:spacing w:val="-113"/>
        </w:rPr>
        <w:t> </w:t>
      </w:r>
      <w:r>
        <w:rPr>
          <w:spacing w:val="-113"/>
        </w:rPr>
      </w:r>
      <w:r>
        <w:rPr/>
        <w:t>建立健全公司内部管理和控制制度，持续深入开展公司治理活动，促进了公司规范</w:t>
      </w:r>
      <w:r>
        <w:rPr>
          <w:spacing w:val="-72"/>
        </w:rPr>
        <w:t> </w:t>
      </w:r>
      <w:r>
        <w:rPr>
          <w:spacing w:val="-72"/>
        </w:rPr>
      </w:r>
      <w:r>
        <w:rPr/>
        <w:t>运作，提高了公司治理水平。截至报告期末，公司治理的实际状况符合《上市公司</w:t>
      </w:r>
      <w:r>
        <w:rPr>
          <w:spacing w:val="-77"/>
        </w:rPr>
        <w:t> </w:t>
      </w:r>
      <w:r>
        <w:rPr>
          <w:spacing w:val="-77"/>
        </w:rPr>
      </w:r>
      <w:r>
        <w:rPr/>
        <w:t>治理准则》和《深圳证券交易所创业板上市公司规范运作指引》的要求。</w:t>
      </w:r>
    </w:p>
    <w:p>
      <w:pPr>
        <w:pStyle w:val="BodyText"/>
        <w:spacing w:line="350" w:lineRule="auto" w:before="36"/>
        <w:ind w:right="232" w:firstLine="479"/>
        <w:jc w:val="both"/>
      </w:pPr>
      <w:r>
        <w:rPr>
          <w:rFonts w:ascii="Times New Roman" w:hAnsi="Times New Roman" w:cs="Times New Roman" w:eastAsia="Times New Roman" w:hint="default"/>
          <w:spacing w:val="-9"/>
        </w:rPr>
        <w:t>1</w:t>
      </w:r>
      <w:r>
        <w:rPr>
          <w:spacing w:val="-9"/>
        </w:rPr>
        <w:t>、关于股东与股东大会：报告期内，严格遵守《上市公司股东大会规则》、《公</w:t>
      </w:r>
      <w:r>
        <w:rPr/>
        <w:t> </w:t>
      </w:r>
      <w:r>
        <w:rPr>
          <w:spacing w:val="-6"/>
        </w:rPr>
        <w:t>司章程》、《北京超图软件股份有限公司股东大会议事规则》的规定，规范的召集召</w:t>
      </w:r>
      <w:r>
        <w:rPr>
          <w:spacing w:val="-93"/>
        </w:rPr>
        <w:t> </w:t>
      </w:r>
      <w:r>
        <w:rPr>
          <w:spacing w:val="-93"/>
        </w:rPr>
      </w:r>
      <w:r>
        <w:rPr/>
        <w:t>开股东大会，公平对待所有股东，并尽可能为股东参加股东大会提供便利条件，确</w:t>
      </w:r>
      <w:r>
        <w:rPr>
          <w:spacing w:val="-70"/>
        </w:rPr>
        <w:t> </w:t>
      </w:r>
      <w:r>
        <w:rPr>
          <w:spacing w:val="-70"/>
        </w:rPr>
      </w:r>
      <w:r>
        <w:rPr/>
        <w:t>保股东充分行使权利。</w:t>
      </w:r>
    </w:p>
    <w:p>
      <w:pPr>
        <w:pStyle w:val="BodyText"/>
        <w:spacing w:line="352" w:lineRule="auto" w:before="44"/>
        <w:ind w:right="102" w:firstLine="479"/>
        <w:jc w:val="left"/>
      </w:pPr>
      <w:r>
        <w:rPr>
          <w:rFonts w:ascii="Times New Roman" w:hAnsi="Times New Roman" w:cs="Times New Roman" w:eastAsia="Times New Roman" w:hint="default"/>
          <w:spacing w:val="-3"/>
        </w:rPr>
        <w:t>2</w:t>
      </w:r>
      <w:r>
        <w:rPr>
          <w:spacing w:val="-3"/>
        </w:rPr>
        <w:t>、关于公司与控股股东：控股股东严格依法行使其股东权利，没有超越股东大</w:t>
      </w:r>
      <w:r>
        <w:rPr/>
        <w:t> 会或董事会直接或间接干预公司的决策及依法开展的生产经营活动，未损害公司及</w:t>
      </w:r>
      <w:r>
        <w:rPr>
          <w:spacing w:val="-76"/>
        </w:rPr>
        <w:t> </w:t>
      </w:r>
      <w:r>
        <w:rPr>
          <w:spacing w:val="-76"/>
        </w:rPr>
      </w:r>
      <w:r>
        <w:rPr>
          <w:spacing w:val="-2"/>
        </w:rPr>
        <w:t>其他股东的权益。公司拥有独立的人员、资产、财务、业务、机构，公司的董事会、</w:t>
      </w:r>
      <w:r>
        <w:rPr>
          <w:spacing w:val="-116"/>
        </w:rPr>
        <w:t> </w:t>
      </w:r>
      <w:r>
        <w:rPr>
          <w:spacing w:val="-116"/>
        </w:rPr>
      </w:r>
      <w:r>
        <w:rPr>
          <w:spacing w:val="-4"/>
        </w:rPr>
        <w:t>监事会及其他内部机构独立运作。此外，控股股东已签署《避免同业竞争承诺函》，</w:t>
      </w:r>
      <w:r>
        <w:rPr>
          <w:spacing w:val="-92"/>
        </w:rPr>
        <w:t> </w:t>
      </w:r>
      <w:r>
        <w:rPr>
          <w:spacing w:val="-92"/>
        </w:rPr>
      </w:r>
      <w:r>
        <w:rPr/>
        <w:t>不从事与公司相同、相近或形成竞争的业务。</w:t>
      </w:r>
    </w:p>
    <w:p>
      <w:pPr>
        <w:pStyle w:val="BodyText"/>
        <w:spacing w:line="338" w:lineRule="auto" w:before="41"/>
        <w:ind w:right="218" w:firstLine="479"/>
        <w:jc w:val="left"/>
      </w:pPr>
      <w:r>
        <w:rPr>
          <w:rFonts w:ascii="Times New Roman" w:hAnsi="Times New Roman" w:cs="Times New Roman" w:eastAsia="Times New Roman" w:hint="default"/>
        </w:rPr>
        <w:t>3</w:t>
      </w:r>
      <w:r>
        <w:rPr/>
        <w:t>、关于董事和董事会：公司董事会成员</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6"/>
        </w:rPr>
        <w:t> </w:t>
      </w:r>
      <w:r>
        <w:rPr>
          <w:spacing w:val="-3"/>
        </w:rPr>
        <w:t>名，其中独立董事</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名，董事会的人</w:t>
      </w:r>
      <w:r>
        <w:rPr/>
        <w:t> 数、人员资格、人员构成均符合有关法律、法规以及《公司章程》的要求。</w:t>
      </w:r>
    </w:p>
    <w:p>
      <w:pPr>
        <w:pStyle w:val="BodyText"/>
        <w:spacing w:line="357" w:lineRule="auto" w:before="56"/>
        <w:ind w:right="100" w:firstLine="479"/>
        <w:jc w:val="left"/>
      </w:pPr>
      <w:r>
        <w:rPr>
          <w:spacing w:val="-6"/>
        </w:rPr>
        <w:t>各位董事能够按照《董事会议事规则》、《北京超图软件股份有限公司独立董事</w:t>
      </w:r>
      <w:r>
        <w:rPr/>
        <w:t> </w:t>
      </w:r>
      <w:r>
        <w:rPr>
          <w:spacing w:val="-6"/>
        </w:rPr>
        <w:t>工作制度》、《深圳证券交易所创业板上市公司规范运作指引》以及《公司章程》等</w:t>
      </w:r>
      <w:r>
        <w:rPr>
          <w:spacing w:val="-93"/>
        </w:rPr>
        <w:t> </w:t>
      </w:r>
      <w:r>
        <w:rPr>
          <w:spacing w:val="-93"/>
        </w:rPr>
      </w:r>
      <w:r>
        <w:rPr>
          <w:spacing w:val="-3"/>
        </w:rPr>
        <w:t>有关规定，认真出席董事会，积极参与有关培训，熟悉有关法律法规，忠实、诚信、</w:t>
      </w:r>
      <w:r>
        <w:rPr>
          <w:spacing w:val="-84"/>
        </w:rPr>
        <w:t> </w:t>
      </w:r>
      <w:r>
        <w:rPr>
          <w:spacing w:val="-84"/>
        </w:rPr>
      </w:r>
      <w:r>
        <w:rPr/>
        <w:t>勤勉的履行了职责。</w:t>
      </w:r>
    </w:p>
    <w:p>
      <w:pPr>
        <w:pStyle w:val="BodyText"/>
        <w:spacing w:line="352" w:lineRule="auto" w:before="36"/>
        <w:ind w:right="232" w:firstLine="479"/>
        <w:jc w:val="both"/>
      </w:pPr>
      <w:r>
        <w:rPr>
          <w:rFonts w:ascii="Times New Roman" w:hAnsi="Times New Roman" w:cs="Times New Roman" w:eastAsia="Times New Roman" w:hint="default"/>
        </w:rPr>
        <w:t>4</w:t>
      </w:r>
      <w:r>
        <w:rPr/>
        <w:t>、关于监事和监事会：公司监事会成员</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spacing w:val="-3"/>
        </w:rPr>
        <w:t>名，其中职工监事</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名，监事会的人</w:t>
      </w:r>
      <w:r>
        <w:rPr/>
        <w:t> 数、人员资格以及人员构成符合法律、法规和《公司章程》的要求。各位监事能够</w:t>
      </w:r>
      <w:r>
        <w:rPr>
          <w:spacing w:val="-77"/>
        </w:rPr>
        <w:t> </w:t>
      </w:r>
      <w:r>
        <w:rPr>
          <w:spacing w:val="-77"/>
        </w:rPr>
      </w:r>
      <w:r>
        <w:rPr/>
        <w:t>按照《北京超图软件股份有限公司监事会议事规则》等相关制度的要求，按照规定</w:t>
      </w:r>
      <w:r>
        <w:rPr>
          <w:spacing w:val="-76"/>
        </w:rPr>
        <w:t> </w:t>
      </w:r>
      <w:r>
        <w:rPr>
          <w:spacing w:val="-76"/>
        </w:rPr>
      </w:r>
      <w:r>
        <w:rPr/>
        <w:t>的程序召开监事会，对公司依法运行、定期报告、审计报告等重大事项发表意见，</w:t>
      </w:r>
      <w:r>
        <w:rPr>
          <w:spacing w:val="-77"/>
        </w:rPr>
        <w:t> </w:t>
      </w:r>
      <w:r>
        <w:rPr>
          <w:spacing w:val="-77"/>
        </w:rPr>
      </w:r>
      <w:r>
        <w:rPr/>
        <w:t>对公司财务以及公司董事、经理和其他高级管理人员履行职责的合法合规性进行了</w:t>
      </w:r>
    </w:p>
    <w:p>
      <w:pPr>
        <w:spacing w:after="0" w:line="352" w:lineRule="auto"/>
        <w:jc w:val="both"/>
        <w:sectPr>
          <w:pgSz w:w="11910" w:h="16840"/>
          <w:pgMar w:header="884" w:footer="1173" w:top="1140" w:bottom="1360" w:left="1660" w:right="1180"/>
        </w:sectPr>
      </w:pPr>
    </w:p>
    <w:p>
      <w:pPr>
        <w:spacing w:line="240" w:lineRule="auto" w:before="6"/>
        <w:rPr>
          <w:rFonts w:ascii="宋体" w:hAnsi="宋体" w:cs="宋体" w:eastAsia="宋体" w:hint="default"/>
          <w:sz w:val="22"/>
          <w:szCs w:val="22"/>
        </w:rPr>
      </w:pPr>
    </w:p>
    <w:p>
      <w:pPr>
        <w:pStyle w:val="BodyText"/>
        <w:spacing w:line="240" w:lineRule="auto" w:before="26"/>
        <w:ind w:right="0"/>
        <w:jc w:val="both"/>
      </w:pPr>
      <w:r>
        <w:rPr/>
        <w:t>监督。</w:t>
      </w:r>
    </w:p>
    <w:p>
      <w:pPr>
        <w:pStyle w:val="BodyText"/>
        <w:spacing w:line="348" w:lineRule="auto" w:before="154"/>
        <w:ind w:right="232" w:firstLine="479"/>
        <w:jc w:val="both"/>
      </w:pPr>
      <w:r>
        <w:rPr>
          <w:rFonts w:ascii="Times New Roman" w:hAnsi="Times New Roman" w:cs="Times New Roman" w:eastAsia="Times New Roman" w:hint="default"/>
          <w:spacing w:val="-2"/>
        </w:rPr>
        <w:t>5</w:t>
      </w:r>
      <w:r>
        <w:rPr>
          <w:spacing w:val="-2"/>
        </w:rPr>
        <w:t>、关于绩效评价和激励约束机制：公司进一步健全了有效的绩效评价与激励体</w:t>
      </w:r>
      <w:r>
        <w:rPr/>
        <w:t> 系，经营者的收入与公司经营业绩挂钩，高级管理人员的聘任公开、透明、依法进</w:t>
      </w:r>
      <w:r>
        <w:rPr>
          <w:spacing w:val="-77"/>
        </w:rPr>
        <w:t> </w:t>
      </w:r>
      <w:r>
        <w:rPr>
          <w:spacing w:val="-77"/>
        </w:rPr>
      </w:r>
      <w:r>
        <w:rPr/>
        <w:t>行。</w:t>
      </w:r>
    </w:p>
    <w:p>
      <w:pPr>
        <w:pStyle w:val="BodyText"/>
        <w:spacing w:line="350" w:lineRule="auto" w:before="46"/>
        <w:ind w:right="102" w:firstLine="479"/>
        <w:jc w:val="left"/>
      </w:pPr>
      <w:r>
        <w:rPr>
          <w:rFonts w:ascii="Times New Roman" w:hAnsi="Times New Roman" w:cs="Times New Roman" w:eastAsia="Times New Roman" w:hint="default"/>
        </w:rPr>
        <w:t>6</w:t>
      </w:r>
      <w:r>
        <w:rPr/>
        <w:t>、关于信息披露与透明度：公司严格按照《北京超图软件股份有限公司信息披 </w:t>
      </w:r>
      <w:r>
        <w:rPr>
          <w:spacing w:val="-6"/>
        </w:rPr>
        <w:t>露管理办法》、《深圳证券交易所创业板上市规则》等有关规定真实、准确、完整、</w:t>
      </w:r>
      <w:r>
        <w:rPr>
          <w:spacing w:val="-93"/>
        </w:rPr>
        <w:t> </w:t>
      </w:r>
      <w:r>
        <w:rPr>
          <w:spacing w:val="-93"/>
        </w:rPr>
      </w:r>
      <w:r>
        <w:rPr>
          <w:spacing w:val="-2"/>
        </w:rPr>
        <w:t>及时地披露信息。指定公司董事会秘书为公司信息披露与投资者关系活动的负责人，</w:t>
      </w:r>
      <w:r>
        <w:rPr>
          <w:spacing w:val="-117"/>
        </w:rPr>
        <w:t> </w:t>
      </w:r>
      <w:r>
        <w:rPr>
          <w:spacing w:val="-117"/>
        </w:rPr>
      </w:r>
      <w:r>
        <w:rPr/>
        <w:t>协调公司与投资者的关系，接待股东来访，回答咨询，联系股东，向投资者提供公</w:t>
      </w:r>
      <w:r>
        <w:rPr>
          <w:spacing w:val="-77"/>
        </w:rPr>
        <w:t> </w:t>
      </w:r>
      <w:r>
        <w:rPr>
          <w:spacing w:val="-77"/>
        </w:rPr>
      </w:r>
      <w:r>
        <w:rPr>
          <w:spacing w:val="-5"/>
          <w:w w:val="99"/>
        </w:rPr>
        <w:t>司公开披露的资料；并将《证券时报》、巨潮网（</w:t>
      </w:r>
      <w:hyperlink r:id="rId11">
        <w:r>
          <w:rPr>
            <w:rFonts w:ascii="Times New Roman" w:hAnsi="Times New Roman" w:cs="Times New Roman" w:eastAsia="Times New Roman" w:hint="default"/>
            <w:spacing w:val="-5"/>
            <w:w w:val="99"/>
          </w:rPr>
          <w:t>www.cninfo.com.cn</w:t>
        </w:r>
      </w:hyperlink>
      <w:r>
        <w:rPr>
          <w:spacing w:val="-5"/>
          <w:w w:val="99"/>
        </w:rPr>
        <w:t>）以及公司官方</w:t>
      </w:r>
      <w:r>
        <w:rPr>
          <w:spacing w:val="-112"/>
          <w:w w:val="99"/>
        </w:rPr>
        <w:t> </w:t>
      </w:r>
      <w:r>
        <w:rPr>
          <w:spacing w:val="-112"/>
          <w:w w:val="99"/>
        </w:rPr>
      </w:r>
      <w:r>
        <w:rPr/>
        <w:t>网站作为公司信息披露平台，确保所有股东有平等的机会获得信息。</w:t>
      </w:r>
    </w:p>
    <w:p>
      <w:pPr>
        <w:pStyle w:val="BodyText"/>
        <w:spacing w:line="338" w:lineRule="auto" w:before="43"/>
        <w:ind w:right="219" w:firstLine="479"/>
        <w:jc w:val="left"/>
      </w:pPr>
      <w:r>
        <w:rPr>
          <w:rFonts w:ascii="Times New Roman" w:hAnsi="Times New Roman" w:cs="Times New Roman" w:eastAsia="Times New Roman" w:hint="default"/>
          <w:spacing w:val="-2"/>
        </w:rPr>
        <w:t>7</w:t>
      </w:r>
      <w:r>
        <w:rPr>
          <w:spacing w:val="-2"/>
        </w:rPr>
        <w:t>、关于利益相关者：公司充分尊重和维护利益相关者的合法权利，并与利益相</w:t>
      </w:r>
      <w:r>
        <w:rPr/>
        <w:t> 关者积极合作，共同推动公司持续、健康地发展。</w:t>
      </w:r>
    </w:p>
    <w:p>
      <w:pPr>
        <w:spacing w:line="240" w:lineRule="auto" w:before="5"/>
        <w:rPr>
          <w:rFonts w:ascii="宋体" w:hAnsi="宋体" w:cs="宋体" w:eastAsia="宋体" w:hint="default"/>
          <w:sz w:val="26"/>
          <w:szCs w:val="26"/>
        </w:rPr>
      </w:pPr>
    </w:p>
    <w:p>
      <w:pPr>
        <w:pStyle w:val="Heading3"/>
        <w:spacing w:line="240" w:lineRule="auto"/>
        <w:ind w:right="0"/>
        <w:jc w:val="both"/>
        <w:rPr>
          <w:b w:val="0"/>
          <w:bCs w:val="0"/>
        </w:rPr>
      </w:pPr>
      <w:bookmarkStart w:name="_TOC_250016" w:id="72"/>
      <w:r>
        <w:rPr/>
        <w:t>二、报告期内股东大会、董事运作情况</w:t>
      </w:r>
      <w:bookmarkEnd w:id="72"/>
      <w:r>
        <w:rPr>
          <w:b w:val="0"/>
          <w:bCs w:val="0"/>
        </w:rPr>
      </w:r>
    </w:p>
    <w:p>
      <w:pPr>
        <w:spacing w:line="780" w:lineRule="atLeast" w:before="28"/>
        <w:ind w:left="618" w:right="4108" w:hanging="480"/>
        <w:jc w:val="left"/>
        <w:rPr>
          <w:rFonts w:ascii="宋体" w:hAnsi="宋体" w:cs="宋体" w:eastAsia="宋体" w:hint="default"/>
          <w:sz w:val="24"/>
          <w:szCs w:val="24"/>
        </w:rPr>
      </w:pPr>
      <w:r>
        <w:rPr>
          <w:rFonts w:ascii="宋体" w:hAnsi="宋体" w:cs="宋体" w:eastAsia="宋体" w:hint="default"/>
          <w:b/>
          <w:bCs/>
          <w:sz w:val="24"/>
          <w:szCs w:val="24"/>
        </w:rPr>
        <w:t>（一）股东大会运作情况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报告期内，公司共召开了</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次股东大会。</w:t>
      </w:r>
    </w:p>
    <w:p>
      <w:pPr>
        <w:pStyle w:val="BodyText"/>
        <w:spacing w:line="240" w:lineRule="auto" w:before="135"/>
        <w:ind w:left="726" w:right="100"/>
        <w:jc w:val="left"/>
      </w:pPr>
      <w:r>
        <w:rPr/>
        <w:t>公司于</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6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64"/>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日在北京市朝阳区酒仙桥北路甲</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号电子城</w:t>
      </w:r>
      <w:r>
        <w:rPr>
          <w:spacing w:val="-63"/>
        </w:rPr>
        <w:t> </w:t>
      </w:r>
      <w:r>
        <w:rPr>
          <w:rFonts w:ascii="Times New Roman" w:hAnsi="Times New Roman" w:cs="Times New Roman" w:eastAsia="Times New Roman" w:hint="default"/>
        </w:rPr>
        <w:t>IT</w:t>
      </w:r>
      <w:r>
        <w:rPr>
          <w:rFonts w:ascii="Times New Roman" w:hAnsi="Times New Roman" w:cs="Times New Roman" w:eastAsia="Times New Roman" w:hint="default"/>
          <w:spacing w:val="-4"/>
        </w:rPr>
        <w:t> </w:t>
      </w:r>
      <w:r>
        <w:rPr/>
        <w:t>产业园</w:t>
      </w:r>
    </w:p>
    <w:p>
      <w:pPr>
        <w:pStyle w:val="BodyText"/>
        <w:spacing w:line="240" w:lineRule="auto" w:before="135"/>
        <w:ind w:right="0"/>
        <w:jc w:val="both"/>
      </w:pPr>
      <w:r>
        <w:rPr>
          <w:rFonts w:ascii="Times New Roman" w:hAnsi="Times New Roman" w:cs="Times New Roman" w:eastAsia="Times New Roman" w:hint="default"/>
        </w:rPr>
        <w:t>201</w:t>
      </w:r>
      <w:r>
        <w:rPr>
          <w:rFonts w:ascii="Times New Roman" w:hAnsi="Times New Roman" w:cs="Times New Roman" w:eastAsia="Times New Roman" w:hint="default"/>
          <w:spacing w:val="-5"/>
        </w:rPr>
        <w:t> </w:t>
      </w:r>
      <w:r>
        <w:rPr/>
        <w:t>号楼</w:t>
      </w:r>
      <w:r>
        <w:rPr>
          <w:spacing w:val="-65"/>
        </w:rPr>
        <w:t> </w:t>
      </w:r>
      <w:r>
        <w:rPr>
          <w:rFonts w:ascii="Times New Roman" w:hAnsi="Times New Roman" w:cs="Times New Roman" w:eastAsia="Times New Roman" w:hint="default"/>
        </w:rPr>
        <w:t>E</w:t>
      </w:r>
      <w:r>
        <w:rPr>
          <w:rFonts w:ascii="Times New Roman" w:hAnsi="Times New Roman" w:cs="Times New Roman" w:eastAsia="Times New Roman" w:hint="default"/>
          <w:spacing w:val="-5"/>
        </w:rPr>
        <w:t> </w:t>
      </w:r>
      <w:r>
        <w:rPr/>
        <w:t>门三层公司</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号大会议室以现场与网络相结合的方式召开了</w:t>
      </w:r>
      <w:r>
        <w:rPr>
          <w:spacing w:val="-6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年度股</w:t>
      </w:r>
    </w:p>
    <w:p>
      <w:pPr>
        <w:pStyle w:val="BodyText"/>
        <w:spacing w:line="338" w:lineRule="auto" w:before="135"/>
        <w:ind w:right="112"/>
        <w:jc w:val="both"/>
      </w:pPr>
      <w:r>
        <w:rPr>
          <w:spacing w:val="-3"/>
        </w:rPr>
        <w:t>东大会，出席本次会议的股东（包括股东代理人）共计</w:t>
      </w:r>
      <w:r>
        <w:rPr>
          <w:spacing w:val="-58"/>
        </w:rPr>
        <w:t> </w:t>
      </w:r>
      <w:r>
        <w:rPr>
          <w:rFonts w:ascii="Times New Roman" w:hAnsi="Times New Roman" w:cs="Times New Roman" w:eastAsia="Times New Roman" w:hint="default"/>
        </w:rPr>
        <w:t>76 </w:t>
      </w:r>
      <w:r>
        <w:rPr/>
        <w:t>人，代表公司有表决权的</w:t>
      </w:r>
      <w:r>
        <w:rPr>
          <w:spacing w:val="-118"/>
        </w:rPr>
        <w:t> </w:t>
      </w:r>
      <w:r>
        <w:rPr>
          <w:spacing w:val="-118"/>
        </w:rPr>
      </w:r>
      <w:r>
        <w:rPr/>
        <w:t>股份合计</w:t>
      </w:r>
      <w:r>
        <w:rPr>
          <w:spacing w:val="-59"/>
        </w:rPr>
        <w:t> </w:t>
      </w:r>
      <w:r>
        <w:rPr>
          <w:rFonts w:ascii="Times New Roman" w:hAnsi="Times New Roman" w:cs="Times New Roman" w:eastAsia="Times New Roman" w:hint="default"/>
        </w:rPr>
        <w:t>38,740,292</w:t>
      </w:r>
      <w:r>
        <w:rPr>
          <w:rFonts w:ascii="Times New Roman" w:hAnsi="Times New Roman" w:cs="Times New Roman" w:eastAsia="Times New Roman" w:hint="default"/>
          <w:spacing w:val="2"/>
        </w:rPr>
        <w:t> </w:t>
      </w:r>
      <w:r>
        <w:rPr>
          <w:spacing w:val="-7"/>
        </w:rPr>
        <w:t>股，占公司有表决权总股份的</w:t>
      </w:r>
      <w:r>
        <w:rPr>
          <w:spacing w:val="-58"/>
        </w:rPr>
        <w:t> </w:t>
      </w:r>
      <w:r>
        <w:rPr>
          <w:rFonts w:ascii="Times New Roman" w:hAnsi="Times New Roman" w:cs="Times New Roman" w:eastAsia="Times New Roman" w:hint="default"/>
          <w:spacing w:val="-9"/>
        </w:rPr>
        <w:t>51.6537%</w:t>
      </w:r>
      <w:r>
        <w:rPr>
          <w:spacing w:val="-9"/>
        </w:rPr>
        <w:t>。会议审议通过了《</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55"/>
        </w:rPr>
        <w:t> </w:t>
      </w:r>
      <w:r>
        <w:rPr>
          <w:spacing w:val="-19"/>
        </w:rPr>
        <w:t>年董事会工作报告》、《</w:t>
      </w:r>
      <w:r>
        <w:rPr>
          <w:rFonts w:ascii="Times New Roman" w:hAnsi="Times New Roman" w:cs="Times New Roman" w:eastAsia="Times New Roman" w:hint="default"/>
          <w:spacing w:val="-19"/>
        </w:rPr>
        <w:t>2010</w:t>
      </w:r>
      <w:r>
        <w:rPr>
          <w:rFonts w:ascii="Times New Roman" w:hAnsi="Times New Roman" w:cs="Times New Roman" w:eastAsia="Times New Roman" w:hint="default"/>
        </w:rPr>
        <w:t> </w:t>
      </w:r>
      <w:r>
        <w:rPr>
          <w:spacing w:val="-18"/>
        </w:rPr>
        <w:t>年度监事会工作报告》、《</w:t>
      </w:r>
      <w:r>
        <w:rPr>
          <w:rFonts w:ascii="Times New Roman" w:hAnsi="Times New Roman" w:cs="Times New Roman" w:eastAsia="Times New Roman" w:hint="default"/>
          <w:spacing w:val="-18"/>
        </w:rPr>
        <w:t>2010</w:t>
      </w:r>
      <w:r>
        <w:rPr>
          <w:rFonts w:ascii="Times New Roman" w:hAnsi="Times New Roman" w:cs="Times New Roman" w:eastAsia="Times New Roman" w:hint="default"/>
          <w:spacing w:val="25"/>
        </w:rPr>
        <w:t> </w:t>
      </w:r>
      <w:r>
        <w:rPr>
          <w:spacing w:val="-10"/>
        </w:rPr>
        <w:t>年年度报告全文及摘要》、</w:t>
      </w:r>
    </w:p>
    <w:p>
      <w:pPr>
        <w:pStyle w:val="BodyText"/>
        <w:spacing w:line="240" w:lineRule="auto" w:before="27"/>
        <w:ind w:right="0"/>
        <w:jc w:val="both"/>
      </w:pPr>
      <w:r>
        <w:rPr>
          <w:spacing w:val="2"/>
        </w:rPr>
        <w:t>《</w:t>
      </w:r>
      <w:r>
        <w:rPr>
          <w:rFonts w:ascii="Times New Roman" w:hAnsi="Times New Roman" w:cs="Times New Roman" w:eastAsia="Times New Roman" w:hint="default"/>
        </w:rPr>
        <w:t>2010 </w:t>
      </w:r>
      <w:r>
        <w:rPr>
          <w:rFonts w:ascii="Times New Roman" w:hAnsi="Times New Roman" w:cs="Times New Roman" w:eastAsia="Times New Roman" w:hint="default"/>
          <w:spacing w:val="2"/>
        </w:rPr>
        <w:t> </w:t>
      </w:r>
      <w:r>
        <w:rPr>
          <w:spacing w:val="2"/>
        </w:rPr>
        <w:t>年</w:t>
      </w:r>
      <w:r>
        <w:rPr/>
        <w:t>度</w:t>
      </w:r>
      <w:r>
        <w:rPr>
          <w:spacing w:val="2"/>
        </w:rPr>
        <w:t>财</w:t>
      </w:r>
      <w:r>
        <w:rPr/>
        <w:t>务</w:t>
      </w:r>
      <w:r>
        <w:rPr>
          <w:spacing w:val="2"/>
        </w:rPr>
        <w:t>决</w:t>
      </w:r>
      <w:r>
        <w:rPr/>
        <w:t>算</w:t>
      </w:r>
      <w:r>
        <w:rPr>
          <w:spacing w:val="2"/>
        </w:rPr>
        <w:t>报告</w:t>
      </w:r>
      <w:r>
        <w:rPr>
          <w:spacing w:val="-118"/>
        </w:rPr>
        <w:t>》</w:t>
      </w:r>
      <w:r>
        <w:rPr>
          <w:spacing w:val="-120"/>
        </w:rPr>
        <w:t>、</w:t>
      </w:r>
      <w:r>
        <w:rPr>
          <w:spacing w:val="4"/>
        </w:rPr>
        <w:t>《</w:t>
      </w:r>
      <w:r>
        <w:rPr>
          <w:rFonts w:ascii="Times New Roman" w:hAnsi="Times New Roman" w:cs="Times New Roman" w:eastAsia="Times New Roman" w:hint="default"/>
        </w:rPr>
        <w:t>2010  </w:t>
      </w:r>
      <w:r>
        <w:rPr>
          <w:spacing w:val="2"/>
        </w:rPr>
        <w:t>年利</w:t>
      </w:r>
      <w:r>
        <w:rPr/>
        <w:t>润</w:t>
      </w:r>
      <w:r>
        <w:rPr>
          <w:spacing w:val="2"/>
        </w:rPr>
        <w:t>分配方</w:t>
      </w:r>
      <w:r>
        <w:rPr/>
        <w:t>案</w:t>
      </w:r>
      <w:r>
        <w:rPr>
          <w:spacing w:val="2"/>
        </w:rPr>
        <w:t>及</w:t>
      </w:r>
      <w:r>
        <w:rPr/>
        <w:t>资</w:t>
      </w:r>
      <w:r>
        <w:rPr>
          <w:spacing w:val="2"/>
        </w:rPr>
        <w:t>本公</w:t>
      </w:r>
      <w:r>
        <w:rPr/>
        <w:t>积金</w:t>
      </w:r>
      <w:r>
        <w:rPr>
          <w:spacing w:val="2"/>
        </w:rPr>
        <w:t>转增股</w:t>
      </w:r>
      <w:r>
        <w:rPr/>
        <w:t>本</w:t>
      </w:r>
      <w:r>
        <w:rPr>
          <w:spacing w:val="2"/>
        </w:rPr>
        <w:t>预</w:t>
      </w:r>
      <w:r>
        <w:rPr/>
        <w:t>案</w:t>
      </w:r>
      <w:r>
        <w:rPr>
          <w:spacing w:val="-118"/>
        </w:rPr>
        <w:t>》</w:t>
      </w:r>
      <w:r>
        <w:rPr/>
        <w:t>、</w:t>
      </w:r>
    </w:p>
    <w:p>
      <w:pPr>
        <w:pStyle w:val="BodyText"/>
        <w:spacing w:line="357" w:lineRule="auto" w:before="135"/>
        <w:ind w:right="232"/>
        <w:jc w:val="both"/>
      </w:pPr>
      <w:r>
        <w:rPr>
          <w:spacing w:val="-18"/>
        </w:rPr>
        <w:t>《关于续聘会计师事务所的议案》、《关于购置房产及超募资金使用计划的议案》、《章</w:t>
      </w:r>
      <w:r>
        <w:rPr>
          <w:spacing w:val="-86"/>
        </w:rPr>
        <w:t> </w:t>
      </w:r>
      <w:r>
        <w:rPr>
          <w:spacing w:val="-86"/>
        </w:rPr>
      </w:r>
      <w:r>
        <w:rPr>
          <w:spacing w:val="-12"/>
        </w:rPr>
        <w:t>程修正案》、《对外投资管理制度》和《累积投票制度实施细则》，北京市天元律师事</w:t>
      </w:r>
      <w:r>
        <w:rPr>
          <w:spacing w:val="-91"/>
        </w:rPr>
        <w:t> </w:t>
      </w:r>
      <w:r>
        <w:rPr>
          <w:spacing w:val="-91"/>
        </w:rPr>
      </w:r>
      <w:r>
        <w:rPr/>
        <w:t>务所对本次会议的召集、提案、出席、表决、决议等进行了见证，认为符合《公司</w:t>
      </w:r>
      <w:r>
        <w:rPr>
          <w:spacing w:val="-74"/>
        </w:rPr>
        <w:t> </w:t>
      </w:r>
      <w:r>
        <w:rPr>
          <w:spacing w:val="-74"/>
        </w:rPr>
      </w:r>
      <w:r>
        <w:rPr>
          <w:spacing w:val="-14"/>
        </w:rPr>
        <w:t>法》、《公司章程》等相关规定的要求。</w:t>
      </w:r>
    </w:p>
    <w:p>
      <w:pPr>
        <w:pStyle w:val="BodyText"/>
        <w:spacing w:line="338" w:lineRule="auto" w:before="36"/>
        <w:ind w:right="226" w:firstLine="479"/>
        <w:jc w:val="left"/>
      </w:pPr>
      <w:r>
        <w:rPr/>
        <w:t>本次会议内容公司于</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9"/>
        </w:rPr>
        <w:t> </w:t>
      </w:r>
      <w:r>
        <w:rPr/>
        <w:t>日在中国证监会指定创业板信息披露网站 巨潮资讯网（</w:t>
      </w:r>
      <w:hyperlink r:id="rId11">
        <w:r>
          <w:rPr>
            <w:rFonts w:ascii="Times New Roman" w:hAnsi="Times New Roman" w:cs="Times New Roman" w:eastAsia="Times New Roman" w:hint="default"/>
          </w:rPr>
          <w:t>www.cninfo.com.cn</w:t>
        </w:r>
      </w:hyperlink>
      <w:r>
        <w:rPr/>
        <w:t>）上进行了披露。</w:t>
      </w:r>
    </w:p>
    <w:p>
      <w:pPr>
        <w:spacing w:after="0" w:line="338" w:lineRule="auto"/>
        <w:jc w:val="left"/>
        <w:sectPr>
          <w:footerReference w:type="default" r:id="rId42"/>
          <w:pgSz w:w="11910" w:h="16840"/>
          <w:pgMar w:footer="1173" w:header="884" w:top="1140" w:bottom="1360" w:left="1660" w:right="1180"/>
        </w:sectPr>
      </w:pPr>
    </w:p>
    <w:p>
      <w:pPr>
        <w:spacing w:line="240" w:lineRule="auto" w:before="6"/>
        <w:rPr>
          <w:rFonts w:ascii="宋体" w:hAnsi="宋体" w:cs="宋体" w:eastAsia="宋体" w:hint="default"/>
          <w:sz w:val="22"/>
          <w:szCs w:val="22"/>
        </w:rPr>
      </w:pPr>
    </w:p>
    <w:p>
      <w:pPr>
        <w:pStyle w:val="BodyText"/>
        <w:spacing w:line="240" w:lineRule="auto" w:before="26"/>
        <w:ind w:left="826" w:right="121"/>
        <w:jc w:val="left"/>
      </w:pPr>
      <w:r>
        <w:rPr/>
        <w:t>公司于</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日在北京市朝阳区酒仙桥北路甲</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号电子城</w:t>
      </w:r>
      <w:r>
        <w:rPr>
          <w:spacing w:val="-51"/>
        </w:rPr>
        <w:t> </w:t>
      </w:r>
      <w:r>
        <w:rPr>
          <w:rFonts w:ascii="Times New Roman" w:hAnsi="Times New Roman" w:cs="Times New Roman" w:eastAsia="Times New Roman" w:hint="default"/>
        </w:rPr>
        <w:t>IT</w:t>
      </w:r>
      <w:r>
        <w:rPr>
          <w:rFonts w:ascii="Times New Roman" w:hAnsi="Times New Roman" w:cs="Times New Roman" w:eastAsia="Times New Roman" w:hint="default"/>
          <w:spacing w:val="8"/>
        </w:rPr>
        <w:t> </w:t>
      </w:r>
      <w:r>
        <w:rPr/>
        <w:t>产业园</w:t>
      </w:r>
    </w:p>
    <w:p>
      <w:pPr>
        <w:pStyle w:val="BodyText"/>
        <w:spacing w:line="240" w:lineRule="auto" w:before="135"/>
        <w:ind w:left="238" w:right="0"/>
        <w:jc w:val="both"/>
      </w:pPr>
      <w:r>
        <w:rPr>
          <w:rFonts w:ascii="Times New Roman" w:hAnsi="Times New Roman" w:cs="Times New Roman" w:eastAsia="Times New Roman" w:hint="default"/>
        </w:rPr>
        <w:t>201</w:t>
      </w:r>
      <w:r>
        <w:rPr>
          <w:rFonts w:ascii="Times New Roman" w:hAnsi="Times New Roman" w:cs="Times New Roman" w:eastAsia="Times New Roman" w:hint="default"/>
          <w:spacing w:val="-5"/>
        </w:rPr>
        <w:t> </w:t>
      </w:r>
      <w:r>
        <w:rPr/>
        <w:t>号楼</w:t>
      </w:r>
      <w:r>
        <w:rPr>
          <w:spacing w:val="-65"/>
        </w:rPr>
        <w:t> </w:t>
      </w:r>
      <w:r>
        <w:rPr>
          <w:rFonts w:ascii="Times New Roman" w:hAnsi="Times New Roman" w:cs="Times New Roman" w:eastAsia="Times New Roman" w:hint="default"/>
        </w:rPr>
        <w:t>E</w:t>
      </w:r>
      <w:r>
        <w:rPr>
          <w:rFonts w:ascii="Times New Roman" w:hAnsi="Times New Roman" w:cs="Times New Roman" w:eastAsia="Times New Roman" w:hint="default"/>
          <w:spacing w:val="-5"/>
        </w:rPr>
        <w:t> </w:t>
      </w:r>
      <w:r>
        <w:rPr/>
        <w:t>门三层公司</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号大会议室以现场与网络相结合的方式召开</w:t>
      </w:r>
      <w:r>
        <w:rPr>
          <w:spacing w:val="-6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年第一次</w:t>
      </w:r>
    </w:p>
    <w:p>
      <w:pPr>
        <w:pStyle w:val="BodyText"/>
        <w:spacing w:line="348" w:lineRule="auto" w:before="135"/>
        <w:ind w:left="238" w:right="252"/>
        <w:jc w:val="both"/>
      </w:pPr>
      <w:r>
        <w:rPr/>
        <w:t>临时股东大会，出席本次会议的股东（包括股东代理人）共计</w:t>
      </w:r>
      <w:r>
        <w:rPr>
          <w:spacing w:val="-81"/>
        </w:rPr>
        <w:t> </w:t>
      </w:r>
      <w:r>
        <w:rPr>
          <w:rFonts w:ascii="Times New Roman" w:hAnsi="Times New Roman" w:cs="Times New Roman" w:eastAsia="Times New Roman" w:hint="default"/>
        </w:rPr>
        <w:t>51</w:t>
      </w:r>
      <w:r>
        <w:rPr>
          <w:rFonts w:ascii="Times New Roman" w:hAnsi="Times New Roman" w:cs="Times New Roman" w:eastAsia="Times New Roman" w:hint="default"/>
          <w:spacing w:val="-21"/>
        </w:rPr>
        <w:t> </w:t>
      </w:r>
      <w:r>
        <w:rPr>
          <w:spacing w:val="-3"/>
        </w:rPr>
        <w:t>人，代表公司有表</w:t>
      </w:r>
      <w:r>
        <w:rPr/>
        <w:t> 决权的股份合计</w:t>
      </w:r>
      <w:r>
        <w:rPr>
          <w:spacing w:val="-71"/>
        </w:rPr>
        <w:t> </w:t>
      </w:r>
      <w:r>
        <w:rPr>
          <w:rFonts w:ascii="Times New Roman" w:hAnsi="Times New Roman" w:cs="Times New Roman" w:eastAsia="Times New Roman" w:hint="default"/>
        </w:rPr>
        <w:t>29,570,159</w:t>
      </w:r>
      <w:r>
        <w:rPr>
          <w:rFonts w:ascii="Times New Roman" w:hAnsi="Times New Roman" w:cs="Times New Roman" w:eastAsia="Times New Roman" w:hint="default"/>
          <w:spacing w:val="-10"/>
        </w:rPr>
        <w:t> </w:t>
      </w:r>
      <w:r>
        <w:rPr/>
        <w:t>股，占公司有表决权总股份的</w:t>
      </w:r>
      <w:r>
        <w:rPr>
          <w:spacing w:val="-70"/>
        </w:rPr>
        <w:t> </w:t>
      </w:r>
      <w:r>
        <w:rPr>
          <w:rFonts w:ascii="Times New Roman" w:hAnsi="Times New Roman" w:cs="Times New Roman" w:eastAsia="Times New Roman" w:hint="default"/>
        </w:rPr>
        <w:t>39.4269%</w:t>
      </w:r>
      <w:r>
        <w:rPr/>
        <w:t>。会议审议通过 </w:t>
      </w:r>
      <w:r>
        <w:rPr>
          <w:spacing w:val="-9"/>
        </w:rPr>
        <w:t>了《北京超图软件股份有限公司股票期权激励计划（草案修订稿）》、《关于修订</w:t>
      </w:r>
      <w:r>
        <w:rPr>
          <w:rFonts w:ascii="Times New Roman" w:hAnsi="Times New Roman" w:cs="Times New Roman" w:eastAsia="Times New Roman" w:hint="default"/>
          <w:spacing w:val="-9"/>
        </w:rPr>
        <w:t>&lt;</w:t>
      </w:r>
      <w:r>
        <w:rPr>
          <w:spacing w:val="-9"/>
        </w:rPr>
        <w:t>公</w:t>
      </w:r>
      <w:r>
        <w:rPr>
          <w:spacing w:val="-108"/>
        </w:rPr>
        <w:t> </w:t>
      </w:r>
      <w:r>
        <w:rPr>
          <w:spacing w:val="-15"/>
        </w:rPr>
        <w:t>司章程</w:t>
      </w:r>
      <w:r>
        <w:rPr>
          <w:rFonts w:ascii="Times New Roman" w:hAnsi="Times New Roman" w:cs="Times New Roman" w:eastAsia="Times New Roman" w:hint="default"/>
          <w:spacing w:val="-15"/>
        </w:rPr>
        <w:t>&gt;</w:t>
      </w:r>
      <w:r>
        <w:rPr>
          <w:spacing w:val="-15"/>
        </w:rPr>
        <w:t>的议案》、《关于公司〈股票期权激励计划实施考核办法〉的议案》、《关于提</w:t>
      </w:r>
      <w:r>
        <w:rPr>
          <w:spacing w:val="-103"/>
        </w:rPr>
        <w:t> </w:t>
      </w:r>
      <w:r>
        <w:rPr>
          <w:spacing w:val="-103"/>
        </w:rPr>
      </w:r>
      <w:r>
        <w:rPr>
          <w:spacing w:val="-6"/>
        </w:rPr>
        <w:t>请股东大会授权董事会办理公司股票期权激励计划相关事宜的议案》、《关于公司董</w:t>
      </w:r>
      <w:r>
        <w:rPr>
          <w:spacing w:val="-93"/>
        </w:rPr>
        <w:t> </w:t>
      </w:r>
      <w:r>
        <w:rPr>
          <w:spacing w:val="-93"/>
        </w:rPr>
      </w:r>
      <w:r>
        <w:rPr/>
        <w:t>事会换届选举暨第二届董事会董事候选人提名的议案》和《关于公司监事会换届选</w:t>
      </w:r>
      <w:r>
        <w:rPr>
          <w:spacing w:val="-77"/>
        </w:rPr>
        <w:t> </w:t>
      </w:r>
      <w:r>
        <w:rPr>
          <w:spacing w:val="-77"/>
        </w:rPr>
      </w:r>
      <w:r>
        <w:rPr>
          <w:spacing w:val="-6"/>
        </w:rPr>
        <w:t>举暨第二届监事会监事候选人提名的议案》。北京市天元律师事务所对本次会议的召</w:t>
      </w:r>
      <w:r>
        <w:rPr>
          <w:spacing w:val="-88"/>
        </w:rPr>
        <w:t> </w:t>
      </w:r>
      <w:r>
        <w:rPr>
          <w:spacing w:val="-88"/>
        </w:rPr>
      </w:r>
      <w:r>
        <w:rPr>
          <w:spacing w:val="-6"/>
        </w:rPr>
        <w:t>集、提案、出席、表决、决议等进行了见证，认为符合《公司法》、《公司章程》等</w:t>
      </w:r>
      <w:r>
        <w:rPr>
          <w:spacing w:val="-93"/>
        </w:rPr>
        <w:t> </w:t>
      </w:r>
      <w:r>
        <w:rPr>
          <w:spacing w:val="-93"/>
        </w:rPr>
      </w:r>
      <w:r>
        <w:rPr/>
        <w:t>相关规定的要求。</w:t>
      </w:r>
    </w:p>
    <w:p>
      <w:pPr>
        <w:spacing w:line="240" w:lineRule="auto" w:before="12"/>
        <w:rPr>
          <w:rFonts w:ascii="宋体" w:hAnsi="宋体" w:cs="宋体" w:eastAsia="宋体" w:hint="default"/>
          <w:sz w:val="25"/>
          <w:szCs w:val="25"/>
        </w:rPr>
      </w:pPr>
    </w:p>
    <w:p>
      <w:pPr>
        <w:pStyle w:val="Heading5"/>
        <w:spacing w:line="240" w:lineRule="auto"/>
        <w:ind w:left="238" w:right="0"/>
        <w:jc w:val="both"/>
        <w:rPr>
          <w:b w:val="0"/>
          <w:bCs w:val="0"/>
        </w:rPr>
      </w:pPr>
      <w:r>
        <w:rPr/>
        <w:t>（二）董事会运作情况</w:t>
      </w:r>
      <w:r>
        <w:rPr>
          <w:b w:val="0"/>
          <w:bCs w:val="0"/>
        </w:rPr>
      </w:r>
    </w:p>
    <w:p>
      <w:pPr>
        <w:spacing w:line="240" w:lineRule="auto" w:before="7"/>
        <w:rPr>
          <w:rFonts w:ascii="宋体" w:hAnsi="宋体" w:cs="宋体" w:eastAsia="宋体" w:hint="default"/>
          <w:b/>
          <w:bCs/>
          <w:sz w:val="34"/>
          <w:szCs w:val="34"/>
        </w:rPr>
      </w:pPr>
    </w:p>
    <w:p>
      <w:pPr>
        <w:pStyle w:val="BodyText"/>
        <w:spacing w:line="338" w:lineRule="auto"/>
        <w:ind w:left="238" w:right="240" w:firstLine="479"/>
        <w:jc w:val="left"/>
      </w:pPr>
      <w:r>
        <w:rPr/>
        <w:t>报告期内，公司董事会共召开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2"/>
        </w:rPr>
        <w:t>次会议，会议的召集召开符合《公司法》、《公</w:t>
      </w:r>
      <w:r>
        <w:rPr/>
        <w:t> 司章程》等相关规定，各位董事均出席会议，认真履行了职责。</w:t>
      </w:r>
    </w:p>
    <w:p>
      <w:pPr>
        <w:pStyle w:val="BodyText"/>
        <w:spacing w:line="240" w:lineRule="auto" w:before="55"/>
        <w:ind w:left="718" w:right="121"/>
        <w:jc w:val="left"/>
      </w:pPr>
      <w:r>
        <w:rPr/>
        <w:t>召开情况如下：</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41"/>
        <w:gridCol w:w="4878"/>
        <w:gridCol w:w="878"/>
        <w:gridCol w:w="1911"/>
      </w:tblGrid>
      <w:tr>
        <w:trPr>
          <w:trHeight w:val="648" w:hRule="exact"/>
        </w:trPr>
        <w:tc>
          <w:tcPr>
            <w:tcW w:w="1241" w:type="dxa"/>
            <w:tcBorders>
              <w:top w:val="single" w:sz="12" w:space="0" w:color="000000"/>
              <w:left w:val="single" w:sz="12" w:space="0" w:color="000000"/>
              <w:bottom w:val="single" w:sz="6" w:space="0" w:color="000000"/>
              <w:right w:val="single" w:sz="6" w:space="0" w:color="000000"/>
            </w:tcBorders>
          </w:tcPr>
          <w:p>
            <w:pPr>
              <w:pStyle w:val="TableParagraph"/>
              <w:spacing w:line="265"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4878" w:type="dxa"/>
            <w:tcBorders>
              <w:top w:val="single" w:sz="12"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会议主要内容</w:t>
            </w:r>
            <w:r>
              <w:rPr>
                <w:rFonts w:ascii="宋体" w:hAnsi="宋体" w:cs="宋体" w:eastAsia="宋体" w:hint="default"/>
                <w:sz w:val="21"/>
                <w:szCs w:val="21"/>
              </w:rPr>
            </w:r>
          </w:p>
        </w:tc>
        <w:tc>
          <w:tcPr>
            <w:tcW w:w="878"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ind w:left="326" w:right="113" w:hanging="212"/>
              <w:jc w:val="left"/>
              <w:rPr>
                <w:rFonts w:ascii="宋体" w:hAnsi="宋体" w:cs="宋体" w:eastAsia="宋体" w:hint="default"/>
                <w:sz w:val="21"/>
                <w:szCs w:val="21"/>
              </w:rPr>
            </w:pPr>
            <w:r>
              <w:rPr>
                <w:rFonts w:ascii="宋体" w:hAnsi="宋体" w:cs="宋体" w:eastAsia="宋体" w:hint="default"/>
                <w:b/>
                <w:bCs/>
                <w:sz w:val="21"/>
                <w:szCs w:val="21"/>
              </w:rPr>
              <w:t>召开日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c>
          <w:tcPr>
            <w:tcW w:w="1911" w:type="dxa"/>
            <w:tcBorders>
              <w:top w:val="single" w:sz="12" w:space="0" w:color="000000"/>
              <w:left w:val="single" w:sz="6" w:space="0" w:color="000000"/>
              <w:bottom w:val="single" w:sz="6" w:space="0" w:color="000000"/>
              <w:right w:val="single" w:sz="12"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披露网站</w:t>
            </w:r>
            <w:r>
              <w:rPr>
                <w:rFonts w:ascii="宋体" w:hAnsi="宋体" w:cs="宋体" w:eastAsia="宋体" w:hint="default"/>
                <w:sz w:val="21"/>
                <w:szCs w:val="21"/>
              </w:rPr>
            </w:r>
          </w:p>
        </w:tc>
      </w:tr>
      <w:tr>
        <w:trPr>
          <w:trHeight w:val="3759"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6"/>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七次会议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期</w:t>
            </w:r>
            <w:r>
              <w:rPr>
                <w:rFonts w:ascii="宋体" w:hAnsi="宋体" w:cs="宋体" w:eastAsia="宋体" w:hint="default"/>
                <w:w w:val="100"/>
                <w:sz w:val="21"/>
                <w:szCs w:val="21"/>
              </w:rPr>
              <w:t>权</w:t>
            </w:r>
            <w:r>
              <w:rPr>
                <w:rFonts w:ascii="宋体" w:hAnsi="宋体" w:cs="宋体" w:eastAsia="宋体" w:hint="default"/>
                <w:spacing w:val="-3"/>
                <w:w w:val="100"/>
                <w:sz w:val="21"/>
                <w:szCs w:val="21"/>
              </w:rPr>
              <w:t>激</w:t>
            </w:r>
            <w:r>
              <w:rPr>
                <w:rFonts w:ascii="宋体" w:hAnsi="宋体" w:cs="宋体" w:eastAsia="宋体" w:hint="default"/>
                <w:w w:val="100"/>
                <w:sz w:val="21"/>
                <w:szCs w:val="21"/>
              </w:rPr>
              <w:t>励计</w:t>
            </w:r>
            <w:r>
              <w:rPr>
                <w:rFonts w:ascii="宋体" w:hAnsi="宋体" w:cs="宋体" w:eastAsia="宋体" w:hint="default"/>
                <w:spacing w:val="-3"/>
                <w:w w:val="100"/>
                <w:sz w:val="21"/>
                <w:szCs w:val="21"/>
              </w:rPr>
              <w:t>划</w:t>
            </w:r>
            <w:r>
              <w:rPr>
                <w:rFonts w:ascii="宋体" w:hAnsi="宋体" w:cs="宋体" w:eastAsia="宋体" w:hint="default"/>
                <w:w w:val="100"/>
                <w:sz w:val="21"/>
                <w:szCs w:val="21"/>
              </w:rPr>
              <w:t>（</w:t>
            </w:r>
            <w:r>
              <w:rPr>
                <w:rFonts w:ascii="宋体" w:hAnsi="宋体" w:cs="宋体" w:eastAsia="宋体" w:hint="default"/>
                <w:spacing w:val="-3"/>
                <w:w w:val="100"/>
                <w:sz w:val="21"/>
                <w:szCs w:val="21"/>
              </w:rPr>
              <w:t>草</w:t>
            </w:r>
            <w:r>
              <w:rPr>
                <w:rFonts w:ascii="宋体" w:hAnsi="宋体" w:cs="宋体" w:eastAsia="宋体" w:hint="default"/>
                <w:w w:val="100"/>
                <w:sz w:val="21"/>
                <w:szCs w:val="21"/>
              </w:rPr>
              <w:t>案</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61" w:lineRule="auto" w:before="21"/>
              <w:ind w:left="100" w:right="96"/>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2</w:t>
            </w:r>
            <w:r>
              <w:rPr>
                <w:rFonts w:ascii="宋体" w:hAnsi="宋体" w:cs="宋体" w:eastAsia="宋体" w:hint="default"/>
                <w:spacing w:val="-4"/>
                <w:w w:val="100"/>
                <w:sz w:val="21"/>
                <w:szCs w:val="21"/>
              </w:rPr>
              <w:t>、《关于提请股东大会授权董事会办理公司股票期</w:t>
            </w:r>
            <w:r>
              <w:rPr>
                <w:rFonts w:ascii="宋体" w:hAnsi="宋体" w:cs="宋体" w:eastAsia="宋体" w:hint="default"/>
                <w:w w:val="100"/>
                <w:sz w:val="21"/>
                <w:szCs w:val="21"/>
              </w:rPr>
              <w:t> </w:t>
            </w:r>
            <w:r>
              <w:rPr>
                <w:rFonts w:ascii="宋体" w:hAnsi="宋体" w:cs="宋体" w:eastAsia="宋体" w:hint="default"/>
                <w:sz w:val="21"/>
                <w:szCs w:val="21"/>
              </w:rPr>
              <w:t>权激励计划相关事宜的议案》</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、《关于公司</w:t>
            </w:r>
            <w:r>
              <w:rPr>
                <w:rFonts w:ascii="Times New Roman" w:hAnsi="Times New Roman" w:cs="Times New Roman" w:eastAsia="Times New Roman" w:hint="default"/>
                <w:spacing w:val="-5"/>
                <w:w w:val="100"/>
                <w:sz w:val="21"/>
                <w:szCs w:val="21"/>
              </w:rPr>
              <w:t>&lt;</w:t>
            </w:r>
            <w:r>
              <w:rPr>
                <w:rFonts w:ascii="宋体" w:hAnsi="宋体" w:cs="宋体" w:eastAsia="宋体" w:hint="default"/>
                <w:spacing w:val="-5"/>
                <w:w w:val="100"/>
                <w:sz w:val="21"/>
                <w:szCs w:val="21"/>
              </w:rPr>
              <w:t>股票期权激励计划实施考核办法</w:t>
            </w:r>
            <w:r>
              <w:rPr>
                <w:rFonts w:ascii="Times New Roman" w:hAnsi="Times New Roman" w:cs="Times New Roman" w:eastAsia="Times New Roman" w:hint="default"/>
                <w:spacing w:val="-5"/>
                <w:w w:val="100"/>
                <w:sz w:val="21"/>
                <w:szCs w:val="21"/>
              </w:rPr>
              <w:t>&gt;</w:t>
            </w:r>
            <w:r>
              <w:rPr>
                <w:rFonts w:ascii="宋体" w:hAnsi="宋体" w:cs="宋体" w:eastAsia="宋体" w:hint="default"/>
                <w:spacing w:val="-5"/>
                <w:w w:val="100"/>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议案》</w:t>
            </w:r>
          </w:p>
          <w:p>
            <w:pPr>
              <w:pStyle w:val="TableParagraph"/>
              <w:spacing w:line="256" w:lineRule="auto" w:before="19"/>
              <w:ind w:left="100" w:right="97"/>
              <w:jc w:val="both"/>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4</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&lt;</w:t>
            </w:r>
            <w:r>
              <w:rPr>
                <w:rFonts w:ascii="宋体" w:hAnsi="宋体" w:cs="宋体" w:eastAsia="宋体" w:hint="default"/>
                <w:spacing w:val="-5"/>
                <w:w w:val="100"/>
                <w:sz w:val="21"/>
                <w:szCs w:val="21"/>
              </w:rPr>
              <w:t>关于加强上市公司治理专项活动的自查报告</w:t>
            </w:r>
            <w:r>
              <w:rPr>
                <w:rFonts w:ascii="Times New Roman" w:hAnsi="Times New Roman" w:cs="Times New Roman" w:eastAsia="Times New Roman" w:hint="default"/>
                <w:spacing w:val="-5"/>
                <w:w w:val="100"/>
                <w:sz w:val="21"/>
                <w:szCs w:val="21"/>
              </w:rPr>
              <w:t>&gt;</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和</w:t>
            </w:r>
            <w:r>
              <w:rPr>
                <w:rFonts w:ascii="Times New Roman" w:hAnsi="Times New Roman" w:cs="Times New Roman" w:eastAsia="Times New Roman" w:hint="default"/>
                <w:spacing w:val="3"/>
                <w:sz w:val="21"/>
                <w:szCs w:val="21"/>
              </w:rPr>
              <w:t>&lt;</w:t>
            </w:r>
            <w:r>
              <w:rPr>
                <w:rFonts w:ascii="宋体" w:hAnsi="宋体" w:cs="宋体" w:eastAsia="宋体" w:hint="default"/>
                <w:spacing w:val="3"/>
                <w:sz w:val="21"/>
                <w:szCs w:val="21"/>
              </w:rPr>
              <w:t>关于加强上市公司治理专项活动的自查报告及</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整改计划</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pStyle w:val="TableParagraph"/>
              <w:spacing w:line="240" w:lineRule="auto" w:before="5"/>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重</w:t>
            </w:r>
            <w:r>
              <w:rPr>
                <w:rFonts w:ascii="宋体" w:hAnsi="宋体" w:cs="宋体" w:eastAsia="宋体" w:hint="default"/>
                <w:w w:val="100"/>
                <w:sz w:val="21"/>
                <w:szCs w:val="21"/>
              </w:rPr>
              <w:t>大</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规</w:t>
            </w:r>
            <w:r>
              <w:rPr>
                <w:rFonts w:ascii="宋体" w:hAnsi="宋体" w:cs="宋体" w:eastAsia="宋体" w:hint="default"/>
                <w:w w:val="100"/>
                <w:sz w:val="21"/>
                <w:szCs w:val="21"/>
              </w:rPr>
              <w:t>范</w:t>
            </w:r>
            <w:r>
              <w:rPr>
                <w:rFonts w:ascii="宋体" w:hAnsi="宋体" w:cs="宋体" w:eastAsia="宋体" w:hint="default"/>
                <w:spacing w:val="-3"/>
                <w:w w:val="100"/>
                <w:sz w:val="21"/>
                <w:szCs w:val="21"/>
              </w:rPr>
              <w:t>与</w:t>
            </w:r>
            <w:r>
              <w:rPr>
                <w:rFonts w:ascii="宋体" w:hAnsi="宋体" w:cs="宋体" w:eastAsia="宋体" w:hint="default"/>
                <w:w w:val="100"/>
                <w:sz w:val="21"/>
                <w:szCs w:val="21"/>
              </w:rPr>
              <w:t>关</w:t>
            </w:r>
            <w:r>
              <w:rPr>
                <w:rFonts w:ascii="宋体" w:hAnsi="宋体" w:cs="宋体" w:eastAsia="宋体" w:hint="default"/>
                <w:spacing w:val="-3"/>
                <w:w w:val="100"/>
                <w:sz w:val="21"/>
                <w:szCs w:val="21"/>
              </w:rPr>
              <w:t>联</w:t>
            </w:r>
            <w:r>
              <w:rPr>
                <w:rFonts w:ascii="宋体" w:hAnsi="宋体" w:cs="宋体" w:eastAsia="宋体" w:hint="default"/>
                <w:w w:val="100"/>
                <w:sz w:val="21"/>
                <w:szCs w:val="21"/>
              </w:rPr>
              <w:t>方</w:t>
            </w:r>
            <w:r>
              <w:rPr>
                <w:rFonts w:ascii="宋体" w:hAnsi="宋体" w:cs="宋体" w:eastAsia="宋体" w:hint="default"/>
                <w:spacing w:val="-3"/>
                <w:w w:val="100"/>
                <w:sz w:val="21"/>
                <w:szCs w:val="21"/>
              </w:rPr>
              <w:t>资</w:t>
            </w:r>
            <w:r>
              <w:rPr>
                <w:rFonts w:ascii="宋体" w:hAnsi="宋体" w:cs="宋体" w:eastAsia="宋体" w:hint="default"/>
                <w:w w:val="100"/>
                <w:sz w:val="21"/>
                <w:szCs w:val="21"/>
              </w:rPr>
              <w:t>金往</w:t>
            </w:r>
            <w:r>
              <w:rPr>
                <w:rFonts w:ascii="宋体" w:hAnsi="宋体" w:cs="宋体" w:eastAsia="宋体" w:hint="default"/>
                <w:spacing w:val="-3"/>
                <w:w w:val="100"/>
                <w:sz w:val="21"/>
                <w:szCs w:val="21"/>
              </w:rPr>
              <w:t>来</w:t>
            </w:r>
            <w:r>
              <w:rPr>
                <w:rFonts w:ascii="宋体" w:hAnsi="宋体" w:cs="宋体" w:eastAsia="宋体" w:hint="default"/>
                <w:w w:val="100"/>
                <w:sz w:val="21"/>
                <w:szCs w:val="21"/>
              </w:rPr>
              <w:t>的</w:t>
            </w:r>
            <w:r>
              <w:rPr>
                <w:rFonts w:ascii="宋体" w:hAnsi="宋体" w:cs="宋体" w:eastAsia="宋体" w:hint="default"/>
                <w:spacing w:val="-3"/>
                <w:w w:val="100"/>
                <w:sz w:val="21"/>
                <w:szCs w:val="21"/>
              </w:rPr>
              <w:t>管</w:t>
            </w:r>
            <w:r>
              <w:rPr>
                <w:rFonts w:ascii="宋体" w:hAnsi="宋体" w:cs="宋体" w:eastAsia="宋体" w:hint="default"/>
                <w:w w:val="100"/>
                <w:sz w:val="21"/>
                <w:szCs w:val="21"/>
              </w:rPr>
              <w:t>理</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独</w:t>
            </w:r>
            <w:r>
              <w:rPr>
                <w:rFonts w:ascii="宋体" w:hAnsi="宋体" w:cs="宋体" w:eastAsia="宋体" w:hint="default"/>
                <w:w w:val="100"/>
                <w:sz w:val="21"/>
                <w:szCs w:val="21"/>
              </w:rPr>
              <w:t>立</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年</w:t>
            </w:r>
            <w:r>
              <w:rPr>
                <w:rFonts w:ascii="宋体" w:hAnsi="宋体" w:cs="宋体" w:eastAsia="宋体" w:hint="default"/>
                <w:w w:val="100"/>
                <w:sz w:val="21"/>
                <w:szCs w:val="21"/>
              </w:rPr>
              <w:t>报</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8</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计</w:t>
            </w:r>
            <w:r>
              <w:rPr>
                <w:rFonts w:ascii="宋体" w:hAnsi="宋体" w:cs="宋体" w:eastAsia="宋体" w:hint="default"/>
                <w:w w:val="100"/>
                <w:sz w:val="21"/>
                <w:szCs w:val="21"/>
              </w:rPr>
              <w:t>委</w:t>
            </w:r>
            <w:r>
              <w:rPr>
                <w:rFonts w:ascii="宋体" w:hAnsi="宋体" w:cs="宋体" w:eastAsia="宋体" w:hint="default"/>
                <w:spacing w:val="-3"/>
                <w:w w:val="100"/>
                <w:sz w:val="21"/>
                <w:szCs w:val="21"/>
              </w:rPr>
              <w:t>员</w:t>
            </w:r>
            <w:r>
              <w:rPr>
                <w:rFonts w:ascii="宋体" w:hAnsi="宋体" w:cs="宋体" w:eastAsia="宋体" w:hint="default"/>
                <w:w w:val="100"/>
                <w:sz w:val="21"/>
                <w:szCs w:val="21"/>
              </w:rPr>
              <w:t>会</w:t>
            </w:r>
            <w:r>
              <w:rPr>
                <w:rFonts w:ascii="宋体" w:hAnsi="宋体" w:cs="宋体" w:eastAsia="宋体" w:hint="default"/>
                <w:spacing w:val="-3"/>
                <w:w w:val="100"/>
                <w:sz w:val="21"/>
                <w:szCs w:val="21"/>
              </w:rPr>
              <w:t>年</w:t>
            </w:r>
            <w:r>
              <w:rPr>
                <w:rFonts w:ascii="宋体" w:hAnsi="宋体" w:cs="宋体" w:eastAsia="宋体" w:hint="default"/>
                <w:w w:val="100"/>
                <w:sz w:val="21"/>
                <w:szCs w:val="21"/>
              </w:rPr>
              <w:t>报工</w:t>
            </w:r>
            <w:r>
              <w:rPr>
                <w:rFonts w:ascii="宋体" w:hAnsi="宋体" w:cs="宋体" w:eastAsia="宋体" w:hint="default"/>
                <w:spacing w:val="-3"/>
                <w:w w:val="100"/>
                <w:sz w:val="21"/>
                <w:szCs w:val="21"/>
              </w:rPr>
              <w:t>作</w:t>
            </w:r>
            <w:r>
              <w:rPr>
                <w:rFonts w:ascii="宋体" w:hAnsi="宋体" w:cs="宋体" w:eastAsia="宋体" w:hint="default"/>
                <w:w w:val="100"/>
                <w:sz w:val="21"/>
                <w:szCs w:val="21"/>
              </w:rPr>
              <w:t>规</w:t>
            </w:r>
            <w:r>
              <w:rPr>
                <w:rFonts w:ascii="宋体" w:hAnsi="宋体" w:cs="宋体" w:eastAsia="宋体" w:hint="default"/>
                <w:spacing w:val="-3"/>
                <w:w w:val="100"/>
                <w:sz w:val="21"/>
                <w:szCs w:val="21"/>
              </w:rPr>
              <w:t>程</w:t>
            </w:r>
            <w:r>
              <w:rPr>
                <w:rFonts w:ascii="宋体" w:hAnsi="宋体" w:cs="宋体" w:eastAsia="宋体" w:hint="default"/>
                <w:w w:val="100"/>
                <w:sz w:val="21"/>
                <w:szCs w:val="21"/>
              </w:rPr>
              <w:t>》</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24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1896" w:hRule="exact"/>
        </w:trPr>
        <w:tc>
          <w:tcPr>
            <w:tcW w:w="1241"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93" w:right="9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八次会议</w:t>
            </w:r>
          </w:p>
        </w:tc>
        <w:tc>
          <w:tcPr>
            <w:tcW w:w="4878"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总</w:t>
            </w:r>
            <w:r>
              <w:rPr>
                <w:rFonts w:ascii="宋体" w:hAnsi="宋体" w:cs="宋体" w:eastAsia="宋体" w:hint="default"/>
                <w:spacing w:val="-3"/>
                <w:w w:val="100"/>
                <w:sz w:val="21"/>
                <w:szCs w:val="21"/>
              </w:rPr>
              <w:t>经</w:t>
            </w:r>
            <w:r>
              <w:rPr>
                <w:rFonts w:ascii="宋体" w:hAnsi="宋体" w:cs="宋体" w:eastAsia="宋体" w:hint="default"/>
                <w:w w:val="100"/>
                <w:sz w:val="21"/>
                <w:szCs w:val="21"/>
              </w:rPr>
              <w:t>理</w:t>
            </w:r>
            <w:r>
              <w:rPr>
                <w:rFonts w:ascii="宋体" w:hAnsi="宋体" w:cs="宋体" w:eastAsia="宋体" w:hint="default"/>
                <w:spacing w:val="-3"/>
                <w:w w:val="100"/>
                <w:sz w:val="21"/>
                <w:szCs w:val="21"/>
              </w:rPr>
              <w:t>工作</w:t>
            </w:r>
            <w:r>
              <w:rPr>
                <w:rFonts w:ascii="宋体" w:hAnsi="宋体" w:cs="宋体" w:eastAsia="宋体" w:hint="default"/>
                <w:w w:val="100"/>
                <w:sz w:val="21"/>
                <w:szCs w:val="21"/>
              </w:rPr>
              <w:t>报告》</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作报</w:t>
            </w:r>
            <w:r>
              <w:rPr>
                <w:rFonts w:ascii="宋体" w:hAnsi="宋体" w:cs="宋体" w:eastAsia="宋体" w:hint="default"/>
                <w:w w:val="100"/>
                <w:sz w:val="21"/>
                <w:szCs w:val="21"/>
              </w:rPr>
              <w:t>告》</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决</w:t>
            </w:r>
            <w:r>
              <w:rPr>
                <w:rFonts w:ascii="宋体" w:hAnsi="宋体" w:cs="宋体" w:eastAsia="宋体" w:hint="default"/>
                <w:spacing w:val="-3"/>
                <w:w w:val="100"/>
                <w:sz w:val="21"/>
                <w:szCs w:val="21"/>
              </w:rPr>
              <w:t>算报</w:t>
            </w:r>
            <w:r>
              <w:rPr>
                <w:rFonts w:ascii="宋体" w:hAnsi="宋体" w:cs="宋体" w:eastAsia="宋体" w:hint="default"/>
                <w:w w:val="100"/>
                <w:sz w:val="21"/>
                <w:szCs w:val="21"/>
              </w:rPr>
              <w:t>告》</w:t>
            </w:r>
          </w:p>
          <w:p>
            <w:pPr>
              <w:pStyle w:val="TableParagraph"/>
              <w:spacing w:line="256" w:lineRule="auto" w:before="21"/>
              <w:ind w:left="100" w:right="96"/>
              <w:jc w:val="left"/>
              <w:rPr>
                <w:rFonts w:ascii="宋体" w:hAnsi="宋体" w:cs="宋体" w:eastAsia="宋体" w:hint="default"/>
                <w:sz w:val="21"/>
                <w:szCs w:val="21"/>
              </w:rPr>
            </w:pPr>
            <w:r>
              <w:rPr>
                <w:rFonts w:ascii="Times New Roman" w:hAnsi="Times New Roman" w:cs="Times New Roman" w:eastAsia="Times New Roman" w:hint="default"/>
                <w:spacing w:val="-18"/>
                <w:w w:val="100"/>
                <w:sz w:val="21"/>
                <w:szCs w:val="21"/>
              </w:rPr>
              <w:t>4</w:t>
            </w:r>
            <w:r>
              <w:rPr>
                <w:rFonts w:ascii="宋体" w:hAnsi="宋体" w:cs="宋体" w:eastAsia="宋体" w:hint="default"/>
                <w:spacing w:val="-18"/>
                <w:w w:val="100"/>
                <w:sz w:val="21"/>
                <w:szCs w:val="21"/>
              </w:rPr>
              <w:t>、《</w:t>
            </w:r>
            <w:r>
              <w:rPr>
                <w:rFonts w:ascii="Times New Roman" w:hAnsi="Times New Roman" w:cs="Times New Roman" w:eastAsia="Times New Roman" w:hint="default"/>
                <w:spacing w:val="-18"/>
                <w:w w:val="100"/>
                <w:sz w:val="21"/>
                <w:szCs w:val="21"/>
              </w:rPr>
              <w:t>2010</w:t>
            </w:r>
            <w:r>
              <w:rPr>
                <w:rFonts w:ascii="Times New Roman" w:hAnsi="Times New Roman" w:cs="Times New Roman" w:eastAsia="Times New Roman" w:hint="default"/>
                <w:w w:val="100"/>
                <w:sz w:val="21"/>
                <w:szCs w:val="21"/>
              </w:rPr>
              <w:t> </w:t>
            </w:r>
            <w:r>
              <w:rPr>
                <w:rFonts w:ascii="宋体" w:hAnsi="宋体" w:cs="宋体" w:eastAsia="宋体" w:hint="default"/>
                <w:spacing w:val="-2"/>
                <w:w w:val="100"/>
                <w:sz w:val="21"/>
                <w:szCs w:val="21"/>
              </w:rPr>
              <w:t>年利润分配方案及资本公积金转增股本预</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案》</w:t>
            </w:r>
          </w:p>
          <w:p>
            <w:pPr>
              <w:pStyle w:val="TableParagraph"/>
              <w:spacing w:line="240" w:lineRule="auto" w:before="22"/>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5</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全文</w:t>
            </w:r>
            <w:r>
              <w:rPr>
                <w:rFonts w:ascii="宋体" w:hAnsi="宋体" w:cs="宋体" w:eastAsia="宋体" w:hint="default"/>
                <w:w w:val="100"/>
                <w:sz w:val="21"/>
                <w:szCs w:val="21"/>
              </w:rPr>
              <w:t>及摘</w:t>
            </w:r>
            <w:r>
              <w:rPr>
                <w:rFonts w:ascii="宋体" w:hAnsi="宋体" w:cs="宋体" w:eastAsia="宋体" w:hint="default"/>
                <w:spacing w:val="-3"/>
                <w:w w:val="100"/>
                <w:sz w:val="21"/>
                <w:szCs w:val="21"/>
              </w:rPr>
              <w:t>要</w:t>
            </w:r>
            <w:r>
              <w:rPr>
                <w:rFonts w:ascii="宋体" w:hAnsi="宋体" w:cs="宋体" w:eastAsia="宋体" w:hint="default"/>
                <w:w w:val="100"/>
                <w:sz w:val="21"/>
                <w:szCs w:val="21"/>
              </w:rPr>
              <w:t>》</w:t>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bl>
    <w:p>
      <w:pPr>
        <w:spacing w:after="0" w:line="240" w:lineRule="auto"/>
        <w:jc w:val="center"/>
        <w:rPr>
          <w:rFonts w:ascii="Times New Roman" w:hAnsi="Times New Roman" w:cs="Times New Roman" w:eastAsia="Times New Roman" w:hint="default"/>
          <w:sz w:val="21"/>
          <w:szCs w:val="21"/>
        </w:rPr>
        <w:sectPr>
          <w:footerReference w:type="default" r:id="rId43"/>
          <w:pgSz w:w="11910" w:h="16840"/>
          <w:pgMar w:footer="1173" w:header="884" w:top="1140" w:bottom="1360" w:left="1560" w:right="1160"/>
          <w:pgNumType w:start="81"/>
        </w:sectPr>
      </w:pPr>
    </w:p>
    <w:p>
      <w:pPr>
        <w:spacing w:line="240" w:lineRule="auto" w:before="5"/>
        <w:rPr>
          <w:rFonts w:ascii="Times New Roman" w:hAnsi="Times New Roman" w:cs="Times New Roman" w:eastAsia="Times New Roman"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241"/>
        <w:gridCol w:w="4878"/>
        <w:gridCol w:w="878"/>
        <w:gridCol w:w="1911"/>
      </w:tblGrid>
      <w:tr>
        <w:trPr>
          <w:trHeight w:val="3142" w:hRule="exact"/>
        </w:trPr>
        <w:tc>
          <w:tcPr>
            <w:tcW w:w="1241" w:type="dxa"/>
            <w:tcBorders>
              <w:top w:val="single" w:sz="12" w:space="0" w:color="000000"/>
              <w:left w:val="single" w:sz="12" w:space="0" w:color="000000"/>
              <w:bottom w:val="single" w:sz="6" w:space="0" w:color="000000"/>
              <w:right w:val="single" w:sz="6" w:space="0" w:color="000000"/>
            </w:tcBorders>
          </w:tcPr>
          <w:p>
            <w:pPr/>
          </w:p>
        </w:tc>
        <w:tc>
          <w:tcPr>
            <w:tcW w:w="4878"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6</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w:t>
            </w:r>
            <w:r>
              <w:rPr>
                <w:rFonts w:ascii="宋体" w:hAnsi="宋体" w:cs="宋体" w:eastAsia="宋体" w:hint="default"/>
                <w:w w:val="100"/>
                <w:sz w:val="21"/>
                <w:szCs w:val="21"/>
              </w:rPr>
              <w:t>我</w:t>
            </w:r>
            <w:r>
              <w:rPr>
                <w:rFonts w:ascii="宋体" w:hAnsi="宋体" w:cs="宋体" w:eastAsia="宋体" w:hint="default"/>
                <w:spacing w:val="-3"/>
                <w:w w:val="100"/>
                <w:sz w:val="21"/>
                <w:szCs w:val="21"/>
              </w:rPr>
              <w:t>评</w:t>
            </w:r>
            <w:r>
              <w:rPr>
                <w:rFonts w:ascii="宋体" w:hAnsi="宋体" w:cs="宋体" w:eastAsia="宋体" w:hint="default"/>
                <w:w w:val="100"/>
                <w:sz w:val="21"/>
                <w:szCs w:val="21"/>
              </w:rPr>
              <w:t>价报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p>
          <w:p>
            <w:pPr>
              <w:pStyle w:val="TableParagraph"/>
              <w:spacing w:line="256" w:lineRule="auto" w:before="19"/>
              <w:ind w:left="100" w:right="99"/>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7</w:t>
            </w:r>
            <w:r>
              <w:rPr>
                <w:rFonts w:ascii="宋体" w:hAnsi="宋体" w:cs="宋体" w:eastAsia="宋体" w:hint="default"/>
                <w:spacing w:val="-4"/>
                <w:w w:val="100"/>
                <w:sz w:val="21"/>
                <w:szCs w:val="21"/>
              </w:rPr>
              <w:t>、《公司控股股东及其他关联方占用资金情况的专</w:t>
            </w:r>
            <w:r>
              <w:rPr>
                <w:rFonts w:ascii="宋体" w:hAnsi="宋体" w:cs="宋体" w:eastAsia="宋体" w:hint="default"/>
                <w:w w:val="100"/>
                <w:sz w:val="21"/>
                <w:szCs w:val="21"/>
              </w:rPr>
              <w:t> </w:t>
            </w:r>
            <w:r>
              <w:rPr>
                <w:rFonts w:ascii="宋体" w:hAnsi="宋体" w:cs="宋体" w:eastAsia="宋体" w:hint="default"/>
                <w:sz w:val="21"/>
                <w:szCs w:val="21"/>
              </w:rPr>
              <w:t>项说明》</w:t>
            </w:r>
          </w:p>
          <w:p>
            <w:pPr>
              <w:pStyle w:val="TableParagraph"/>
              <w:spacing w:line="240" w:lineRule="auto" w:before="22"/>
              <w:ind w:left="100" w:right="-8"/>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8</w:t>
            </w:r>
            <w:r>
              <w:rPr>
                <w:rFonts w:ascii="宋体" w:hAnsi="宋体" w:cs="宋体" w:eastAsia="宋体" w:hint="default"/>
                <w:spacing w:val="-212"/>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4"/>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募</w:t>
            </w:r>
            <w:r>
              <w:rPr>
                <w:rFonts w:ascii="宋体" w:hAnsi="宋体" w:cs="宋体" w:eastAsia="宋体" w:hint="default"/>
                <w:spacing w:val="-3"/>
                <w:w w:val="100"/>
                <w:sz w:val="21"/>
                <w:szCs w:val="21"/>
              </w:rPr>
              <w:t>集</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存</w:t>
            </w:r>
            <w:r>
              <w:rPr>
                <w:rFonts w:ascii="宋体" w:hAnsi="宋体" w:cs="宋体" w:eastAsia="宋体" w:hint="default"/>
                <w:spacing w:val="-3"/>
                <w:w w:val="100"/>
                <w:sz w:val="21"/>
                <w:szCs w:val="21"/>
              </w:rPr>
              <w:t>放</w:t>
            </w:r>
            <w:r>
              <w:rPr>
                <w:rFonts w:ascii="宋体" w:hAnsi="宋体" w:cs="宋体" w:eastAsia="宋体" w:hint="default"/>
                <w:w w:val="100"/>
                <w:sz w:val="21"/>
                <w:szCs w:val="21"/>
              </w:rPr>
              <w:t>与使</w:t>
            </w:r>
            <w:r>
              <w:rPr>
                <w:rFonts w:ascii="宋体" w:hAnsi="宋体" w:cs="宋体" w:eastAsia="宋体" w:hint="default"/>
                <w:spacing w:val="-3"/>
                <w:w w:val="100"/>
                <w:sz w:val="21"/>
                <w:szCs w:val="21"/>
              </w:rPr>
              <w:t>用</w:t>
            </w:r>
            <w:r>
              <w:rPr>
                <w:rFonts w:ascii="宋体" w:hAnsi="宋体" w:cs="宋体" w:eastAsia="宋体" w:hint="default"/>
                <w:w w:val="100"/>
                <w:sz w:val="21"/>
                <w:szCs w:val="21"/>
              </w:rPr>
              <w:t>情</w:t>
            </w:r>
            <w:r>
              <w:rPr>
                <w:rFonts w:ascii="宋体" w:hAnsi="宋体" w:cs="宋体" w:eastAsia="宋体" w:hint="default"/>
                <w:spacing w:val="-3"/>
                <w:w w:val="100"/>
                <w:sz w:val="21"/>
                <w:szCs w:val="21"/>
              </w:rPr>
              <w:t>况</w:t>
            </w:r>
            <w:r>
              <w:rPr>
                <w:rFonts w:ascii="宋体" w:hAnsi="宋体" w:cs="宋体" w:eastAsia="宋体" w:hint="default"/>
                <w:w w:val="100"/>
                <w:sz w:val="21"/>
                <w:szCs w:val="21"/>
              </w:rPr>
              <w:t>的</w:t>
            </w:r>
            <w:r>
              <w:rPr>
                <w:rFonts w:ascii="宋体" w:hAnsi="宋体" w:cs="宋体" w:eastAsia="宋体" w:hint="default"/>
                <w:spacing w:val="-3"/>
                <w:w w:val="100"/>
                <w:sz w:val="21"/>
                <w:szCs w:val="21"/>
              </w:rPr>
              <w:t>专</w:t>
            </w:r>
            <w:r>
              <w:rPr>
                <w:rFonts w:ascii="宋体" w:hAnsi="宋体" w:cs="宋体" w:eastAsia="宋体" w:hint="default"/>
                <w:w w:val="100"/>
                <w:sz w:val="21"/>
                <w:szCs w:val="21"/>
              </w:rPr>
              <w:t>项</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9</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续</w:t>
            </w:r>
            <w:r>
              <w:rPr>
                <w:rFonts w:ascii="宋体" w:hAnsi="宋体" w:cs="宋体" w:eastAsia="宋体" w:hint="default"/>
                <w:w w:val="100"/>
                <w:sz w:val="21"/>
                <w:szCs w:val="21"/>
              </w:rPr>
              <w:t>聘</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10</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累</w:t>
            </w:r>
            <w:r>
              <w:rPr>
                <w:rFonts w:ascii="宋体" w:hAnsi="宋体" w:cs="宋体" w:eastAsia="宋体" w:hint="default"/>
                <w:spacing w:val="-3"/>
                <w:w w:val="100"/>
                <w:sz w:val="21"/>
                <w:szCs w:val="21"/>
              </w:rPr>
              <w:t>积</w:t>
            </w:r>
            <w:r>
              <w:rPr>
                <w:rFonts w:ascii="宋体" w:hAnsi="宋体" w:cs="宋体" w:eastAsia="宋体" w:hint="default"/>
                <w:w w:val="100"/>
                <w:sz w:val="21"/>
                <w:szCs w:val="21"/>
              </w:rPr>
              <w:t>投</w:t>
            </w:r>
            <w:r>
              <w:rPr>
                <w:rFonts w:ascii="宋体" w:hAnsi="宋体" w:cs="宋体" w:eastAsia="宋体" w:hint="default"/>
                <w:spacing w:val="-3"/>
                <w:w w:val="100"/>
                <w:sz w:val="21"/>
                <w:szCs w:val="21"/>
              </w:rPr>
              <w:t>票</w:t>
            </w:r>
            <w:r>
              <w:rPr>
                <w:rFonts w:ascii="宋体" w:hAnsi="宋体" w:cs="宋体" w:eastAsia="宋体" w:hint="default"/>
                <w:w w:val="100"/>
                <w:sz w:val="21"/>
                <w:szCs w:val="21"/>
              </w:rPr>
              <w:t>制</w:t>
            </w:r>
            <w:r>
              <w:rPr>
                <w:rFonts w:ascii="宋体" w:hAnsi="宋体" w:cs="宋体" w:eastAsia="宋体" w:hint="default"/>
                <w:spacing w:val="-3"/>
                <w:w w:val="100"/>
                <w:sz w:val="21"/>
                <w:szCs w:val="21"/>
              </w:rPr>
              <w:t>实</w:t>
            </w:r>
            <w:r>
              <w:rPr>
                <w:rFonts w:ascii="宋体" w:hAnsi="宋体" w:cs="宋体" w:eastAsia="宋体" w:hint="default"/>
                <w:w w:val="100"/>
                <w:sz w:val="21"/>
                <w:szCs w:val="21"/>
              </w:rPr>
              <w:t>施</w:t>
            </w:r>
            <w:r>
              <w:rPr>
                <w:rFonts w:ascii="宋体" w:hAnsi="宋体" w:cs="宋体" w:eastAsia="宋体" w:hint="default"/>
                <w:spacing w:val="-3"/>
                <w:w w:val="100"/>
                <w:sz w:val="21"/>
                <w:szCs w:val="21"/>
              </w:rPr>
              <w:t>细则</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估</w:t>
            </w:r>
            <w:r>
              <w:rPr>
                <w:rFonts w:ascii="宋体" w:hAnsi="宋体" w:cs="宋体" w:eastAsia="宋体" w:hint="default"/>
                <w:spacing w:val="-3"/>
                <w:w w:val="100"/>
                <w:sz w:val="21"/>
                <w:szCs w:val="21"/>
              </w:rPr>
              <w:t>计变</w:t>
            </w:r>
            <w:r>
              <w:rPr>
                <w:rFonts w:ascii="宋体" w:hAnsi="宋体" w:cs="宋体" w:eastAsia="宋体" w:hint="default"/>
                <w:w w:val="100"/>
                <w:sz w:val="21"/>
                <w:szCs w:val="21"/>
              </w:rPr>
              <w:t>更的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12</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w w:val="100"/>
                <w:sz w:val="21"/>
                <w:szCs w:val="21"/>
              </w:rPr>
              <w:t>修</w:t>
            </w:r>
            <w:r>
              <w:rPr>
                <w:rFonts w:ascii="宋体" w:hAnsi="宋体" w:cs="宋体" w:eastAsia="宋体" w:hint="default"/>
                <w:spacing w:val="-3"/>
                <w:w w:val="100"/>
                <w:sz w:val="21"/>
                <w:szCs w:val="21"/>
              </w:rPr>
              <w:t>正</w:t>
            </w:r>
            <w:r>
              <w:rPr>
                <w:rFonts w:ascii="宋体" w:hAnsi="宋体" w:cs="宋体" w:eastAsia="宋体" w:hint="default"/>
                <w:w w:val="100"/>
                <w:sz w:val="21"/>
                <w:szCs w:val="21"/>
              </w:rPr>
              <w:t>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13</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购</w:t>
            </w:r>
            <w:r>
              <w:rPr>
                <w:rFonts w:ascii="宋体" w:hAnsi="宋体" w:cs="宋体" w:eastAsia="宋体" w:hint="default"/>
                <w:spacing w:val="-3"/>
                <w:w w:val="100"/>
                <w:sz w:val="21"/>
                <w:szCs w:val="21"/>
              </w:rPr>
              <w:t>置</w:t>
            </w:r>
            <w:r>
              <w:rPr>
                <w:rFonts w:ascii="宋体" w:hAnsi="宋体" w:cs="宋体" w:eastAsia="宋体" w:hint="default"/>
                <w:w w:val="100"/>
                <w:sz w:val="21"/>
                <w:szCs w:val="21"/>
              </w:rPr>
              <w:t>房</w:t>
            </w:r>
            <w:r>
              <w:rPr>
                <w:rFonts w:ascii="宋体" w:hAnsi="宋体" w:cs="宋体" w:eastAsia="宋体" w:hint="default"/>
                <w:spacing w:val="-3"/>
                <w:w w:val="100"/>
                <w:sz w:val="21"/>
                <w:szCs w:val="21"/>
              </w:rPr>
              <w:t>产</w:t>
            </w:r>
            <w:r>
              <w:rPr>
                <w:rFonts w:ascii="宋体" w:hAnsi="宋体" w:cs="宋体" w:eastAsia="宋体" w:hint="default"/>
                <w:w w:val="100"/>
                <w:sz w:val="21"/>
                <w:szCs w:val="21"/>
              </w:rPr>
              <w:t>及</w:t>
            </w:r>
            <w:r>
              <w:rPr>
                <w:rFonts w:ascii="宋体" w:hAnsi="宋体" w:cs="宋体" w:eastAsia="宋体" w:hint="default"/>
                <w:spacing w:val="-3"/>
                <w:w w:val="100"/>
                <w:sz w:val="21"/>
                <w:szCs w:val="21"/>
              </w:rPr>
              <w:t>超募</w:t>
            </w:r>
            <w:r>
              <w:rPr>
                <w:rFonts w:ascii="宋体" w:hAnsi="宋体" w:cs="宋体" w:eastAsia="宋体" w:hint="default"/>
                <w:w w:val="100"/>
                <w:sz w:val="21"/>
                <w:szCs w:val="21"/>
              </w:rPr>
              <w:t>资金</w:t>
            </w:r>
            <w:r>
              <w:rPr>
                <w:rFonts w:ascii="宋体" w:hAnsi="宋体" w:cs="宋体" w:eastAsia="宋体" w:hint="default"/>
                <w:spacing w:val="-3"/>
                <w:w w:val="100"/>
                <w:sz w:val="21"/>
                <w:szCs w:val="21"/>
              </w:rPr>
              <w:t>使</w:t>
            </w:r>
            <w:r>
              <w:rPr>
                <w:rFonts w:ascii="宋体" w:hAnsi="宋体" w:cs="宋体" w:eastAsia="宋体" w:hint="default"/>
                <w:w w:val="100"/>
                <w:sz w:val="21"/>
                <w:szCs w:val="21"/>
              </w:rPr>
              <w:t>用</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14</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召开</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股东</w:t>
            </w:r>
            <w:r>
              <w:rPr>
                <w:rFonts w:ascii="宋体" w:hAnsi="宋体" w:cs="宋体" w:eastAsia="宋体" w:hint="default"/>
                <w:spacing w:val="-3"/>
                <w:w w:val="100"/>
                <w:sz w:val="21"/>
                <w:szCs w:val="21"/>
              </w:rPr>
              <w:t>大</w:t>
            </w:r>
            <w:r>
              <w:rPr>
                <w:rFonts w:ascii="宋体" w:hAnsi="宋体" w:cs="宋体" w:eastAsia="宋体" w:hint="default"/>
                <w:w w:val="100"/>
                <w:sz w:val="21"/>
                <w:szCs w:val="21"/>
              </w:rPr>
              <w:t>会</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c>
          <w:tcPr>
            <w:tcW w:w="878" w:type="dxa"/>
            <w:tcBorders>
              <w:top w:val="single" w:sz="12" w:space="0" w:color="000000"/>
              <w:left w:val="single" w:sz="6" w:space="0" w:color="000000"/>
              <w:bottom w:val="single" w:sz="6" w:space="0" w:color="000000"/>
              <w:right w:val="single" w:sz="6" w:space="0" w:color="000000"/>
            </w:tcBorders>
          </w:tcPr>
          <w:p>
            <w:pPr/>
          </w:p>
        </w:tc>
        <w:tc>
          <w:tcPr>
            <w:tcW w:w="1911" w:type="dxa"/>
            <w:tcBorders>
              <w:top w:val="single" w:sz="12" w:space="0" w:color="000000"/>
              <w:left w:val="single" w:sz="6" w:space="0" w:color="000000"/>
              <w:bottom w:val="single" w:sz="6" w:space="0" w:color="000000"/>
              <w:right w:val="single" w:sz="12" w:space="0" w:color="000000"/>
            </w:tcBorders>
          </w:tcPr>
          <w:p>
            <w:pPr/>
          </w:p>
        </w:tc>
      </w:tr>
      <w:tr>
        <w:trPr>
          <w:trHeight w:val="953"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十</w:t>
            </w:r>
            <w:r>
              <w:rPr>
                <w:rFonts w:ascii="宋体" w:hAnsi="宋体" w:cs="宋体" w:eastAsia="宋体" w:hint="default"/>
                <w:w w:val="100"/>
                <w:sz w:val="21"/>
                <w:szCs w:val="21"/>
              </w:rPr>
              <w:t> </w:t>
            </w:r>
            <w:r>
              <w:rPr>
                <w:rFonts w:ascii="宋体" w:hAnsi="宋体" w:cs="宋体" w:eastAsia="宋体" w:hint="default"/>
                <w:sz w:val="21"/>
                <w:szCs w:val="21"/>
              </w:rPr>
              <w:t>九次会议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年第一季度报告全文及正文》</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2"/>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1886"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6"/>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一</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宋体" w:hAnsi="宋体" w:cs="宋体" w:eastAsia="宋体" w:hint="default"/>
                <w:sz w:val="21"/>
                <w:szCs w:val="21"/>
              </w:rPr>
              <w:t>二</w:t>
            </w:r>
            <w:r>
              <w:rPr>
                <w:rFonts w:ascii="宋体" w:hAnsi="宋体" w:cs="宋体" w:eastAsia="宋体" w:hint="default"/>
                <w:w w:val="100"/>
                <w:sz w:val="21"/>
                <w:szCs w:val="21"/>
              </w:rPr>
              <w:t> </w:t>
            </w:r>
            <w:r>
              <w:rPr>
                <w:rFonts w:ascii="宋体" w:hAnsi="宋体" w:cs="宋体" w:eastAsia="宋体" w:hint="default"/>
                <w:sz w:val="21"/>
                <w:szCs w:val="21"/>
              </w:rPr>
              <w:t>十次会议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2"/>
                <w:w w:val="100"/>
                <w:sz w:val="21"/>
                <w:szCs w:val="21"/>
              </w:rPr>
              <w:t>1</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北京超</w:t>
            </w:r>
            <w:r>
              <w:rPr>
                <w:rFonts w:ascii="宋体" w:hAnsi="宋体" w:cs="宋体" w:eastAsia="宋体" w:hint="default"/>
                <w:spacing w:val="2"/>
                <w:w w:val="100"/>
                <w:sz w:val="21"/>
                <w:szCs w:val="21"/>
              </w:rPr>
              <w:t>图</w:t>
            </w:r>
            <w:r>
              <w:rPr>
                <w:rFonts w:ascii="宋体" w:hAnsi="宋体" w:cs="宋体" w:eastAsia="宋体" w:hint="default"/>
                <w:w w:val="100"/>
                <w:sz w:val="21"/>
                <w:szCs w:val="21"/>
              </w:rPr>
              <w:t>软件股</w:t>
            </w:r>
            <w:r>
              <w:rPr>
                <w:rFonts w:ascii="宋体" w:hAnsi="宋体" w:cs="宋体" w:eastAsia="宋体" w:hint="default"/>
                <w:spacing w:val="2"/>
                <w:w w:val="100"/>
                <w:sz w:val="21"/>
                <w:szCs w:val="21"/>
              </w:rPr>
              <w:t>份</w:t>
            </w:r>
            <w:r>
              <w:rPr>
                <w:rFonts w:ascii="宋体" w:hAnsi="宋体" w:cs="宋体" w:eastAsia="宋体" w:hint="default"/>
                <w:w w:val="100"/>
                <w:sz w:val="21"/>
                <w:szCs w:val="21"/>
              </w:rPr>
              <w:t>有</w:t>
            </w:r>
            <w:r>
              <w:rPr>
                <w:rFonts w:ascii="宋体" w:hAnsi="宋体" w:cs="宋体" w:eastAsia="宋体" w:hint="default"/>
                <w:spacing w:val="2"/>
                <w:w w:val="100"/>
                <w:sz w:val="21"/>
                <w:szCs w:val="21"/>
              </w:rPr>
              <w:t>限</w:t>
            </w:r>
            <w:r>
              <w:rPr>
                <w:rFonts w:ascii="宋体" w:hAnsi="宋体" w:cs="宋体" w:eastAsia="宋体" w:hint="default"/>
                <w:w w:val="100"/>
                <w:sz w:val="21"/>
                <w:szCs w:val="21"/>
              </w:rPr>
              <w:t>公司股</w:t>
            </w:r>
            <w:r>
              <w:rPr>
                <w:rFonts w:ascii="宋体" w:hAnsi="宋体" w:cs="宋体" w:eastAsia="宋体" w:hint="default"/>
                <w:spacing w:val="2"/>
                <w:w w:val="100"/>
                <w:sz w:val="21"/>
                <w:szCs w:val="21"/>
              </w:rPr>
              <w:t>票</w:t>
            </w:r>
            <w:r>
              <w:rPr>
                <w:rFonts w:ascii="宋体" w:hAnsi="宋体" w:cs="宋体" w:eastAsia="宋体" w:hint="default"/>
                <w:w w:val="100"/>
                <w:sz w:val="21"/>
                <w:szCs w:val="21"/>
              </w:rPr>
              <w:t>期权激</w:t>
            </w:r>
            <w:r>
              <w:rPr>
                <w:rFonts w:ascii="宋体" w:hAnsi="宋体" w:cs="宋体" w:eastAsia="宋体" w:hint="default"/>
                <w:spacing w:val="2"/>
                <w:w w:val="100"/>
                <w:sz w:val="21"/>
                <w:szCs w:val="21"/>
              </w:rPr>
              <w:t>励</w:t>
            </w:r>
            <w:r>
              <w:rPr>
                <w:rFonts w:ascii="宋体" w:hAnsi="宋体" w:cs="宋体" w:eastAsia="宋体" w:hint="default"/>
                <w:w w:val="100"/>
                <w:sz w:val="21"/>
                <w:szCs w:val="21"/>
              </w:rPr>
              <w:t>计划</w:t>
            </w:r>
          </w:p>
          <w:p>
            <w:pPr>
              <w:pStyle w:val="TableParagraph"/>
              <w:spacing w:line="264" w:lineRule="auto" w:before="21"/>
              <w:ind w:left="100" w:right="99"/>
              <w:jc w:val="left"/>
              <w:rPr>
                <w:rFonts w:ascii="宋体" w:hAnsi="宋体" w:cs="宋体" w:eastAsia="宋体" w:hint="default"/>
                <w:sz w:val="21"/>
                <w:szCs w:val="21"/>
              </w:rPr>
            </w:pPr>
            <w:r>
              <w:rPr>
                <w:rFonts w:ascii="宋体" w:hAnsi="宋体" w:cs="宋体" w:eastAsia="宋体" w:hint="default"/>
                <w:spacing w:val="-15"/>
                <w:w w:val="100"/>
                <w:sz w:val="21"/>
                <w:szCs w:val="21"/>
              </w:rPr>
              <w:t>（草案修订稿）》</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Times New Roman" w:hAnsi="Times New Roman" w:cs="Times New Roman" w:eastAsia="Times New Roman" w:hint="default"/>
                <w:spacing w:val="-4"/>
                <w:w w:val="100"/>
                <w:sz w:val="21"/>
                <w:szCs w:val="21"/>
              </w:rPr>
              <w:t>2</w:t>
            </w:r>
            <w:r>
              <w:rPr>
                <w:rFonts w:ascii="宋体" w:hAnsi="宋体" w:cs="宋体" w:eastAsia="宋体" w:hint="default"/>
                <w:spacing w:val="-4"/>
                <w:w w:val="100"/>
                <w:sz w:val="21"/>
                <w:szCs w:val="21"/>
              </w:rPr>
              <w:t>、《关于公司董事会换届选举暨第二届董事会候选</w:t>
            </w:r>
            <w:r>
              <w:rPr>
                <w:rFonts w:ascii="宋体" w:hAnsi="宋体" w:cs="宋体" w:eastAsia="宋体" w:hint="default"/>
                <w:w w:val="100"/>
                <w:sz w:val="21"/>
                <w:szCs w:val="21"/>
              </w:rPr>
              <w:t> </w:t>
            </w:r>
            <w:r>
              <w:rPr>
                <w:rFonts w:ascii="宋体" w:hAnsi="宋体" w:cs="宋体" w:eastAsia="宋体" w:hint="default"/>
                <w:sz w:val="21"/>
                <w:szCs w:val="21"/>
              </w:rPr>
              <w:t>人提名的议案》</w:t>
            </w:r>
          </w:p>
          <w:p>
            <w:pPr>
              <w:pStyle w:val="TableParagraph"/>
              <w:spacing w:line="240" w:lineRule="auto" w:before="16"/>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修</w:t>
            </w:r>
            <w:r>
              <w:rPr>
                <w:rFonts w:ascii="宋体" w:hAnsi="宋体" w:cs="宋体" w:eastAsia="宋体" w:hint="default"/>
                <w:spacing w:val="-2"/>
                <w:w w:val="100"/>
                <w:sz w:val="21"/>
                <w:szCs w:val="21"/>
              </w:rPr>
              <w:t>订</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章</w:t>
            </w:r>
            <w:r>
              <w:rPr>
                <w:rFonts w:ascii="宋体" w:hAnsi="宋体" w:cs="宋体" w:eastAsia="宋体" w:hint="default"/>
                <w:spacing w:val="-1"/>
                <w:w w:val="100"/>
                <w:sz w:val="21"/>
                <w:szCs w:val="21"/>
              </w:rPr>
              <w:t>程</w:t>
            </w:r>
            <w:r>
              <w:rPr>
                <w:rFonts w:ascii="Times New Roman" w:hAnsi="Times New Roman" w:cs="Times New Roman" w:eastAsia="Times New Roman" w:hint="default"/>
                <w:spacing w:val="-2"/>
                <w:w w:val="100"/>
                <w:sz w:val="21"/>
                <w:szCs w:val="21"/>
              </w:rPr>
              <w:t>&gt;</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召</w:t>
            </w:r>
            <w:r>
              <w:rPr>
                <w:rFonts w:ascii="宋体" w:hAnsi="宋体" w:cs="宋体" w:eastAsia="宋体" w:hint="default"/>
                <w:w w:val="100"/>
                <w:sz w:val="21"/>
                <w:szCs w:val="21"/>
              </w:rPr>
              <w:t>开</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第一</w:t>
            </w:r>
            <w:r>
              <w:rPr>
                <w:rFonts w:ascii="宋体" w:hAnsi="宋体" w:cs="宋体" w:eastAsia="宋体" w:hint="default"/>
                <w:w w:val="100"/>
                <w:sz w:val="21"/>
                <w:szCs w:val="21"/>
              </w:rPr>
              <w:t>次临</w:t>
            </w:r>
            <w:r>
              <w:rPr>
                <w:rFonts w:ascii="宋体" w:hAnsi="宋体" w:cs="宋体" w:eastAsia="宋体" w:hint="default"/>
                <w:spacing w:val="-3"/>
                <w:w w:val="100"/>
                <w:sz w:val="21"/>
                <w:szCs w:val="21"/>
              </w:rPr>
              <w:t>时</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大</w:t>
            </w:r>
            <w:r>
              <w:rPr>
                <w:rFonts w:ascii="宋体" w:hAnsi="宋体" w:cs="宋体" w:eastAsia="宋体" w:hint="default"/>
                <w:spacing w:val="-3"/>
                <w:w w:val="100"/>
                <w:sz w:val="21"/>
                <w:szCs w:val="21"/>
              </w:rPr>
              <w:t>会</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135"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36"/>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二</w:t>
            </w:r>
            <w:r>
              <w:rPr>
                <w:rFonts w:ascii="宋体" w:hAnsi="宋体" w:cs="宋体" w:eastAsia="宋体" w:hint="default"/>
                <w:spacing w:val="-41"/>
                <w:sz w:val="21"/>
                <w:szCs w:val="21"/>
              </w:rPr>
              <w:t> </w:t>
            </w:r>
            <w:r>
              <w:rPr>
                <w:rFonts w:ascii="宋体" w:hAnsi="宋体" w:cs="宋体" w:eastAsia="宋体" w:hint="default"/>
                <w:spacing w:val="29"/>
                <w:sz w:val="21"/>
                <w:szCs w:val="21"/>
              </w:rPr>
              <w:t>届董</w:t>
            </w:r>
            <w:r>
              <w:rPr>
                <w:rFonts w:ascii="宋体" w:hAnsi="宋体" w:cs="宋体" w:eastAsia="宋体" w:hint="default"/>
                <w:spacing w:val="-103"/>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100" w:right="96"/>
              <w:jc w:val="left"/>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、《关于对</w:t>
            </w:r>
            <w:r>
              <w:rPr>
                <w:rFonts w:ascii="Times New Roman" w:hAnsi="Times New Roman" w:cs="Times New Roman" w:eastAsia="Times New Roman" w:hint="default"/>
                <w:spacing w:val="-5"/>
                <w:w w:val="100"/>
                <w:sz w:val="21"/>
                <w:szCs w:val="21"/>
              </w:rPr>
              <w:t>&lt;</w:t>
            </w:r>
            <w:r>
              <w:rPr>
                <w:rFonts w:ascii="宋体" w:hAnsi="宋体" w:cs="宋体" w:eastAsia="宋体" w:hint="default"/>
                <w:spacing w:val="-5"/>
                <w:w w:val="100"/>
                <w:sz w:val="21"/>
                <w:szCs w:val="21"/>
              </w:rPr>
              <w:t>股票期权激励计划</w:t>
            </w:r>
            <w:r>
              <w:rPr>
                <w:rFonts w:ascii="Times New Roman" w:hAnsi="Times New Roman" w:cs="Times New Roman" w:eastAsia="Times New Roman" w:hint="default"/>
                <w:spacing w:val="-5"/>
                <w:w w:val="100"/>
                <w:sz w:val="21"/>
                <w:szCs w:val="21"/>
              </w:rPr>
              <w:t>&gt;</w:t>
            </w:r>
            <w:r>
              <w:rPr>
                <w:rFonts w:ascii="宋体" w:hAnsi="宋体" w:cs="宋体" w:eastAsia="宋体" w:hint="default"/>
                <w:spacing w:val="-5"/>
                <w:w w:val="100"/>
                <w:sz w:val="21"/>
                <w:szCs w:val="21"/>
              </w:rPr>
              <w:t>激励对象及涉及股</w:t>
            </w:r>
            <w:r>
              <w:rPr>
                <w:rFonts w:ascii="宋体" w:hAnsi="宋体" w:cs="宋体" w:eastAsia="宋体" w:hint="default"/>
                <w:w w:val="100"/>
                <w:sz w:val="21"/>
                <w:szCs w:val="21"/>
              </w:rPr>
              <w:t> </w:t>
            </w:r>
            <w:r>
              <w:rPr>
                <w:rFonts w:ascii="宋体" w:hAnsi="宋体" w:cs="宋体" w:eastAsia="宋体" w:hint="default"/>
                <w:sz w:val="21"/>
                <w:szCs w:val="21"/>
              </w:rPr>
              <w:t>票期权数量和行权价格进行调整的议案》</w:t>
            </w:r>
            <w:r>
              <w:rPr>
                <w:rFonts w:ascii="宋体" w:hAnsi="宋体" w:cs="宋体" w:eastAsia="宋体" w:hint="default"/>
                <w:w w:val="100"/>
                <w:sz w:val="21"/>
                <w:szCs w:val="21"/>
              </w:rPr>
              <w:t> </w:t>
            </w:r>
            <w:r>
              <w:rPr>
                <w:rFonts w:ascii="Times New Roman" w:hAnsi="Times New Roman" w:cs="Times New Roman" w:eastAsia="Times New Roman" w:hint="default"/>
                <w:spacing w:val="-4"/>
                <w:w w:val="100"/>
                <w:sz w:val="21"/>
                <w:szCs w:val="21"/>
              </w:rPr>
              <w:t>2</w:t>
            </w:r>
            <w:r>
              <w:rPr>
                <w:rFonts w:ascii="宋体" w:hAnsi="宋体" w:cs="宋体" w:eastAsia="宋体" w:hint="default"/>
                <w:spacing w:val="-4"/>
                <w:w w:val="100"/>
                <w:sz w:val="21"/>
                <w:szCs w:val="21"/>
              </w:rPr>
              <w:t>、《关于公司股票期权激励计划所涉及股票期权首</w:t>
            </w:r>
            <w:r>
              <w:rPr>
                <w:rFonts w:ascii="宋体" w:hAnsi="宋体" w:cs="宋体" w:eastAsia="宋体" w:hint="default"/>
                <w:w w:val="100"/>
                <w:sz w:val="21"/>
                <w:szCs w:val="21"/>
              </w:rPr>
              <w:t> </w:t>
            </w:r>
            <w:r>
              <w:rPr>
                <w:rFonts w:ascii="宋体" w:hAnsi="宋体" w:cs="宋体" w:eastAsia="宋体" w:hint="default"/>
                <w:sz w:val="21"/>
                <w:szCs w:val="21"/>
              </w:rPr>
              <w:t>次期权授予事项的议案》</w:t>
            </w:r>
            <w:r>
              <w:rPr>
                <w:rFonts w:ascii="宋体" w:hAnsi="宋体" w:cs="宋体" w:eastAsia="宋体" w:hint="default"/>
                <w:w w:val="100"/>
                <w:sz w:val="21"/>
                <w:szCs w:val="21"/>
              </w:rPr>
              <w:t> </w:t>
            </w:r>
            <w:r>
              <w:rPr>
                <w:rFonts w:ascii="Times New Roman" w:hAnsi="Times New Roman" w:cs="Times New Roman" w:eastAsia="Times New Roman" w:hint="default"/>
                <w:spacing w:val="-8"/>
                <w:w w:val="100"/>
                <w:sz w:val="21"/>
                <w:szCs w:val="21"/>
              </w:rPr>
              <w:t>3</w:t>
            </w:r>
            <w:r>
              <w:rPr>
                <w:rFonts w:ascii="宋体" w:hAnsi="宋体" w:cs="宋体" w:eastAsia="宋体" w:hint="default"/>
                <w:spacing w:val="-8"/>
                <w:w w:val="100"/>
                <w:sz w:val="21"/>
                <w:szCs w:val="21"/>
              </w:rPr>
              <w:t>、《公司治理专项活动整改报告》</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4</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选</w:t>
            </w:r>
            <w:r>
              <w:rPr>
                <w:rFonts w:ascii="宋体" w:hAnsi="宋体" w:cs="宋体" w:eastAsia="宋体" w:hint="default"/>
                <w:w w:val="100"/>
                <w:sz w:val="21"/>
                <w:szCs w:val="21"/>
              </w:rPr>
              <w:t>举</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第</w:t>
            </w:r>
            <w:r>
              <w:rPr>
                <w:rFonts w:ascii="宋体" w:hAnsi="宋体" w:cs="宋体" w:eastAsia="宋体" w:hint="default"/>
                <w:w w:val="100"/>
                <w:sz w:val="21"/>
                <w:szCs w:val="21"/>
              </w:rPr>
              <w:t>二</w:t>
            </w:r>
            <w:r>
              <w:rPr>
                <w:rFonts w:ascii="宋体" w:hAnsi="宋体" w:cs="宋体" w:eastAsia="宋体" w:hint="default"/>
                <w:spacing w:val="-3"/>
                <w:w w:val="100"/>
                <w:sz w:val="21"/>
                <w:szCs w:val="21"/>
              </w:rPr>
              <w:t>届</w:t>
            </w:r>
            <w:r>
              <w:rPr>
                <w:rFonts w:ascii="宋体" w:hAnsi="宋体" w:cs="宋体" w:eastAsia="宋体" w:hint="default"/>
                <w:w w:val="100"/>
                <w:sz w:val="21"/>
                <w:szCs w:val="21"/>
              </w:rPr>
              <w:t>董事</w:t>
            </w:r>
            <w:r>
              <w:rPr>
                <w:rFonts w:ascii="宋体" w:hAnsi="宋体" w:cs="宋体" w:eastAsia="宋体" w:hint="default"/>
                <w:spacing w:val="-3"/>
                <w:w w:val="100"/>
                <w:sz w:val="21"/>
                <w:szCs w:val="21"/>
              </w:rPr>
              <w:t>会</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长</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64" w:lineRule="auto" w:before="21"/>
              <w:ind w:left="100" w:right="99"/>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5</w:t>
            </w:r>
            <w:r>
              <w:rPr>
                <w:rFonts w:ascii="宋体" w:hAnsi="宋体" w:cs="宋体" w:eastAsia="宋体" w:hint="default"/>
                <w:spacing w:val="-4"/>
                <w:w w:val="100"/>
                <w:sz w:val="21"/>
                <w:szCs w:val="21"/>
              </w:rPr>
              <w:t>、《关于设立第二届董事会专门委员会及其人员组</w:t>
            </w:r>
            <w:r>
              <w:rPr>
                <w:rFonts w:ascii="宋体" w:hAnsi="宋体" w:cs="宋体" w:eastAsia="宋体" w:hint="default"/>
                <w:w w:val="100"/>
                <w:sz w:val="21"/>
                <w:szCs w:val="21"/>
              </w:rPr>
              <w:t> </w:t>
            </w:r>
            <w:r>
              <w:rPr>
                <w:rFonts w:ascii="宋体" w:hAnsi="宋体" w:cs="宋体" w:eastAsia="宋体" w:hint="default"/>
                <w:sz w:val="21"/>
                <w:szCs w:val="21"/>
              </w:rPr>
              <w:t>成的议案》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pacing w:val="-7"/>
                <w:w w:val="100"/>
                <w:sz w:val="21"/>
                <w:szCs w:val="21"/>
              </w:rPr>
              <w:t>6</w:t>
            </w:r>
            <w:r>
              <w:rPr>
                <w:rFonts w:ascii="宋体" w:hAnsi="宋体" w:cs="宋体" w:eastAsia="宋体" w:hint="default"/>
                <w:spacing w:val="-7"/>
                <w:w w:val="100"/>
                <w:sz w:val="21"/>
                <w:szCs w:val="21"/>
              </w:rPr>
              <w:t>、《关于聘任公司高级管理人员的议案》</w:t>
            </w:r>
          </w:p>
          <w:p>
            <w:pPr>
              <w:pStyle w:val="TableParagraph"/>
              <w:spacing w:line="28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7</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聘</w:t>
            </w:r>
            <w:r>
              <w:rPr>
                <w:rFonts w:ascii="宋体" w:hAnsi="宋体" w:cs="宋体" w:eastAsia="宋体" w:hint="default"/>
                <w:w w:val="100"/>
                <w:sz w:val="21"/>
                <w:szCs w:val="21"/>
              </w:rPr>
              <w:t>任</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证</w:t>
            </w:r>
            <w:r>
              <w:rPr>
                <w:rFonts w:ascii="宋体" w:hAnsi="宋体" w:cs="宋体" w:eastAsia="宋体" w:hint="default"/>
                <w:w w:val="100"/>
                <w:sz w:val="21"/>
                <w:szCs w:val="21"/>
              </w:rPr>
              <w:t>券</w:t>
            </w:r>
            <w:r>
              <w:rPr>
                <w:rFonts w:ascii="宋体" w:hAnsi="宋体" w:cs="宋体" w:eastAsia="宋体" w:hint="default"/>
                <w:spacing w:val="-3"/>
                <w:w w:val="100"/>
                <w:sz w:val="21"/>
                <w:szCs w:val="21"/>
              </w:rPr>
              <w:t>事</w:t>
            </w:r>
            <w:r>
              <w:rPr>
                <w:rFonts w:ascii="宋体" w:hAnsi="宋体" w:cs="宋体" w:eastAsia="宋体" w:hint="default"/>
                <w:w w:val="100"/>
                <w:sz w:val="21"/>
                <w:szCs w:val="21"/>
              </w:rPr>
              <w:t>务代</w:t>
            </w:r>
            <w:r>
              <w:rPr>
                <w:rFonts w:ascii="宋体" w:hAnsi="宋体" w:cs="宋体" w:eastAsia="宋体" w:hint="default"/>
                <w:spacing w:val="-3"/>
                <w:w w:val="100"/>
                <w:sz w:val="21"/>
                <w:szCs w:val="21"/>
              </w:rPr>
              <w:t>表</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951"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36"/>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二</w:t>
            </w:r>
            <w:r>
              <w:rPr>
                <w:rFonts w:ascii="宋体" w:hAnsi="宋体" w:cs="宋体" w:eastAsia="宋体" w:hint="default"/>
                <w:spacing w:val="-41"/>
                <w:sz w:val="21"/>
                <w:szCs w:val="21"/>
              </w:rPr>
              <w:t> </w:t>
            </w:r>
            <w:r>
              <w:rPr>
                <w:rFonts w:ascii="宋体" w:hAnsi="宋体" w:cs="宋体" w:eastAsia="宋体" w:hint="default"/>
                <w:spacing w:val="29"/>
                <w:sz w:val="21"/>
                <w:szCs w:val="21"/>
              </w:rPr>
              <w:t>届董</w:t>
            </w:r>
            <w:r>
              <w:rPr>
                <w:rFonts w:ascii="宋体" w:hAnsi="宋体" w:cs="宋体" w:eastAsia="宋体" w:hint="default"/>
                <w:spacing w:val="-103"/>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宋体" w:hAnsi="宋体" w:cs="宋体" w:eastAsia="宋体" w:hint="default"/>
                <w:sz w:val="21"/>
                <w:szCs w:val="21"/>
              </w:rPr>
              <w:t>二</w:t>
            </w:r>
            <w:r>
              <w:rPr>
                <w:rFonts w:ascii="宋体" w:hAnsi="宋体" w:cs="宋体" w:eastAsia="宋体" w:hint="default"/>
                <w:w w:val="100"/>
                <w:sz w:val="21"/>
                <w:szCs w:val="21"/>
              </w:rPr>
              <w:t> </w:t>
            </w:r>
            <w:r>
              <w:rPr>
                <w:rFonts w:ascii="宋体" w:hAnsi="宋体" w:cs="宋体" w:eastAsia="宋体" w:hint="default"/>
                <w:sz w:val="21"/>
                <w:szCs w:val="21"/>
              </w:rPr>
              <w:t>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96"/>
              <w:jc w:val="left"/>
              <w:rPr>
                <w:rFonts w:ascii="宋体" w:hAnsi="宋体" w:cs="宋体" w:eastAsia="宋体" w:hint="default"/>
                <w:sz w:val="21"/>
                <w:szCs w:val="21"/>
              </w:rPr>
            </w:pPr>
            <w:r>
              <w:rPr>
                <w:rFonts w:ascii="Times New Roman" w:hAnsi="Times New Roman" w:cs="Times New Roman" w:eastAsia="Times New Roman" w:hint="default"/>
                <w:spacing w:val="-13"/>
                <w:w w:val="100"/>
                <w:sz w:val="21"/>
                <w:szCs w:val="21"/>
              </w:rPr>
              <w:t>1</w:t>
            </w:r>
            <w:r>
              <w:rPr>
                <w:rFonts w:ascii="宋体" w:hAnsi="宋体" w:cs="宋体" w:eastAsia="宋体" w:hint="default"/>
                <w:spacing w:val="-13"/>
                <w:w w:val="100"/>
                <w:sz w:val="21"/>
                <w:szCs w:val="21"/>
              </w:rPr>
              <w:t>、《北京超图软件股份有限公司</w:t>
            </w:r>
            <w:r>
              <w:rPr>
                <w:rFonts w:ascii="宋体" w:hAnsi="宋体" w:cs="宋体" w:eastAsia="宋体" w:hint="default"/>
                <w:spacing w:val="-46"/>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年半年度报告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全文及摘要》</w:t>
            </w:r>
          </w:p>
          <w:p>
            <w:pPr>
              <w:pStyle w:val="TableParagraph"/>
              <w:spacing w:line="240" w:lineRule="auto" w:before="22"/>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半</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务报</w:t>
            </w:r>
            <w:r>
              <w:rPr>
                <w:rFonts w:ascii="宋体" w:hAnsi="宋体" w:cs="宋体" w:eastAsia="宋体" w:hint="default"/>
                <w:w w:val="100"/>
                <w:sz w:val="21"/>
                <w:szCs w:val="21"/>
              </w:rPr>
              <w:t>告》</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953"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36"/>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二</w:t>
            </w:r>
            <w:r>
              <w:rPr>
                <w:rFonts w:ascii="宋体" w:hAnsi="宋体" w:cs="宋体" w:eastAsia="宋体" w:hint="default"/>
                <w:spacing w:val="-41"/>
                <w:sz w:val="21"/>
                <w:szCs w:val="21"/>
              </w:rPr>
              <w:t> </w:t>
            </w:r>
            <w:r>
              <w:rPr>
                <w:rFonts w:ascii="宋体" w:hAnsi="宋体" w:cs="宋体" w:eastAsia="宋体" w:hint="default"/>
                <w:spacing w:val="29"/>
                <w:sz w:val="21"/>
                <w:szCs w:val="21"/>
              </w:rPr>
              <w:t>届董</w:t>
            </w:r>
            <w:r>
              <w:rPr>
                <w:rFonts w:ascii="宋体" w:hAnsi="宋体" w:cs="宋体" w:eastAsia="宋体" w:hint="default"/>
                <w:spacing w:val="-103"/>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4"/>
                <w:sz w:val="21"/>
                <w:szCs w:val="21"/>
              </w:rPr>
              <w:t> </w:t>
            </w:r>
            <w:r>
              <w:rPr>
                <w:rFonts w:ascii="宋体" w:hAnsi="宋体" w:cs="宋体" w:eastAsia="宋体" w:hint="default"/>
                <w:sz w:val="21"/>
                <w:szCs w:val="21"/>
              </w:rPr>
              <w:t>三</w:t>
            </w:r>
            <w:r>
              <w:rPr>
                <w:rFonts w:ascii="宋体" w:hAnsi="宋体" w:cs="宋体" w:eastAsia="宋体" w:hint="default"/>
                <w:w w:val="100"/>
                <w:sz w:val="21"/>
                <w:szCs w:val="21"/>
              </w:rPr>
              <w:t> </w:t>
            </w:r>
            <w:r>
              <w:rPr>
                <w:rFonts w:ascii="宋体" w:hAnsi="宋体" w:cs="宋体" w:eastAsia="宋体" w:hint="default"/>
                <w:sz w:val="21"/>
                <w:szCs w:val="21"/>
              </w:rPr>
              <w:t>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100" w:right="99"/>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、《关于使用超募资金承接西安市数字化“城市管</w:t>
            </w:r>
            <w:r>
              <w:rPr>
                <w:rFonts w:ascii="宋体" w:hAnsi="宋体" w:cs="宋体" w:eastAsia="宋体" w:hint="default"/>
                <w:w w:val="100"/>
                <w:sz w:val="21"/>
                <w:szCs w:val="21"/>
              </w:rPr>
              <w:t> </w:t>
            </w:r>
            <w:r>
              <w:rPr>
                <w:rFonts w:ascii="宋体" w:hAnsi="宋体" w:cs="宋体" w:eastAsia="宋体" w:hint="default"/>
                <w:sz w:val="21"/>
                <w:szCs w:val="21"/>
              </w:rPr>
              <w:t>理”信息系统建设项目的议案》</w:t>
            </w:r>
            <w:r>
              <w:rPr>
                <w:rFonts w:ascii="宋体" w:hAnsi="宋体" w:cs="宋体" w:eastAsia="宋体" w:hint="default"/>
                <w:w w:val="100"/>
                <w:sz w:val="21"/>
                <w:szCs w:val="21"/>
              </w:rPr>
              <w:t> </w:t>
            </w:r>
            <w:r>
              <w:rPr>
                <w:rFonts w:ascii="Times New Roman" w:hAnsi="Times New Roman" w:cs="Times New Roman" w:eastAsia="Times New Roman" w:hint="default"/>
                <w:spacing w:val="-6"/>
                <w:w w:val="100"/>
                <w:sz w:val="21"/>
                <w:szCs w:val="21"/>
              </w:rPr>
              <w:t>2</w:t>
            </w:r>
            <w:r>
              <w:rPr>
                <w:rFonts w:ascii="宋体" w:hAnsi="宋体" w:cs="宋体" w:eastAsia="宋体" w:hint="default"/>
                <w:spacing w:val="-6"/>
                <w:w w:val="100"/>
                <w:sz w:val="21"/>
                <w:szCs w:val="21"/>
              </w:rPr>
              <w:t>、《关于使用超募资金建设成都技术中心的议案》</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950" w:hRule="exact"/>
        </w:trPr>
        <w:tc>
          <w:tcPr>
            <w:tcW w:w="124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9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二</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四</w:t>
            </w:r>
            <w:r>
              <w:rPr>
                <w:rFonts w:ascii="宋体" w:hAnsi="宋体" w:cs="宋体" w:eastAsia="宋体" w:hint="default"/>
                <w:w w:val="100"/>
                <w:sz w:val="21"/>
                <w:szCs w:val="21"/>
              </w:rPr>
              <w:t> </w:t>
            </w:r>
            <w:r>
              <w:rPr>
                <w:rFonts w:ascii="宋体" w:hAnsi="宋体" w:cs="宋体" w:eastAsia="宋体" w:hint="default"/>
                <w:sz w:val="21"/>
                <w:szCs w:val="21"/>
              </w:rPr>
              <w:t>次会议</w:t>
            </w:r>
          </w:p>
        </w:tc>
        <w:tc>
          <w:tcPr>
            <w:tcW w:w="4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年第三季度报告全文及正文》</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tabs>
                <w:tab w:pos="554" w:val="left" w:leader="none"/>
              </w:tabs>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tab/>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1" w:type="dxa"/>
            <w:tcBorders>
              <w:top w:val="single" w:sz="6" w:space="0" w:color="000000"/>
              <w:left w:val="single" w:sz="6" w:space="0" w:color="000000"/>
              <w:bottom w:val="single" w:sz="6" w:space="0" w:color="000000"/>
              <w:right w:val="single" w:sz="12" w:space="0" w:color="000000"/>
            </w:tcBorders>
          </w:tcPr>
          <w:p>
            <w:pPr/>
          </w:p>
        </w:tc>
      </w:tr>
      <w:tr>
        <w:trPr>
          <w:trHeight w:val="960" w:hRule="exact"/>
        </w:trPr>
        <w:tc>
          <w:tcPr>
            <w:tcW w:w="1241"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93" w:right="97"/>
              <w:jc w:val="both"/>
              <w:rPr>
                <w:rFonts w:ascii="宋体" w:hAnsi="宋体" w:cs="宋体" w:eastAsia="宋体" w:hint="default"/>
                <w:sz w:val="21"/>
                <w:szCs w:val="21"/>
              </w:rPr>
            </w:pP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二</w:t>
            </w:r>
            <w:r>
              <w:rPr>
                <w:rFonts w:ascii="宋体" w:hAnsi="宋体" w:cs="宋体" w:eastAsia="宋体" w:hint="default"/>
                <w:spacing w:val="-42"/>
                <w:sz w:val="21"/>
                <w:szCs w:val="21"/>
              </w:rPr>
              <w:t> </w:t>
            </w:r>
            <w:r>
              <w:rPr>
                <w:rFonts w:ascii="宋体" w:hAnsi="宋体" w:cs="宋体" w:eastAsia="宋体" w:hint="default"/>
                <w:sz w:val="21"/>
                <w:szCs w:val="21"/>
              </w:rPr>
              <w:t>届</w:t>
            </w:r>
            <w:r>
              <w:rPr>
                <w:rFonts w:ascii="宋体" w:hAnsi="宋体" w:cs="宋体" w:eastAsia="宋体" w:hint="default"/>
                <w:spacing w:val="-45"/>
                <w:sz w:val="21"/>
                <w:szCs w:val="21"/>
              </w:rPr>
              <w:t> </w:t>
            </w:r>
            <w:r>
              <w:rPr>
                <w:rFonts w:ascii="宋体" w:hAnsi="宋体" w:cs="宋体" w:eastAsia="宋体" w:hint="default"/>
                <w:sz w:val="21"/>
                <w:szCs w:val="21"/>
              </w:rPr>
              <w:t>董</w:t>
            </w:r>
            <w:r>
              <w:rPr>
                <w:rFonts w:ascii="宋体" w:hAnsi="宋体" w:cs="宋体" w:eastAsia="宋体" w:hint="default"/>
                <w:w w:val="100"/>
                <w:sz w:val="21"/>
                <w:szCs w:val="21"/>
              </w:rPr>
              <w:t> </w:t>
            </w:r>
            <w:r>
              <w:rPr>
                <w:rFonts w:ascii="宋体" w:hAnsi="宋体" w:cs="宋体" w:eastAsia="宋体" w:hint="default"/>
                <w:sz w:val="21"/>
                <w:szCs w:val="21"/>
              </w:rPr>
              <w:t>事</w:t>
            </w:r>
            <w:r>
              <w:rPr>
                <w:rFonts w:ascii="宋体" w:hAnsi="宋体" w:cs="宋体" w:eastAsia="宋体" w:hint="default"/>
                <w:spacing w:val="-45"/>
                <w:sz w:val="21"/>
                <w:szCs w:val="21"/>
              </w:rPr>
              <w:t> </w:t>
            </w:r>
            <w:r>
              <w:rPr>
                <w:rFonts w:ascii="宋体" w:hAnsi="宋体" w:cs="宋体" w:eastAsia="宋体" w:hint="default"/>
                <w:sz w:val="21"/>
                <w:szCs w:val="21"/>
              </w:rPr>
              <w:t>会</w:t>
            </w:r>
            <w:r>
              <w:rPr>
                <w:rFonts w:ascii="宋体" w:hAnsi="宋体" w:cs="宋体" w:eastAsia="宋体" w:hint="default"/>
                <w:spacing w:val="-42"/>
                <w:sz w:val="21"/>
                <w:szCs w:val="21"/>
              </w:rPr>
              <w:t> </w:t>
            </w:r>
            <w:r>
              <w:rPr>
                <w:rFonts w:ascii="宋体" w:hAnsi="宋体" w:cs="宋体" w:eastAsia="宋体" w:hint="default"/>
                <w:sz w:val="21"/>
                <w:szCs w:val="21"/>
              </w:rPr>
              <w:t>第</w:t>
            </w:r>
            <w:r>
              <w:rPr>
                <w:rFonts w:ascii="宋体" w:hAnsi="宋体" w:cs="宋体" w:eastAsia="宋体" w:hint="default"/>
                <w:spacing w:val="-45"/>
                <w:sz w:val="21"/>
                <w:szCs w:val="21"/>
              </w:rPr>
              <w:t> </w:t>
            </w:r>
            <w:r>
              <w:rPr>
                <w:rFonts w:ascii="宋体" w:hAnsi="宋体" w:cs="宋体" w:eastAsia="宋体" w:hint="default"/>
                <w:sz w:val="21"/>
                <w:szCs w:val="21"/>
              </w:rPr>
              <w:t>五</w:t>
            </w:r>
            <w:r>
              <w:rPr>
                <w:rFonts w:ascii="宋体" w:hAnsi="宋体" w:cs="宋体" w:eastAsia="宋体" w:hint="default"/>
                <w:w w:val="100"/>
                <w:sz w:val="21"/>
                <w:szCs w:val="21"/>
              </w:rPr>
              <w:t> </w:t>
            </w:r>
            <w:r>
              <w:rPr>
                <w:rFonts w:ascii="宋体" w:hAnsi="宋体" w:cs="宋体" w:eastAsia="宋体" w:hint="default"/>
                <w:sz w:val="21"/>
                <w:szCs w:val="21"/>
              </w:rPr>
              <w:t>次会议</w:t>
            </w:r>
          </w:p>
        </w:tc>
        <w:tc>
          <w:tcPr>
            <w:tcW w:w="4878"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向</w:t>
            </w:r>
            <w:r>
              <w:rPr>
                <w:rFonts w:ascii="宋体" w:hAnsi="宋体" w:cs="宋体" w:eastAsia="宋体" w:hint="default"/>
                <w:w w:val="100"/>
                <w:sz w:val="21"/>
                <w:szCs w:val="21"/>
              </w:rPr>
              <w:t>银</w:t>
            </w:r>
            <w:r>
              <w:rPr>
                <w:rFonts w:ascii="宋体" w:hAnsi="宋体" w:cs="宋体" w:eastAsia="宋体" w:hint="default"/>
                <w:spacing w:val="-3"/>
                <w:w w:val="100"/>
                <w:sz w:val="21"/>
                <w:szCs w:val="21"/>
              </w:rPr>
              <w:t>行</w:t>
            </w:r>
            <w:r>
              <w:rPr>
                <w:rFonts w:ascii="宋体" w:hAnsi="宋体" w:cs="宋体" w:eastAsia="宋体" w:hint="default"/>
                <w:w w:val="100"/>
                <w:sz w:val="21"/>
                <w:szCs w:val="21"/>
              </w:rPr>
              <w:t>申</w:t>
            </w:r>
            <w:r>
              <w:rPr>
                <w:rFonts w:ascii="宋体" w:hAnsi="宋体" w:cs="宋体" w:eastAsia="宋体" w:hint="default"/>
                <w:spacing w:val="-3"/>
                <w:w w:val="100"/>
                <w:sz w:val="21"/>
                <w:szCs w:val="21"/>
              </w:rPr>
              <w:t>请</w:t>
            </w:r>
            <w:r>
              <w:rPr>
                <w:rFonts w:ascii="宋体" w:hAnsi="宋体" w:cs="宋体" w:eastAsia="宋体" w:hint="default"/>
                <w:w w:val="100"/>
                <w:sz w:val="21"/>
                <w:szCs w:val="21"/>
              </w:rPr>
              <w:t>授</w:t>
            </w:r>
            <w:r>
              <w:rPr>
                <w:rFonts w:ascii="宋体" w:hAnsi="宋体" w:cs="宋体" w:eastAsia="宋体" w:hint="default"/>
                <w:spacing w:val="-3"/>
                <w:w w:val="100"/>
                <w:sz w:val="21"/>
                <w:szCs w:val="21"/>
              </w:rPr>
              <w:t>信</w:t>
            </w: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p>
            <w:pPr>
              <w:pStyle w:val="TableParagraph"/>
              <w:spacing w:line="256" w:lineRule="auto" w:before="21"/>
              <w:ind w:left="100" w:right="96"/>
              <w:jc w:val="left"/>
              <w:rPr>
                <w:rFonts w:ascii="宋体" w:hAnsi="宋体" w:cs="宋体" w:eastAsia="宋体" w:hint="default"/>
                <w:sz w:val="21"/>
                <w:szCs w:val="21"/>
              </w:rPr>
            </w:pP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、《关于修订</w:t>
            </w:r>
            <w:r>
              <w:rPr>
                <w:rFonts w:ascii="Times New Roman" w:hAnsi="Times New Roman" w:cs="Times New Roman" w:eastAsia="Times New Roman" w:hint="default"/>
                <w:spacing w:val="-9"/>
                <w:w w:val="100"/>
                <w:sz w:val="21"/>
                <w:szCs w:val="21"/>
              </w:rPr>
              <w:t>&lt;</w:t>
            </w:r>
            <w:r>
              <w:rPr>
                <w:rFonts w:ascii="宋体" w:hAnsi="宋体" w:cs="宋体" w:eastAsia="宋体" w:hint="default"/>
                <w:spacing w:val="-9"/>
                <w:w w:val="100"/>
                <w:sz w:val="21"/>
                <w:szCs w:val="21"/>
              </w:rPr>
              <w:t>北京超图软件股份有限公司内幕信息</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知情人登记制度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tc>
        <w:tc>
          <w:tcPr>
            <w:tcW w:w="878"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p>
          <w:p>
            <w:pPr>
              <w:pStyle w:val="TableParagraph"/>
              <w:tabs>
                <w:tab w:pos="554" w:val="left" w:leader="none"/>
              </w:tabs>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tab/>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911" w:type="dxa"/>
            <w:tcBorders>
              <w:top w:val="single" w:sz="6" w:space="0" w:color="000000"/>
              <w:left w:val="single" w:sz="6" w:space="0" w:color="000000"/>
              <w:bottom w:val="single" w:sz="12" w:space="0" w:color="000000"/>
              <w:right w:val="single" w:sz="12" w:space="0" w:color="000000"/>
            </w:tcBorders>
          </w:tcPr>
          <w:p>
            <w:pPr/>
          </w:p>
        </w:tc>
      </w:tr>
    </w:tbl>
    <w:p>
      <w:pPr>
        <w:spacing w:after="0"/>
        <w:sectPr>
          <w:pgSz w:w="11910" w:h="16840"/>
          <w:pgMar w:header="884" w:footer="1173" w:top="1140" w:bottom="1360" w:left="1560" w:right="1160"/>
        </w:sectPr>
      </w:pPr>
    </w:p>
    <w:p>
      <w:pPr>
        <w:spacing w:line="240" w:lineRule="auto" w:before="10"/>
        <w:rPr>
          <w:rFonts w:ascii="Times New Roman" w:hAnsi="Times New Roman" w:cs="Times New Roman" w:eastAsia="Times New Roman" w:hint="default"/>
          <w:sz w:val="29"/>
          <w:szCs w:val="29"/>
        </w:rPr>
      </w:pPr>
    </w:p>
    <w:p>
      <w:pPr>
        <w:pStyle w:val="Heading3"/>
        <w:spacing w:line="240" w:lineRule="auto" w:before="7"/>
        <w:ind w:right="0"/>
        <w:jc w:val="both"/>
        <w:rPr>
          <w:b w:val="0"/>
          <w:bCs w:val="0"/>
        </w:rPr>
      </w:pPr>
      <w:bookmarkStart w:name="_TOC_250015" w:id="73"/>
      <w:r>
        <w:rPr/>
        <w:t>三、公司董事会下设委员会工作情况</w:t>
      </w:r>
      <w:bookmarkEnd w:id="73"/>
      <w:r>
        <w:rPr>
          <w:b w:val="0"/>
          <w:bCs w:val="0"/>
        </w:rPr>
      </w:r>
    </w:p>
    <w:p>
      <w:pPr>
        <w:spacing w:line="240" w:lineRule="auto" w:before="2"/>
        <w:rPr>
          <w:rFonts w:ascii="宋体" w:hAnsi="宋体" w:cs="宋体" w:eastAsia="宋体" w:hint="default"/>
          <w:b/>
          <w:bCs/>
          <w:sz w:val="35"/>
          <w:szCs w:val="35"/>
        </w:rPr>
      </w:pPr>
    </w:p>
    <w:p>
      <w:pPr>
        <w:pStyle w:val="BodyText"/>
        <w:spacing w:line="357" w:lineRule="auto"/>
        <w:ind w:right="100" w:firstLine="479"/>
        <w:jc w:val="left"/>
      </w:pPr>
      <w:r>
        <w:rPr/>
        <w:t>公司董事会仍下设四个专业委员会：审计委员会、薪酬与考核委员会、提名委 员会以及战略与发展委员会。</w:t>
      </w:r>
    </w:p>
    <w:p>
      <w:pPr>
        <w:spacing w:line="240" w:lineRule="auto" w:before="2"/>
        <w:rPr>
          <w:rFonts w:ascii="宋体" w:hAnsi="宋体" w:cs="宋体" w:eastAsia="宋体" w:hint="default"/>
          <w:sz w:val="25"/>
          <w:szCs w:val="25"/>
        </w:rPr>
      </w:pPr>
    </w:p>
    <w:p>
      <w:pPr>
        <w:pStyle w:val="Heading5"/>
        <w:spacing w:line="240" w:lineRule="auto"/>
        <w:ind w:right="0"/>
        <w:jc w:val="both"/>
        <w:rPr>
          <w:b w:val="0"/>
          <w:bCs w:val="0"/>
        </w:rPr>
      </w:pPr>
      <w:r>
        <w:rPr/>
        <w:t>（一）审计委员会</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37" w:firstLine="479"/>
        <w:jc w:val="both"/>
      </w:pPr>
      <w:r>
        <w:rPr>
          <w:spacing w:val="-6"/>
        </w:rPr>
        <w:t>审计委员会现有委员谢德仁先生（召集人）、董云庭先生以及徐立新先生，共计</w:t>
      </w:r>
      <w:r>
        <w:rPr/>
        <w:t> 三名，人员数目以及人员结构符合《公司章程》以及《公司审计委员会实施细则》</w:t>
      </w:r>
      <w:r>
        <w:rPr>
          <w:spacing w:val="-77"/>
        </w:rPr>
        <w:t> </w:t>
      </w:r>
      <w:r>
        <w:rPr>
          <w:spacing w:val="-77"/>
        </w:rPr>
      </w:r>
      <w:r>
        <w:rPr/>
        <w:t>的要求。</w:t>
      </w:r>
    </w:p>
    <w:p>
      <w:pPr>
        <w:spacing w:line="240" w:lineRule="auto" w:before="2"/>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1</w:t>
      </w:r>
      <w:r>
        <w:rPr/>
        <w:t>、报告期内审计委员会会议情况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18" w:right="100"/>
        <w:jc w:val="left"/>
      </w:pPr>
      <w:r>
        <w:rPr/>
        <w:t>报告期内，审计委员会共召开</w:t>
      </w:r>
      <w:r>
        <w:rPr>
          <w:spacing w:val="-60"/>
        </w:rPr>
        <w:t> </w:t>
      </w:r>
      <w:r>
        <w:rPr>
          <w:rFonts w:ascii="Times New Roman" w:hAnsi="Times New Roman" w:cs="Times New Roman" w:eastAsia="Times New Roman" w:hint="default"/>
        </w:rPr>
        <w:t>4 </w:t>
      </w:r>
      <w:r>
        <w:rPr/>
        <w:t>次会议，主要内容为：</w:t>
      </w:r>
    </w:p>
    <w:p>
      <w:pPr>
        <w:pStyle w:val="BodyText"/>
        <w:spacing w:line="240" w:lineRule="auto" w:before="135"/>
        <w:ind w:left="618" w:right="10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日，审计委员会召开第十次会议，会议主要内容为：审核</w:t>
      </w:r>
    </w:p>
    <w:p>
      <w:pPr>
        <w:pStyle w:val="BodyText"/>
        <w:spacing w:line="348" w:lineRule="auto" w:before="135"/>
        <w:ind w:right="229"/>
        <w:jc w:val="both"/>
      </w:pPr>
      <w:r>
        <w:rPr>
          <w:spacing w:val="-1"/>
        </w:rPr>
        <w:t>《</w:t>
      </w:r>
      <w:r>
        <w:rPr>
          <w:rFonts w:ascii="Times New Roman" w:hAnsi="Times New Roman" w:cs="Times New Roman" w:eastAsia="Times New Roman" w:hint="default"/>
        </w:rPr>
        <w:t>2010 </w:t>
      </w:r>
      <w:r>
        <w:rPr>
          <w:rFonts w:ascii="Times New Roman" w:hAnsi="Times New Roman" w:cs="Times New Roman" w:eastAsia="Times New Roman" w:hint="default"/>
          <w:spacing w:val="-24"/>
        </w:rPr>
        <w:t> </w:t>
      </w:r>
      <w:r>
        <w:rPr/>
        <w:t>年度审计报告</w:t>
      </w:r>
      <w:r>
        <w:rPr>
          <w:spacing w:val="-120"/>
        </w:rPr>
        <w:t>》、</w:t>
      </w:r>
      <w:r>
        <w:rPr/>
        <w:t>《公司内部控制自我评价报告</w:t>
      </w:r>
      <w:r>
        <w:rPr>
          <w:spacing w:val="-120"/>
        </w:rPr>
        <w:t>》、</w:t>
      </w:r>
      <w:r>
        <w:rPr/>
        <w:t>《关于</w:t>
      </w:r>
      <w:r>
        <w:rPr>
          <w:spacing w:val="-24"/>
        </w:rPr>
        <w:t> </w:t>
      </w:r>
      <w:r>
        <w:rPr>
          <w:rFonts w:ascii="Times New Roman" w:hAnsi="Times New Roman" w:cs="Times New Roman" w:eastAsia="Times New Roman" w:hint="default"/>
        </w:rPr>
        <w:t>2010 </w:t>
      </w:r>
      <w:r>
        <w:rPr>
          <w:rFonts w:ascii="Times New Roman" w:hAnsi="Times New Roman" w:cs="Times New Roman" w:eastAsia="Times New Roman" w:hint="default"/>
          <w:spacing w:val="-24"/>
        </w:rPr>
        <w:t> </w:t>
      </w:r>
      <w:r>
        <w:rPr/>
        <w:t>年募集资金存 </w:t>
      </w:r>
      <w:r>
        <w:rPr>
          <w:spacing w:val="2"/>
        </w:rPr>
        <w:t>放与</w:t>
      </w:r>
      <w:r>
        <w:rPr/>
        <w:t>使</w:t>
      </w:r>
      <w:r>
        <w:rPr>
          <w:spacing w:val="2"/>
        </w:rPr>
        <w:t>用情</w:t>
      </w:r>
      <w:r>
        <w:rPr/>
        <w:t>况</w:t>
      </w:r>
      <w:r>
        <w:rPr>
          <w:spacing w:val="2"/>
        </w:rPr>
        <w:t>的</w:t>
      </w:r>
      <w:r>
        <w:rPr/>
        <w:t>专</w:t>
      </w:r>
      <w:r>
        <w:rPr>
          <w:spacing w:val="2"/>
        </w:rPr>
        <w:t>项</w:t>
      </w:r>
      <w:r>
        <w:rPr/>
        <w:t>报</w:t>
      </w:r>
      <w:r>
        <w:rPr>
          <w:spacing w:val="2"/>
        </w:rPr>
        <w:t>告</w:t>
      </w:r>
      <w:r>
        <w:rPr>
          <w:spacing w:val="-118"/>
        </w:rPr>
        <w:t>》</w:t>
      </w:r>
      <w:r>
        <w:rPr>
          <w:spacing w:val="-119"/>
        </w:rPr>
        <w:t>、</w:t>
      </w:r>
      <w:r>
        <w:rPr>
          <w:spacing w:val="2"/>
        </w:rPr>
        <w:t>《</w:t>
      </w:r>
      <w:r>
        <w:rPr/>
        <w:t>公</w:t>
      </w:r>
      <w:r>
        <w:rPr>
          <w:spacing w:val="2"/>
        </w:rPr>
        <w:t>司会</w:t>
      </w:r>
      <w:r>
        <w:rPr/>
        <w:t>计</w:t>
      </w:r>
      <w:r>
        <w:rPr>
          <w:spacing w:val="2"/>
        </w:rPr>
        <w:t>估</w:t>
      </w:r>
      <w:r>
        <w:rPr/>
        <w:t>计变</w:t>
      </w:r>
      <w:r>
        <w:rPr>
          <w:spacing w:val="2"/>
        </w:rPr>
        <w:t>更议</w:t>
      </w:r>
      <w:r>
        <w:rPr>
          <w:spacing w:val="1"/>
        </w:rPr>
        <w:t>案</w:t>
      </w:r>
      <w:r>
        <w:rPr>
          <w:spacing w:val="-118"/>
        </w:rPr>
        <w:t>》</w:t>
      </w:r>
      <w:r>
        <w:rPr>
          <w:spacing w:val="-120"/>
        </w:rPr>
        <w:t>、</w:t>
      </w:r>
      <w:r>
        <w:rPr>
          <w:spacing w:val="2"/>
        </w:rPr>
        <w:t>《关</w:t>
      </w:r>
      <w:r>
        <w:rPr/>
        <w:t>于</w:t>
      </w:r>
      <w:r>
        <w:rPr>
          <w:spacing w:val="2"/>
        </w:rPr>
        <w:t>续</w:t>
      </w:r>
      <w:r>
        <w:rPr/>
        <w:t>聘京</w:t>
      </w:r>
      <w:r>
        <w:rPr>
          <w:spacing w:val="2"/>
        </w:rPr>
        <w:t>都天</w:t>
      </w:r>
      <w:r>
        <w:rPr>
          <w:spacing w:val="1"/>
        </w:rPr>
        <w:t>华</w:t>
      </w:r>
      <w:r>
        <w:rPr>
          <w:spacing w:val="2"/>
        </w:rPr>
        <w:t>会计师</w:t>
      </w:r>
      <w:r>
        <w:rPr>
          <w:spacing w:val="2"/>
        </w:rPr>
        <w:t> </w:t>
      </w:r>
      <w:r>
        <w:rPr/>
        <w:t>事务</w:t>
      </w:r>
      <w:r>
        <w:rPr>
          <w:spacing w:val="-1"/>
        </w:rPr>
        <w:t>所</w:t>
      </w:r>
      <w:r>
        <w:rPr/>
        <w:t>有限公司的议案</w:t>
      </w:r>
      <w:r>
        <w:rPr>
          <w:spacing w:val="-120"/>
        </w:rPr>
        <w:t>》</w:t>
      </w:r>
      <w:r>
        <w:rPr/>
        <w:t>。</w:t>
      </w:r>
    </w:p>
    <w:p>
      <w:pPr>
        <w:pStyle w:val="BodyText"/>
        <w:spacing w:line="338" w:lineRule="auto" w:before="46"/>
        <w:ind w:right="219" w:firstLine="47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日，审计委员会召开第十一次会议，会议主要内容为审阅 公司第一季度财务报表，并对公司第一季度募集资金存放和使用情况进行了审议。</w:t>
      </w:r>
    </w:p>
    <w:p>
      <w:pPr>
        <w:pStyle w:val="BodyText"/>
        <w:spacing w:line="350" w:lineRule="auto" w:before="55"/>
        <w:ind w:right="102" w:firstLine="479"/>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日，召开审计委员会第二届第一次会议，会议主要内容为 </w:t>
      </w:r>
      <w:r>
        <w:rPr>
          <w:spacing w:val="-2"/>
        </w:rPr>
        <w:t>审议并讨论会议主要内容为审议公司半年度内部审计报告（包括审计制度执行情况、</w:t>
      </w:r>
      <w:r>
        <w:rPr>
          <w:spacing w:val="-117"/>
        </w:rPr>
        <w:t> </w:t>
      </w:r>
      <w:r>
        <w:rPr>
          <w:spacing w:val="-117"/>
        </w:rPr>
      </w:r>
      <w:r>
        <w:rPr>
          <w:spacing w:val="-6"/>
        </w:rPr>
        <w:t>其他内控制度执行情况以及内控完善建议）、公司半度财务报告、公司上半年度关联</w:t>
      </w:r>
      <w:r>
        <w:rPr>
          <w:spacing w:val="-86"/>
        </w:rPr>
        <w:t> </w:t>
      </w:r>
      <w:r>
        <w:rPr>
          <w:spacing w:val="-86"/>
        </w:rPr>
      </w:r>
      <w:r>
        <w:rPr/>
        <w:t>交易审计情况、公司上半年度募集资金使用审计情况。</w:t>
      </w:r>
    </w:p>
    <w:p>
      <w:pPr>
        <w:pStyle w:val="BodyText"/>
        <w:spacing w:line="338" w:lineRule="auto" w:before="43"/>
        <w:ind w:right="234" w:firstLine="479"/>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日，审计委员会召开第二届第二次会议，会议主要内容 为认真审议公司第三季度财务报表，同意公司《</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年第三季度全文及正文》中所 引用的财务数据，并提交董事会审议。</w:t>
      </w:r>
    </w:p>
    <w:p>
      <w:pPr>
        <w:spacing w:line="240" w:lineRule="auto" w:before="8"/>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2</w:t>
      </w:r>
      <w:r>
        <w:rPr/>
        <w:t>、对公司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年度财务报告审计的工作情况</w:t>
      </w:r>
      <w:r>
        <w:rPr>
          <w:b w:val="0"/>
          <w:bCs w:val="0"/>
        </w:rPr>
      </w:r>
    </w:p>
    <w:p>
      <w:pPr>
        <w:spacing w:line="240" w:lineRule="auto" w:before="2"/>
        <w:rPr>
          <w:rFonts w:ascii="宋体" w:hAnsi="宋体" w:cs="宋体" w:eastAsia="宋体" w:hint="default"/>
          <w:b/>
          <w:bCs/>
          <w:sz w:val="33"/>
          <w:szCs w:val="33"/>
        </w:rPr>
      </w:pPr>
    </w:p>
    <w:p>
      <w:pPr>
        <w:pStyle w:val="BodyText"/>
        <w:spacing w:line="240" w:lineRule="auto"/>
        <w:ind w:left="618" w:right="100"/>
        <w:jc w:val="left"/>
      </w:pPr>
      <w:r>
        <w:rPr/>
        <w:t>（</w:t>
      </w:r>
      <w:r>
        <w:rPr>
          <w:rFonts w:ascii="Times New Roman" w:hAnsi="Times New Roman" w:cs="Times New Roman" w:eastAsia="Times New Roman" w:hint="default"/>
        </w:rPr>
        <w:t>1</w:t>
      </w:r>
      <w:r>
        <w:rPr/>
        <w:t>）确定总体审计计划</w:t>
      </w:r>
    </w:p>
    <w:p>
      <w:pPr>
        <w:pStyle w:val="BodyText"/>
        <w:spacing w:line="240" w:lineRule="auto" w:before="135"/>
        <w:ind w:left="618" w:right="10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30 </w:t>
      </w:r>
      <w:r>
        <w:rPr/>
        <w:t>日，审计委员会认真审阅了京都天华会计师事务所有限公司关</w:t>
      </w:r>
    </w:p>
    <w:p>
      <w:pPr>
        <w:spacing w:after="0" w:line="240" w:lineRule="auto"/>
        <w:jc w:val="left"/>
        <w:sectPr>
          <w:pgSz w:w="11910" w:h="16840"/>
          <w:pgMar w:header="884" w:footer="1173" w:top="1140" w:bottom="1360" w:left="1660" w:right="1180"/>
        </w:sectPr>
      </w:pPr>
    </w:p>
    <w:p>
      <w:pPr>
        <w:spacing w:line="240" w:lineRule="auto" w:before="6"/>
        <w:rPr>
          <w:rFonts w:ascii="宋体" w:hAnsi="宋体" w:cs="宋体" w:eastAsia="宋体" w:hint="default"/>
          <w:sz w:val="22"/>
          <w:szCs w:val="22"/>
        </w:rPr>
      </w:pPr>
    </w:p>
    <w:p>
      <w:pPr>
        <w:pStyle w:val="BodyText"/>
        <w:spacing w:line="240" w:lineRule="auto" w:before="26"/>
        <w:ind w:right="0"/>
        <w:jc w:val="both"/>
      </w:pPr>
      <w:r>
        <w:rPr/>
        <w:t>于对公司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0"/>
        </w:rPr>
        <w:t> </w:t>
      </w:r>
      <w:r>
        <w:rPr>
          <w:spacing w:val="-3"/>
        </w:rPr>
        <w:t>年度审计工作计划以及审计要点，与负责审计工作的会计师（以下称</w:t>
      </w:r>
    </w:p>
    <w:p>
      <w:pPr>
        <w:pStyle w:val="BodyText"/>
        <w:spacing w:line="338" w:lineRule="auto" w:before="135"/>
        <w:ind w:right="234"/>
        <w:jc w:val="both"/>
      </w:pPr>
      <w:r>
        <w:rPr>
          <w:spacing w:val="-5"/>
        </w:rPr>
        <w:t>“年审会计师”）就公司预审问题进行了沟通，并协商确定了公司</w:t>
      </w:r>
      <w:r>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0"/>
        </w:rPr>
        <w:t> </w:t>
      </w:r>
      <w:r>
        <w:rPr/>
        <w:t>年度财务及 相关专项报告审计工作的时间安排和审计方案。</w:t>
      </w:r>
    </w:p>
    <w:p>
      <w:pPr>
        <w:pStyle w:val="BodyText"/>
        <w:spacing w:line="338" w:lineRule="auto" w:before="55"/>
        <w:ind w:left="618" w:right="10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）对公司财务报告的两次审计意见 在年审会计师进场前，审计委员会审阅了公司财务部门编制的财务报表。</w:t>
      </w:r>
      <w:r>
        <w:rPr>
          <w:rFonts w:ascii="Times New Roman" w:hAnsi="Times New Roman" w:cs="Times New Roman" w:eastAsia="Times New Roman" w:hint="default"/>
        </w:rPr>
        <w:t>2012</w:t>
      </w:r>
    </w:p>
    <w:p>
      <w:pPr>
        <w:pStyle w:val="BodyText"/>
        <w:spacing w:line="350" w:lineRule="auto" w:before="27"/>
        <w:ind w:right="234"/>
        <w:jc w:val="both"/>
      </w:pP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3"/>
        </w:rPr>
        <w:t>日审计委员会就财务报表审阅的问题向财务部询问了相关情况，听取了财</w:t>
      </w:r>
      <w:r>
        <w:rPr/>
        <w:t> 务负责人对公司财务情况的汇报，认为：公司财务报表依照公司会计政策编制、会</w:t>
      </w:r>
      <w:r>
        <w:rPr>
          <w:spacing w:val="-75"/>
        </w:rPr>
        <w:t> </w:t>
      </w:r>
      <w:r>
        <w:rPr>
          <w:spacing w:val="-75"/>
        </w:rPr>
      </w:r>
      <w:r>
        <w:rPr/>
        <w:t>计政策运用恰当，会计估计合理，符合新企业会计准则及财政部发布的有关规定要</w:t>
      </w:r>
      <w:r>
        <w:rPr>
          <w:spacing w:val="-77"/>
        </w:rPr>
        <w:t> </w:t>
      </w:r>
      <w:r>
        <w:rPr>
          <w:spacing w:val="-77"/>
        </w:rPr>
      </w:r>
      <w:r>
        <w:rPr/>
        <w:t>求，审计委员会同意以此财务报表提交年审注册会计师开展审计工作。</w:t>
      </w:r>
    </w:p>
    <w:p>
      <w:pPr>
        <w:pStyle w:val="BodyText"/>
        <w:spacing w:line="348" w:lineRule="auto" w:before="43"/>
        <w:ind w:right="102" w:firstLine="479"/>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24</w:t>
      </w:r>
      <w:r>
        <w:rPr>
          <w:rFonts w:ascii="Times New Roman" w:hAnsi="Times New Roman" w:cs="Times New Roman" w:eastAsia="Times New Roman" w:hint="default"/>
          <w:spacing w:val="-13"/>
        </w:rPr>
        <w:t> </w:t>
      </w:r>
      <w:r>
        <w:rPr/>
        <w:t>日，年审会计师初步完成审计工作，形成初审意见，拟出具标 </w:t>
      </w:r>
      <w:r>
        <w:rPr>
          <w:spacing w:val="-2"/>
        </w:rPr>
        <w:t>准无保留意见的审计报告，认为“公司财务报表已经按照企业会计准则的规定编制，</w:t>
      </w:r>
      <w:r>
        <w:rPr>
          <w:spacing w:val="-117"/>
        </w:rPr>
        <w:t> </w:t>
      </w:r>
      <w:r>
        <w:rPr>
          <w:spacing w:val="-117"/>
        </w:rPr>
      </w:r>
      <w:r>
        <w:rPr/>
        <w:t>在所有重大方面公允反映了公司</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日的财务状况以及</w:t>
      </w:r>
      <w:r>
        <w:rPr>
          <w:spacing w:val="-5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9"/>
        </w:rPr>
        <w:t> </w:t>
      </w:r>
      <w:r>
        <w:rPr/>
        <w:t>年度的经 </w:t>
      </w:r>
      <w:r>
        <w:rPr>
          <w:spacing w:val="-6"/>
        </w:rPr>
        <w:t>营成果和现金流量”。审计委员会认真审阅了拟出具审计意见的财务报告，与年审会</w:t>
      </w:r>
      <w:r>
        <w:rPr>
          <w:spacing w:val="-86"/>
        </w:rPr>
        <w:t> </w:t>
      </w:r>
      <w:r>
        <w:rPr>
          <w:spacing w:val="-86"/>
        </w:rPr>
      </w:r>
      <w:r>
        <w:rPr/>
        <w:t>计师进行了讨论。</w:t>
      </w:r>
    </w:p>
    <w:p>
      <w:pPr>
        <w:pStyle w:val="BodyText"/>
        <w:spacing w:line="357" w:lineRule="auto" w:before="46"/>
        <w:ind w:right="228" w:firstLine="479"/>
        <w:jc w:val="left"/>
      </w:pPr>
      <w:r>
        <w:rPr/>
        <w:t>审计委员会审议后认为：公司财务报表已经按照企业会计准则的规定编制，在 所在重大方面公允反映了公司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t>日的财务状况以及</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年度的经营</w:t>
      </w:r>
    </w:p>
    <w:p>
      <w:pPr>
        <w:pStyle w:val="BodyText"/>
        <w:spacing w:line="338" w:lineRule="auto" w:before="5"/>
        <w:ind w:right="102"/>
        <w:jc w:val="left"/>
      </w:pPr>
      <w:r>
        <w:rPr>
          <w:spacing w:val="-3"/>
        </w:rPr>
        <w:t>成果和现金流量，同意年审会计师拟发表的标准无保留审计意见的</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年度财务报</w:t>
      </w:r>
      <w:r>
        <w:rPr>
          <w:spacing w:val="-105"/>
        </w:rPr>
        <w:t> </w:t>
      </w:r>
      <w:r>
        <w:rPr>
          <w:spacing w:val="-2"/>
        </w:rPr>
        <w:t>告，并提请董事审议。同时，会计师事务所按照计划如期完成了相关专项审核报告。</w:t>
      </w:r>
    </w:p>
    <w:p>
      <w:pPr>
        <w:pStyle w:val="BodyText"/>
        <w:spacing w:line="240" w:lineRule="auto" w:before="55"/>
        <w:ind w:left="618" w:right="100"/>
        <w:jc w:val="left"/>
      </w:pPr>
      <w:r>
        <w:rPr/>
        <w:t>（</w:t>
      </w:r>
      <w:r>
        <w:rPr>
          <w:rFonts w:ascii="Times New Roman" w:hAnsi="Times New Roman" w:cs="Times New Roman" w:eastAsia="Times New Roman" w:hint="default"/>
        </w:rPr>
        <w:t>3</w:t>
      </w:r>
      <w:r>
        <w:rPr/>
        <w:t>）对会计师事务所审计工作的督促情况</w:t>
      </w:r>
    </w:p>
    <w:p>
      <w:pPr>
        <w:pStyle w:val="BodyText"/>
        <w:spacing w:line="240" w:lineRule="auto" w:before="135"/>
        <w:ind w:left="618"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30 </w:t>
      </w:r>
      <w:r>
        <w:rPr/>
        <w:t>日</w:t>
      </w:r>
      <w:r>
        <w:rPr>
          <w:spacing w:val="-120"/>
        </w:rPr>
        <w:t>，</w:t>
      </w:r>
      <w:r>
        <w:rPr/>
        <w:t>审计委员会就年审关注的重点领域向年审会计师提出要求。</w:t>
      </w:r>
    </w:p>
    <w:p>
      <w:pPr>
        <w:pStyle w:val="BodyText"/>
        <w:spacing w:line="338" w:lineRule="auto" w:before="135"/>
        <w:ind w:right="236"/>
        <w:jc w:val="both"/>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2 </w:t>
      </w:r>
      <w:r>
        <w:rPr/>
        <w:t>月 </w:t>
      </w:r>
      <w:r>
        <w:rPr>
          <w:rFonts w:ascii="Times New Roman" w:hAnsi="Times New Roman" w:cs="Times New Roman" w:eastAsia="Times New Roman" w:hint="default"/>
        </w:rPr>
        <w:t>27</w:t>
      </w:r>
      <w:r>
        <w:rPr>
          <w:rFonts w:ascii="Times New Roman" w:hAnsi="Times New Roman" w:cs="Times New Roman" w:eastAsia="Times New Roman" w:hint="default"/>
          <w:spacing w:val="-14"/>
        </w:rPr>
        <w:t> </w:t>
      </w:r>
      <w:r>
        <w:rPr/>
        <w:t>日，审计委员会在审阅了拟出具初步审计意见的财务会计报表后与 年审会计师进行审计情况沟通，并交换了意见。</w:t>
      </w:r>
    </w:p>
    <w:p>
      <w:pPr>
        <w:pStyle w:val="BodyText"/>
        <w:spacing w:line="338" w:lineRule="auto" w:before="55"/>
        <w:ind w:right="219" w:firstLine="479"/>
        <w:jc w:val="left"/>
      </w:pPr>
      <w:r>
        <w:rPr/>
        <w:t>（</w:t>
      </w:r>
      <w:r>
        <w:rPr>
          <w:rFonts w:ascii="Times New Roman" w:hAnsi="Times New Roman" w:cs="Times New Roman" w:eastAsia="Times New Roman" w:hint="default"/>
        </w:rPr>
        <w:t>4</w:t>
      </w:r>
      <w:r>
        <w:rPr/>
        <w:t>）年审会计师从事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年公司审计工作的总结报告及下年度续聘年审会计 师的情况</w:t>
      </w:r>
    </w:p>
    <w:p>
      <w:pPr>
        <w:pStyle w:val="BodyText"/>
        <w:spacing w:line="338" w:lineRule="auto" w:before="55"/>
        <w:ind w:left="618" w:right="103"/>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spacing w:val="-13"/>
        </w:rPr>
        <w:t>日，审计委员会会议，审议通过了《关于续聘会计师事务所意见》。</w:t>
      </w:r>
      <w:r>
        <w:rPr/>
        <w:t> 审计委员会认为：京都天华会计师事务所有限公司具有证券审计从业资格，签</w:t>
      </w:r>
    </w:p>
    <w:p>
      <w:pPr>
        <w:pStyle w:val="BodyText"/>
        <w:spacing w:line="357" w:lineRule="auto" w:before="55"/>
        <w:ind w:right="175"/>
        <w:jc w:val="both"/>
      </w:pPr>
      <w:r>
        <w:rPr/>
        <w:t>字注册会计师和项目负责人具有相应的专业胜任能力，在执业过程中坚持以独立、</w:t>
      </w:r>
      <w:r>
        <w:rPr>
          <w:spacing w:val="-73"/>
        </w:rPr>
        <w:t> </w:t>
      </w:r>
      <w:r>
        <w:rPr>
          <w:spacing w:val="-73"/>
        </w:rPr>
      </w:r>
      <w:r>
        <w:rPr/>
        <w:t>客观、公正的态度进行审计，表现了良好的职业规范和精神，很好地履行了双方签</w:t>
      </w:r>
      <w:r>
        <w:rPr>
          <w:spacing w:val="-77"/>
        </w:rPr>
        <w:t> </w:t>
      </w:r>
      <w:r>
        <w:rPr>
          <w:spacing w:val="-77"/>
        </w:rPr>
      </w:r>
      <w:r>
        <w:rPr/>
        <w:t>订的《业务约定书》所规定的责任与义务，按时完成了公司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年年报审计工作。</w:t>
      </w:r>
    </w:p>
    <w:p>
      <w:pPr>
        <w:spacing w:after="0" w:line="357" w:lineRule="auto"/>
        <w:jc w:val="both"/>
        <w:sectPr>
          <w:pgSz w:w="11910" w:h="16840"/>
          <w:pgMar w:header="884" w:footer="1173" w:top="1140" w:bottom="1360" w:left="1660" w:right="1180"/>
        </w:sectPr>
      </w:pPr>
    </w:p>
    <w:p>
      <w:pPr>
        <w:spacing w:line="240" w:lineRule="auto" w:before="6"/>
        <w:rPr>
          <w:rFonts w:ascii="宋体" w:hAnsi="宋体" w:cs="宋体" w:eastAsia="宋体" w:hint="default"/>
          <w:sz w:val="22"/>
          <w:szCs w:val="22"/>
        </w:rPr>
      </w:pPr>
    </w:p>
    <w:p>
      <w:pPr>
        <w:pStyle w:val="BodyText"/>
        <w:spacing w:line="357" w:lineRule="auto" w:before="26"/>
        <w:ind w:right="232" w:firstLine="479"/>
        <w:jc w:val="both"/>
      </w:pPr>
      <w:r>
        <w:rPr/>
        <w:t>鉴于前述情况，审计委员会认为：聘任京都天华会计师事务所有限公司作为财 务审计机构，能够为我公司提供高质量的审计服务，因此审计委员会提议董事会提</w:t>
      </w:r>
      <w:r>
        <w:rPr>
          <w:spacing w:val="-77"/>
        </w:rPr>
        <w:t> </w:t>
      </w:r>
      <w:r>
        <w:rPr>
          <w:spacing w:val="-77"/>
        </w:rPr>
      </w:r>
      <w:r>
        <w:rPr/>
        <w:t>请股东大会续聘京都天华会计师事务所有限公司担任我公司</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年度审计机构。</w:t>
      </w:r>
    </w:p>
    <w:p>
      <w:pPr>
        <w:pStyle w:val="BodyText"/>
        <w:spacing w:line="338" w:lineRule="auto" w:before="5"/>
        <w:ind w:right="233" w:firstLine="479"/>
        <w:jc w:val="both"/>
      </w:pPr>
      <w:r>
        <w:rPr>
          <w:spacing w:val="-2"/>
        </w:rPr>
        <w:t>（</w:t>
      </w:r>
      <w:r>
        <w:rPr>
          <w:rFonts w:ascii="Times New Roman" w:hAnsi="Times New Roman" w:cs="Times New Roman" w:eastAsia="Times New Roman" w:hint="default"/>
          <w:spacing w:val="-2"/>
        </w:rPr>
        <w:t>5</w:t>
      </w:r>
      <w:r>
        <w:rPr>
          <w:spacing w:val="-2"/>
        </w:rPr>
        <w:t>）对公司内部控制的自我评价报告、公司控股股东及其他关联方占用资金情</w:t>
      </w:r>
      <w:r>
        <w:rPr/>
        <w:t> 况报告的审议情况</w:t>
      </w:r>
    </w:p>
    <w:p>
      <w:pPr>
        <w:pStyle w:val="BodyText"/>
        <w:spacing w:line="348" w:lineRule="auto" w:before="55"/>
        <w:ind w:right="236" w:firstLine="4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日，审计委员会召开会议审议通过了《关于公司控股股东及其他 关联方占用资金情况报告的审议意见》、《关于内部控制的自我评价报告的审议意</w:t>
      </w:r>
      <w:r>
        <w:rPr>
          <w:spacing w:val="-105"/>
        </w:rPr>
        <w:t> </w:t>
      </w:r>
      <w:r>
        <w:rPr>
          <w:spacing w:val="-105"/>
        </w:rPr>
      </w:r>
      <w:r>
        <w:rPr>
          <w:spacing w:val="-41"/>
        </w:rPr>
        <w:t>见》。</w:t>
      </w:r>
    </w:p>
    <w:p>
      <w:pPr>
        <w:pStyle w:val="BodyText"/>
        <w:spacing w:line="350" w:lineRule="auto" w:before="46"/>
        <w:ind w:right="235" w:firstLine="479"/>
        <w:jc w:val="both"/>
      </w:pPr>
      <w:r>
        <w:rPr/>
        <w:t>审计委员会认为：</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年度控股股东及其他关联方占用资金情况报告符合公司 的实际情况。公司内部控制体系符合公司目前经营管理需要，公司重点控制活动规</w:t>
      </w:r>
      <w:r>
        <w:rPr>
          <w:spacing w:val="-77"/>
        </w:rPr>
        <w:t> </w:t>
      </w:r>
      <w:r>
        <w:rPr>
          <w:spacing w:val="-77"/>
        </w:rPr>
      </w:r>
      <w:r>
        <w:rPr/>
        <w:t>范有效，公司内控制度的自我评价，真实客观地反映了内部控制运行情况，同意公</w:t>
      </w:r>
      <w:r>
        <w:rPr>
          <w:spacing w:val="-77"/>
        </w:rPr>
        <w:t> </w:t>
      </w:r>
      <w:r>
        <w:rPr>
          <w:spacing w:val="-77"/>
        </w:rPr>
      </w:r>
      <w:r>
        <w:rPr/>
        <w:t>司内部控制自我评价报告。</w:t>
      </w:r>
    </w:p>
    <w:p>
      <w:pPr>
        <w:spacing w:line="766" w:lineRule="exact" w:before="4"/>
        <w:ind w:left="618" w:right="112" w:hanging="480"/>
        <w:jc w:val="left"/>
        <w:rPr>
          <w:rFonts w:ascii="宋体" w:hAnsi="宋体" w:cs="宋体" w:eastAsia="宋体" w:hint="default"/>
          <w:sz w:val="24"/>
          <w:szCs w:val="24"/>
        </w:rPr>
      </w:pPr>
      <w:r>
        <w:rPr>
          <w:rFonts w:ascii="宋体" w:hAnsi="宋体" w:cs="宋体" w:eastAsia="宋体" w:hint="default"/>
          <w:b/>
          <w:bCs/>
          <w:sz w:val="24"/>
          <w:szCs w:val="24"/>
        </w:rPr>
        <w:t>（二）薪酬与考核委员会</w:t>
      </w:r>
      <w:r>
        <w:rPr>
          <w:rFonts w:ascii="宋体" w:hAnsi="宋体" w:cs="宋体" w:eastAsia="宋体" w:hint="default"/>
          <w:b/>
          <w:bCs/>
          <w:w w:val="99"/>
          <w:sz w:val="24"/>
          <w:szCs w:val="24"/>
        </w:rPr>
        <w:t> </w:t>
      </w:r>
      <w:r>
        <w:rPr>
          <w:rFonts w:ascii="宋体" w:hAnsi="宋体" w:cs="宋体" w:eastAsia="宋体" w:hint="default"/>
          <w:spacing w:val="-9"/>
          <w:sz w:val="24"/>
          <w:szCs w:val="24"/>
        </w:rPr>
        <w:t>薪酬与考核委员会现有委员董云庭先生（召集人）、谢德仁先生以及徐立新先生，</w:t>
      </w:r>
    </w:p>
    <w:p>
      <w:pPr>
        <w:pStyle w:val="BodyText"/>
        <w:spacing w:line="357" w:lineRule="auto" w:before="34"/>
        <w:ind w:right="100"/>
        <w:jc w:val="left"/>
      </w:pPr>
      <w:r>
        <w:rPr/>
        <w:t>共计三名，人员数目以及人员结构符合《公司章程》以及《公司薪酬与考核委员会</w:t>
      </w:r>
      <w:r>
        <w:rPr>
          <w:spacing w:val="-72"/>
        </w:rPr>
        <w:t> </w:t>
      </w:r>
      <w:r>
        <w:rPr>
          <w:spacing w:val="-72"/>
        </w:rPr>
      </w:r>
      <w:r>
        <w:rPr/>
        <w:t>实施细则》的要求。</w:t>
      </w:r>
    </w:p>
    <w:p>
      <w:pPr>
        <w:pStyle w:val="BodyText"/>
        <w:spacing w:line="240" w:lineRule="auto" w:before="36"/>
        <w:ind w:left="618" w:right="100"/>
        <w:jc w:val="left"/>
      </w:pPr>
      <w:r>
        <w:rPr/>
        <w:t>报告期内，薪酬与考核委员会召开了</w:t>
      </w:r>
      <w:r>
        <w:rPr>
          <w:spacing w:val="-60"/>
        </w:rPr>
        <w:t> </w:t>
      </w:r>
      <w:r>
        <w:rPr>
          <w:rFonts w:ascii="Times New Roman" w:hAnsi="Times New Roman" w:cs="Times New Roman" w:eastAsia="Times New Roman" w:hint="default"/>
        </w:rPr>
        <w:t>4 </w:t>
      </w:r>
      <w:r>
        <w:rPr/>
        <w:t>次会议，主要内容为：</w:t>
      </w:r>
    </w:p>
    <w:p>
      <w:pPr>
        <w:pStyle w:val="BodyText"/>
        <w:spacing w:line="355" w:lineRule="auto" w:before="135"/>
        <w:ind w:right="112"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17"/>
        </w:rPr>
        <w:t> </w:t>
      </w:r>
      <w:r>
        <w:rPr/>
        <w:t>日，第一届薪酬与考核委员会召开第</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次会议，会议主要内容 </w:t>
      </w:r>
      <w:r>
        <w:rPr>
          <w:spacing w:val="-6"/>
        </w:rPr>
        <w:t>为：形成《股票期权激励计划（草案）》，提交董事会审议；拟定激励对象名单，提</w:t>
      </w:r>
      <w:r>
        <w:rPr>
          <w:spacing w:val="-93"/>
        </w:rPr>
        <w:t> </w:t>
      </w:r>
      <w:r>
        <w:rPr>
          <w:spacing w:val="-93"/>
        </w:rPr>
      </w:r>
      <w:r>
        <w:rPr/>
        <w:t>交董事会审议。认为公司的股票期权激励计划有利于进一步完善北京超图软件股份</w:t>
      </w:r>
      <w:r>
        <w:rPr>
          <w:spacing w:val="-73"/>
        </w:rPr>
        <w:t> </w:t>
      </w:r>
      <w:r>
        <w:rPr>
          <w:spacing w:val="-73"/>
        </w:rPr>
      </w:r>
      <w:r>
        <w:rPr/>
        <w:t>有限公司的法人治理结构，促进公司建立、健全激励约束机制，充分调动公司高层</w:t>
      </w:r>
      <w:r>
        <w:rPr>
          <w:spacing w:val="-77"/>
        </w:rPr>
        <w:t> </w:t>
      </w:r>
      <w:r>
        <w:rPr>
          <w:spacing w:val="-77"/>
        </w:rPr>
      </w:r>
      <w:r>
        <w:rPr/>
        <w:t>管理人员及核心骨干员工的积极性，有效地将股东利益、公司利益和经营者个人利</w:t>
      </w:r>
      <w:r>
        <w:rPr>
          <w:spacing w:val="-77"/>
        </w:rPr>
        <w:t> </w:t>
      </w:r>
      <w:r>
        <w:rPr>
          <w:spacing w:val="-77"/>
        </w:rPr>
      </w:r>
      <w:r>
        <w:rPr>
          <w:spacing w:val="-12"/>
        </w:rPr>
        <w:t>益结合在一起，使各方共同关注公司的长远发展，符合《公司法》、《证券法》、《上</w:t>
      </w:r>
      <w:r>
        <w:rPr>
          <w:spacing w:val="-94"/>
        </w:rPr>
        <w:t> </w:t>
      </w:r>
      <w:r>
        <w:rPr>
          <w:spacing w:val="-94"/>
        </w:rPr>
      </w:r>
      <w:r>
        <w:rPr>
          <w:spacing w:val="-15"/>
        </w:rPr>
        <w:t>市公司股权激励管理办法（试行）》以及其他法律、法规、规范性文件和《公司章程》。</w:t>
      </w:r>
    </w:p>
    <w:p>
      <w:pPr>
        <w:pStyle w:val="BodyText"/>
        <w:spacing w:line="338" w:lineRule="auto" w:before="38"/>
        <w:ind w:right="232"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17"/>
        </w:rPr>
        <w:t> </w:t>
      </w:r>
      <w:r>
        <w:rPr/>
        <w:t>日，第一届薪酬与考核委员会召开第</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次会议，会议主要内容 为：根据第一届董事会第十二次会议通过的《</w:t>
      </w:r>
      <w:r>
        <w:rPr>
          <w:rFonts w:ascii="Times New Roman" w:hAnsi="Times New Roman" w:cs="Times New Roman" w:eastAsia="Times New Roman" w:hint="default"/>
        </w:rPr>
        <w:t>2010 </w:t>
      </w:r>
      <w:r>
        <w:rPr>
          <w:spacing w:val="-11"/>
        </w:rPr>
        <w:t>年高管议案》，</w:t>
      </w:r>
      <w:r>
        <w:rPr>
          <w:rFonts w:ascii="Times New Roman" w:hAnsi="Times New Roman" w:cs="Times New Roman" w:eastAsia="Times New Roman" w:hint="default"/>
          <w:spacing w:val="-11"/>
        </w:rPr>
        <w:t>2009</w:t>
      </w:r>
      <w:r>
        <w:rPr>
          <w:rFonts w:ascii="Times New Roman" w:hAnsi="Times New Roman" w:cs="Times New Roman" w:eastAsia="Times New Roman" w:hint="default"/>
          <w:spacing w:val="53"/>
        </w:rPr>
        <w:t> </w:t>
      </w:r>
      <w:r>
        <w:rPr/>
        <w:t>年度股东大 </w:t>
      </w:r>
      <w:r>
        <w:rPr>
          <w:spacing w:val="-1"/>
        </w:rPr>
        <w:t>会通过的《</w:t>
      </w:r>
      <w:r>
        <w:rPr>
          <w:rFonts w:ascii="Times New Roman" w:hAnsi="Times New Roman" w:cs="Times New Roman" w:eastAsia="Times New Roman" w:hint="default"/>
          <w:spacing w:val="-1"/>
        </w:rPr>
        <w:t>2010</w:t>
      </w:r>
      <w:r>
        <w:rPr>
          <w:rFonts w:ascii="Times New Roman" w:hAnsi="Times New Roman" w:cs="Times New Roman" w:eastAsia="Times New Roman" w:hint="default"/>
        </w:rPr>
        <w:t> </w:t>
      </w:r>
      <w:r>
        <w:rPr>
          <w:spacing w:val="-18"/>
        </w:rPr>
        <w:t>年董事薪酬议案》、《</w:t>
      </w:r>
      <w:r>
        <w:rPr>
          <w:rFonts w:ascii="Times New Roman" w:hAnsi="Times New Roman" w:cs="Times New Roman" w:eastAsia="Times New Roman" w:hint="default"/>
          <w:spacing w:val="-18"/>
        </w:rPr>
        <w:t>2010</w:t>
      </w:r>
      <w:r>
        <w:rPr>
          <w:rFonts w:ascii="Times New Roman" w:hAnsi="Times New Roman" w:cs="Times New Roman" w:eastAsia="Times New Roman" w:hint="default"/>
          <w:spacing w:val="16"/>
        </w:rPr>
        <w:t> </w:t>
      </w:r>
      <w:r>
        <w:rPr>
          <w:spacing w:val="-7"/>
        </w:rPr>
        <w:t>年监事薪酬议案》，结合公司实际，对公</w:t>
      </w:r>
      <w:r>
        <w:rPr/>
        <w:t> 司董监高</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spacing w:val="-3"/>
        </w:rPr>
        <w:t>年度的薪酬进行审核，认为薪酬的发放符合公司实际经营情况以及董</w:t>
      </w:r>
    </w:p>
    <w:p>
      <w:pPr>
        <w:spacing w:after="0" w:line="338" w:lineRule="auto"/>
        <w:jc w:val="both"/>
        <w:sectPr>
          <w:pgSz w:w="11910" w:h="16840"/>
          <w:pgMar w:header="884" w:footer="1173" w:top="1140" w:bottom="1360" w:left="1660" w:right="1180"/>
        </w:sectPr>
      </w:pPr>
    </w:p>
    <w:p>
      <w:pPr>
        <w:spacing w:line="240" w:lineRule="auto" w:before="6"/>
        <w:rPr>
          <w:rFonts w:ascii="宋体" w:hAnsi="宋体" w:cs="宋体" w:eastAsia="宋体" w:hint="default"/>
          <w:sz w:val="22"/>
          <w:szCs w:val="22"/>
        </w:rPr>
      </w:pPr>
    </w:p>
    <w:p>
      <w:pPr>
        <w:pStyle w:val="BodyText"/>
        <w:spacing w:line="240" w:lineRule="auto" w:before="26"/>
        <w:ind w:right="0"/>
        <w:jc w:val="both"/>
      </w:pPr>
      <w:r>
        <w:rPr/>
        <w:t>事会、股东会通过的薪酬方案，同意公司对董监高所发放的</w:t>
      </w:r>
      <w:r>
        <w:rPr>
          <w:spacing w:val="-8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4"/>
        </w:rPr>
        <w:t> </w:t>
      </w:r>
      <w:r>
        <w:rPr>
          <w:spacing w:val="-3"/>
        </w:rPr>
        <w:t>年度薪酬；审议了</w:t>
      </w:r>
    </w:p>
    <w:p>
      <w:pPr>
        <w:pStyle w:val="BodyText"/>
        <w:spacing w:line="338" w:lineRule="auto" w:before="135"/>
        <w:ind w:right="232"/>
        <w:jc w:val="both"/>
      </w:pPr>
      <w:r>
        <w:rPr>
          <w:spacing w:val="-2"/>
        </w:rPr>
        <w:t>《</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27"/>
        </w:rPr>
        <w:t> </w:t>
      </w:r>
      <w:r>
        <w:rPr>
          <w:spacing w:val="-3"/>
        </w:rPr>
        <w:t>年公司高管绩效管理制度》，认为该制度有利于调动高管人员的积极性、创</w:t>
      </w:r>
      <w:r>
        <w:rPr>
          <w:spacing w:val="-117"/>
        </w:rPr>
        <w:t> </w:t>
      </w:r>
      <w:r>
        <w:rPr>
          <w:spacing w:val="-117"/>
        </w:rPr>
      </w:r>
      <w:r>
        <w:rPr>
          <w:spacing w:val="-3"/>
        </w:rPr>
        <w:t>造性，有利于促进其勤勉尽责，但鉴于公司</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年度预算方案未正式批准，建议该 议案提交下次董事会审议。</w:t>
      </w:r>
    </w:p>
    <w:p>
      <w:pPr>
        <w:pStyle w:val="BodyText"/>
        <w:spacing w:line="240" w:lineRule="auto" w:before="55"/>
        <w:ind w:left="618" w:right="10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17"/>
        </w:rPr>
        <w:t> </w:t>
      </w:r>
      <w:r>
        <w:rPr/>
        <w:t>日，第二届薪酬与考核委员会第</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次会议召开，会议主要内容</w:t>
      </w:r>
    </w:p>
    <w:p>
      <w:pPr>
        <w:pStyle w:val="BodyText"/>
        <w:spacing w:line="348" w:lineRule="auto" w:before="135"/>
        <w:ind w:right="229"/>
        <w:jc w:val="both"/>
      </w:pPr>
      <w:r>
        <w:rPr>
          <w:spacing w:val="-3"/>
        </w:rPr>
        <w:t>为：讨论确认了董事和高管人员</w:t>
      </w:r>
      <w:r>
        <w:rPr>
          <w:spacing w:val="-6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7"/>
        </w:rPr>
        <w:t> </w:t>
      </w:r>
      <w:r>
        <w:rPr/>
        <w:t>年度的具体考核标准和方案；审查了公司董事 及高管人员半年度的履职情况；审查了公司董事及高管人员的半年度薪酬情况，认</w:t>
      </w:r>
      <w:r>
        <w:rPr>
          <w:spacing w:val="-70"/>
        </w:rPr>
        <w:t> </w:t>
      </w:r>
      <w:r>
        <w:rPr>
          <w:spacing w:val="-70"/>
        </w:rPr>
      </w:r>
      <w:r>
        <w:rPr/>
        <w:t>为符合公司实际经营情况以及公司薪酬制度。</w:t>
      </w:r>
    </w:p>
    <w:p>
      <w:pPr>
        <w:pStyle w:val="BodyText"/>
        <w:spacing w:line="240" w:lineRule="auto" w:before="46"/>
        <w:ind w:left="618"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5"/>
        </w:rPr>
        <w:t>日，第二届薪酬与考核委员会召开第二次会议，会议主要内容为：</w:t>
      </w:r>
    </w:p>
    <w:p>
      <w:pPr>
        <w:pStyle w:val="BodyText"/>
        <w:spacing w:line="240" w:lineRule="auto" w:before="135"/>
        <w:ind w:right="0"/>
        <w:jc w:val="both"/>
      </w:pPr>
      <w:r>
        <w:rPr/>
        <w:t>审议通过了人力资源部门提交的</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年董、监、高薪酬考核结果，认为公司董事、</w:t>
      </w:r>
    </w:p>
    <w:p>
      <w:pPr>
        <w:pStyle w:val="BodyText"/>
        <w:spacing w:line="338" w:lineRule="auto" w:before="135"/>
        <w:ind w:right="233"/>
        <w:jc w:val="both"/>
      </w:pPr>
      <w:r>
        <w:rPr>
          <w:spacing w:val="-5"/>
        </w:rPr>
        <w:t>监事、高管人员</w:t>
      </w:r>
      <w:r>
        <w:rPr>
          <w:spacing w:val="-7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0"/>
        </w:rPr>
        <w:t> </w:t>
      </w:r>
      <w:r>
        <w:rPr/>
        <w:t>年度薪酬体符合公司的总体薪酬方案，相应的报酬符合公司的 整体经营业绩和个人绩效。</w:t>
      </w:r>
    </w:p>
    <w:p>
      <w:pPr>
        <w:spacing w:line="766" w:lineRule="exact" w:before="16"/>
        <w:ind w:left="618" w:right="100" w:hanging="480"/>
        <w:jc w:val="left"/>
        <w:rPr>
          <w:rFonts w:ascii="宋体" w:hAnsi="宋体" w:cs="宋体" w:eastAsia="宋体" w:hint="default"/>
          <w:sz w:val="24"/>
          <w:szCs w:val="24"/>
        </w:rPr>
      </w:pPr>
      <w:r>
        <w:rPr>
          <w:rFonts w:ascii="宋体" w:hAnsi="宋体" w:cs="宋体" w:eastAsia="宋体" w:hint="default"/>
          <w:b/>
          <w:bCs/>
          <w:sz w:val="24"/>
          <w:szCs w:val="24"/>
        </w:rPr>
        <w:t>（三）提名委员会</w:t>
      </w:r>
      <w:r>
        <w:rPr>
          <w:rFonts w:ascii="宋体" w:hAnsi="宋体" w:cs="宋体" w:eastAsia="宋体" w:hint="default"/>
          <w:b/>
          <w:bCs/>
          <w:w w:val="99"/>
          <w:sz w:val="24"/>
          <w:szCs w:val="24"/>
        </w:rPr>
        <w:t> </w:t>
      </w:r>
      <w:r>
        <w:rPr>
          <w:rFonts w:ascii="宋体" w:hAnsi="宋体" w:cs="宋体" w:eastAsia="宋体" w:hint="default"/>
          <w:spacing w:val="-4"/>
          <w:sz w:val="24"/>
          <w:szCs w:val="24"/>
        </w:rPr>
        <w:t>第一届提名委员会委员为刘先林先生（召集人）、董云庭先生以及钟耳顺先生，</w:t>
      </w:r>
    </w:p>
    <w:p>
      <w:pPr>
        <w:pStyle w:val="BodyText"/>
        <w:spacing w:line="357" w:lineRule="auto" w:before="34"/>
        <w:ind w:right="102"/>
        <w:jc w:val="left"/>
      </w:pPr>
      <w:r>
        <w:rPr>
          <w:spacing w:val="-2"/>
        </w:rPr>
        <w:t>经第二届董事会选举，第二届提名委员会委员为董云庭先生（召集人）、王浩先生、</w:t>
      </w:r>
      <w:r>
        <w:rPr>
          <w:spacing w:val="-114"/>
        </w:rPr>
        <w:t> </w:t>
      </w:r>
      <w:r>
        <w:rPr>
          <w:spacing w:val="-114"/>
        </w:rPr>
      </w:r>
      <w:r>
        <w:rPr/>
        <w:t>钟耳顺先生，人员数目以及人员结构符合《公司章程》以及《公司提名委员会实施</w:t>
      </w:r>
      <w:r>
        <w:rPr>
          <w:spacing w:val="-76"/>
        </w:rPr>
        <w:t> </w:t>
      </w:r>
      <w:r>
        <w:rPr>
          <w:spacing w:val="-76"/>
        </w:rPr>
      </w:r>
      <w:r>
        <w:rPr/>
        <w:t>细则》的要求。</w:t>
      </w:r>
    </w:p>
    <w:p>
      <w:pPr>
        <w:pStyle w:val="BodyText"/>
        <w:spacing w:line="240" w:lineRule="auto" w:before="36"/>
        <w:ind w:left="618" w:right="100"/>
        <w:jc w:val="left"/>
      </w:pPr>
      <w:r>
        <w:rPr/>
        <w:t>报告期内，提名委员会召开了</w:t>
      </w:r>
      <w:r>
        <w:rPr>
          <w:spacing w:val="-60"/>
        </w:rPr>
        <w:t> </w:t>
      </w:r>
      <w:r>
        <w:rPr>
          <w:rFonts w:ascii="Times New Roman" w:hAnsi="Times New Roman" w:cs="Times New Roman" w:eastAsia="Times New Roman" w:hint="default"/>
        </w:rPr>
        <w:t>2 </w:t>
      </w:r>
      <w:r>
        <w:rPr/>
        <w:t>次会议。</w:t>
      </w:r>
    </w:p>
    <w:p>
      <w:pPr>
        <w:pStyle w:val="BodyText"/>
        <w:spacing w:line="352" w:lineRule="auto" w:before="135"/>
        <w:ind w:right="236"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17"/>
        </w:rPr>
        <w:t> </w:t>
      </w:r>
      <w:r>
        <w:rPr/>
        <w:t>日，第一届提名委员会第</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次会议召开，讨论通过以下事项： 同意刘先林先生提出不再作为公司第二届董事会独立董事候选人的报告；同意提名</w:t>
      </w:r>
      <w:r>
        <w:rPr>
          <w:spacing w:val="-77"/>
        </w:rPr>
        <w:t> </w:t>
      </w:r>
      <w:r>
        <w:rPr>
          <w:spacing w:val="-77"/>
        </w:rPr>
      </w:r>
      <w:r>
        <w:rPr/>
        <w:t>王浩先生、董云庭先生、谢德仁先生作为公司第二届董事会独立董事候选人；同意</w:t>
      </w:r>
      <w:r>
        <w:rPr>
          <w:spacing w:val="-77"/>
        </w:rPr>
        <w:t> </w:t>
      </w:r>
      <w:r>
        <w:rPr>
          <w:spacing w:val="-77"/>
        </w:rPr>
      </w:r>
      <w:r>
        <w:rPr/>
        <w:t>提名钟耳顺先生、宋关福先生、徐立新先生、高星先生、王康弘先生和王尔琪先生</w:t>
      </w:r>
      <w:r>
        <w:rPr>
          <w:spacing w:val="-77"/>
        </w:rPr>
        <w:t> </w:t>
      </w:r>
      <w:r>
        <w:rPr>
          <w:spacing w:val="-77"/>
        </w:rPr>
      </w:r>
      <w:r>
        <w:rPr/>
        <w:t>作为公司第二届董事会候选人。</w:t>
      </w:r>
    </w:p>
    <w:p>
      <w:pPr>
        <w:pStyle w:val="BodyText"/>
        <w:spacing w:line="350" w:lineRule="auto" w:before="41"/>
        <w:ind w:right="234" w:firstLine="479"/>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日，第二届提名委员会第</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次会议召开，与会委员认真听取了 相关人员的报告，研究了相关资料，决定向董事会提名宋关福先生为公司总经理，</w:t>
      </w:r>
      <w:r>
        <w:rPr>
          <w:spacing w:val="-73"/>
        </w:rPr>
        <w:t> </w:t>
      </w:r>
      <w:r>
        <w:rPr>
          <w:spacing w:val="-73"/>
        </w:rPr>
      </w:r>
      <w:r>
        <w:rPr/>
        <w:t>王康弘先生、王尔琪先生、梁军先生、龚娅杰女士、王继晖女士、杜庆娥女士为公</w:t>
      </w:r>
      <w:r>
        <w:rPr>
          <w:spacing w:val="-77"/>
        </w:rPr>
        <w:t> </w:t>
      </w:r>
      <w:r>
        <w:rPr>
          <w:spacing w:val="-77"/>
        </w:rPr>
      </w:r>
      <w:r>
        <w:rPr/>
        <w:t>司副总经理，鹿麒先生为公司财务总监，龚娅杰女士为公司董事会秘书。</w:t>
      </w:r>
    </w:p>
    <w:p>
      <w:pPr>
        <w:spacing w:after="0" w:line="350" w:lineRule="auto"/>
        <w:jc w:val="both"/>
        <w:sectPr>
          <w:pgSz w:w="11910" w:h="16840"/>
          <w:pgMar w:header="884" w:footer="1173" w:top="1140" w:bottom="1360" w:left="1660" w:right="1180"/>
        </w:sectPr>
      </w:pPr>
    </w:p>
    <w:p>
      <w:pPr>
        <w:spacing w:line="240" w:lineRule="auto" w:before="5"/>
        <w:rPr>
          <w:rFonts w:ascii="宋体" w:hAnsi="宋体" w:cs="宋体" w:eastAsia="宋体" w:hint="default"/>
          <w:sz w:val="23"/>
          <w:szCs w:val="23"/>
        </w:rPr>
      </w:pPr>
    </w:p>
    <w:p>
      <w:pPr>
        <w:pStyle w:val="Heading5"/>
        <w:spacing w:line="240" w:lineRule="auto" w:before="26"/>
        <w:ind w:right="0"/>
        <w:jc w:val="both"/>
        <w:rPr>
          <w:b w:val="0"/>
          <w:bCs w:val="0"/>
        </w:rPr>
      </w:pPr>
      <w:r>
        <w:rPr/>
        <w:t>（四）战略与发展委员会</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106" w:firstLine="479"/>
        <w:jc w:val="both"/>
      </w:pPr>
      <w:r>
        <w:rPr>
          <w:spacing w:val="-6"/>
        </w:rPr>
        <w:t>第一届战略与发展委员会为委员刘先林先生（召集人）、钟耳顺先生以及王尔琪</w:t>
      </w:r>
      <w:r>
        <w:rPr/>
        <w:t> </w:t>
      </w:r>
      <w:r>
        <w:rPr>
          <w:spacing w:val="-4"/>
        </w:rPr>
        <w:t>先生，经第二届董事会选举，第二届战略与发展委员会委员为王浩先生（召集人）、</w:t>
      </w:r>
      <w:r>
        <w:rPr>
          <w:spacing w:val="-93"/>
        </w:rPr>
        <w:t> </w:t>
      </w:r>
      <w:r>
        <w:rPr>
          <w:spacing w:val="-93"/>
        </w:rPr>
      </w:r>
      <w:r>
        <w:rPr/>
        <w:t>钟耳顺先生以及高星先生共计三名，人员数目以及人员结构符合《公司章程》以及</w:t>
      </w:r>
    </w:p>
    <w:p>
      <w:pPr>
        <w:pStyle w:val="BodyText"/>
        <w:spacing w:line="357" w:lineRule="auto" w:before="36"/>
        <w:ind w:left="618" w:right="3328" w:hanging="480"/>
        <w:jc w:val="left"/>
      </w:pPr>
      <w:r>
        <w:rPr/>
        <w:t>《公司战略与发展委员会实施细则》的要求。 报告期内，战略与发展委员会召开了</w:t>
      </w:r>
      <w:r>
        <w:rPr>
          <w:spacing w:val="-60"/>
        </w:rPr>
        <w:t> </w:t>
      </w:r>
      <w:r>
        <w:rPr>
          <w:rFonts w:ascii="Times New Roman" w:hAnsi="Times New Roman" w:cs="Times New Roman" w:eastAsia="Times New Roman" w:hint="default"/>
        </w:rPr>
        <w:t>2 </w:t>
      </w:r>
      <w:r>
        <w:rPr/>
        <w:t>次会议。</w:t>
      </w:r>
    </w:p>
    <w:p>
      <w:pPr>
        <w:pStyle w:val="BodyText"/>
        <w:spacing w:line="240" w:lineRule="auto" w:before="5"/>
        <w:ind w:left="618"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14</w:t>
      </w:r>
      <w:r>
        <w:rPr>
          <w:rFonts w:ascii="Times New Roman" w:hAnsi="Times New Roman" w:cs="Times New Roman" w:eastAsia="Times New Roman" w:hint="default"/>
          <w:spacing w:val="17"/>
        </w:rPr>
        <w:t> </w:t>
      </w:r>
      <w:r>
        <w:rPr/>
        <w:t>日，第一届战略与发展委员会第</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次会议召开，与会委员认真</w:t>
      </w:r>
    </w:p>
    <w:p>
      <w:pPr>
        <w:pStyle w:val="BodyText"/>
        <w:spacing w:line="350" w:lineRule="auto" w:before="136"/>
        <w:ind w:right="169"/>
        <w:jc w:val="both"/>
      </w:pPr>
      <w:r>
        <w:rPr/>
        <w:t>听取了公司相关人员的报告，研究了相关资料，经认真讨论，同意公司利用</w:t>
      </w:r>
      <w:r>
        <w:rPr>
          <w:spacing w:val="48"/>
        </w:rPr>
        <w:t> </w:t>
      </w:r>
      <w:r>
        <w:rPr>
          <w:rFonts w:ascii="Times New Roman" w:hAnsi="Times New Roman" w:cs="Times New Roman" w:eastAsia="Times New Roman" w:hint="default"/>
        </w:rPr>
        <w:t>18700</w:t>
      </w:r>
      <w:r>
        <w:rPr>
          <w:rFonts w:ascii="Times New Roman" w:hAnsi="Times New Roman" w:cs="Times New Roman" w:eastAsia="Times New Roman" w:hint="default"/>
          <w:spacing w:val="-57"/>
        </w:rPr>
        <w:t> </w:t>
      </w:r>
      <w:r>
        <w:rPr>
          <w:rFonts w:ascii="Times New Roman" w:hAnsi="Times New Roman" w:cs="Times New Roman" w:eastAsia="Times New Roman" w:hint="default"/>
          <w:spacing w:val="-57"/>
        </w:rPr>
      </w:r>
      <w:r>
        <w:rPr>
          <w:spacing w:val="-6"/>
        </w:rPr>
        <w:t>万元进行研发及办公用房的建设（主要为购置研发用房及装修建设），作为公司全国</w:t>
      </w:r>
      <w:r>
        <w:rPr>
          <w:spacing w:val="-86"/>
        </w:rPr>
        <w:t> </w:t>
      </w:r>
      <w:r>
        <w:rPr>
          <w:spacing w:val="-86"/>
        </w:rPr>
      </w:r>
      <w:r>
        <w:rPr/>
        <w:t>营运中枢，认为此项目是公司适用日益扩展的规模的需要，符合公司的发展战略，</w:t>
      </w:r>
      <w:r>
        <w:rPr>
          <w:spacing w:val="-77"/>
        </w:rPr>
        <w:t> </w:t>
      </w:r>
      <w:r>
        <w:rPr>
          <w:spacing w:val="-77"/>
        </w:rPr>
      </w:r>
      <w:r>
        <w:rPr/>
        <w:t>有利于公司提高公司营业效益。</w:t>
      </w:r>
    </w:p>
    <w:p>
      <w:pPr>
        <w:pStyle w:val="BodyText"/>
        <w:spacing w:line="240" w:lineRule="auto" w:before="43"/>
        <w:ind w:left="618"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6"/>
        </w:rPr>
        <w:t> </w:t>
      </w:r>
      <w:r>
        <w:rPr/>
        <w:t>月</w:t>
      </w:r>
      <w:r>
        <w:rPr>
          <w:spacing w:val="-44"/>
        </w:rPr>
        <w:t> </w:t>
      </w:r>
      <w:r>
        <w:rPr>
          <w:rFonts w:ascii="Times New Roman" w:hAnsi="Times New Roman" w:cs="Times New Roman" w:eastAsia="Times New Roman" w:hint="default"/>
        </w:rPr>
        <w:t>22</w:t>
      </w:r>
      <w:r>
        <w:rPr>
          <w:rFonts w:ascii="Times New Roman" w:hAnsi="Times New Roman" w:cs="Times New Roman" w:eastAsia="Times New Roman" w:hint="default"/>
          <w:spacing w:val="17"/>
        </w:rPr>
        <w:t> </w:t>
      </w:r>
      <w:r>
        <w:rPr/>
        <w:t>日，第二届战略与发展委员会第</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次会议召开，与会委员经认</w:t>
      </w:r>
    </w:p>
    <w:p>
      <w:pPr>
        <w:pStyle w:val="BodyText"/>
        <w:spacing w:line="240" w:lineRule="auto" w:before="135"/>
        <w:ind w:right="0"/>
        <w:jc w:val="both"/>
      </w:pPr>
      <w:r>
        <w:rPr/>
        <w:t>真讨论，同意公司关于使用 </w:t>
      </w:r>
      <w:r>
        <w:rPr>
          <w:rFonts w:ascii="Times New Roman" w:hAnsi="Times New Roman" w:cs="Times New Roman" w:eastAsia="Times New Roman" w:hint="default"/>
        </w:rPr>
        <w:t>2,305.89</w:t>
      </w:r>
      <w:r>
        <w:rPr>
          <w:rFonts w:ascii="Times New Roman" w:hAnsi="Times New Roman" w:cs="Times New Roman" w:eastAsia="Times New Roman" w:hint="default"/>
          <w:spacing w:val="-11"/>
        </w:rPr>
        <w:t> </w:t>
      </w:r>
      <w:r>
        <w:rPr/>
        <w:t>万元超募资金承接西安市数字化“城市管理”</w:t>
      </w:r>
    </w:p>
    <w:p>
      <w:pPr>
        <w:pStyle w:val="BodyText"/>
        <w:spacing w:line="338" w:lineRule="auto" w:before="135"/>
        <w:ind w:right="175"/>
        <w:jc w:val="both"/>
      </w:pPr>
      <w:r>
        <w:rPr/>
        <w:t>信息系统建设项目以及使用</w:t>
      </w:r>
      <w:r>
        <w:rPr>
          <w:spacing w:val="-54"/>
        </w:rPr>
        <w:t> </w:t>
      </w:r>
      <w:r>
        <w:rPr>
          <w:rFonts w:ascii="Times New Roman" w:hAnsi="Times New Roman" w:cs="Times New Roman" w:eastAsia="Times New Roman" w:hint="default"/>
        </w:rPr>
        <w:t>4,152.5</w:t>
      </w:r>
      <w:r>
        <w:rPr>
          <w:rFonts w:ascii="Times New Roman" w:hAnsi="Times New Roman" w:cs="Times New Roman" w:eastAsia="Times New Roman" w:hint="default"/>
          <w:spacing w:val="6"/>
        </w:rPr>
        <w:t> </w:t>
      </w:r>
      <w:r>
        <w:rPr>
          <w:spacing w:val="-4"/>
        </w:rPr>
        <w:t>万元超募资金建设成都技术中心，认为可以提升</w:t>
      </w:r>
      <w:r>
        <w:rPr/>
        <w:t> 公司效益，巩固公司市场优势地位。</w:t>
      </w:r>
    </w:p>
    <w:p>
      <w:pPr>
        <w:spacing w:line="240" w:lineRule="auto" w:before="5"/>
        <w:rPr>
          <w:rFonts w:ascii="宋体" w:hAnsi="宋体" w:cs="宋体" w:eastAsia="宋体" w:hint="default"/>
          <w:sz w:val="26"/>
          <w:szCs w:val="26"/>
        </w:rPr>
      </w:pPr>
    </w:p>
    <w:p>
      <w:pPr>
        <w:pStyle w:val="Heading3"/>
        <w:spacing w:line="240" w:lineRule="auto"/>
        <w:ind w:right="0"/>
        <w:jc w:val="both"/>
        <w:rPr>
          <w:b w:val="0"/>
          <w:bCs w:val="0"/>
        </w:rPr>
      </w:pPr>
      <w:bookmarkStart w:name="_TOC_250014" w:id="74"/>
      <w:r>
        <w:rPr/>
        <w:t>四、独立董事履行职责情况</w:t>
      </w:r>
      <w:bookmarkEnd w:id="74"/>
      <w:r>
        <w:rPr>
          <w:b w:val="0"/>
          <w:bCs w:val="0"/>
        </w:rPr>
      </w:r>
    </w:p>
    <w:p>
      <w:pPr>
        <w:spacing w:line="240" w:lineRule="auto" w:before="4"/>
        <w:rPr>
          <w:rFonts w:ascii="宋体" w:hAnsi="宋体" w:cs="宋体" w:eastAsia="宋体" w:hint="default"/>
          <w:b/>
          <w:bCs/>
          <w:sz w:val="35"/>
          <w:szCs w:val="35"/>
        </w:rPr>
      </w:pPr>
    </w:p>
    <w:p>
      <w:pPr>
        <w:pStyle w:val="BodyText"/>
        <w:spacing w:line="357" w:lineRule="auto"/>
        <w:ind w:right="169" w:firstLine="479"/>
        <w:jc w:val="both"/>
      </w:pPr>
      <w:r>
        <w:rPr>
          <w:spacing w:val="-12"/>
        </w:rPr>
        <w:t>报告期内，公司独立董事严格按照《公司章程》、《董事会议事规则》、《独立董</w:t>
      </w:r>
      <w:r>
        <w:rPr>
          <w:spacing w:val="2"/>
        </w:rPr>
        <w:t> </w:t>
      </w:r>
      <w:r>
        <w:rPr/>
        <w:t>事工作制度》等相关规定行使自己的权利，履行自己的义务。</w:t>
      </w:r>
    </w:p>
    <w:p>
      <w:pPr>
        <w:pStyle w:val="BodyText"/>
        <w:spacing w:line="338" w:lineRule="auto" w:before="36"/>
        <w:ind w:left="618" w:right="0"/>
        <w:jc w:val="left"/>
      </w:pPr>
      <w:r>
        <w:rPr>
          <w:rFonts w:ascii="Times New Roman" w:hAnsi="Times New Roman" w:cs="Times New Roman" w:eastAsia="Times New Roman" w:hint="default"/>
        </w:rPr>
        <w:t>1</w:t>
      </w:r>
      <w:r>
        <w:rPr/>
        <w:t>、独立董事工作情况 根据《公司章程》的规定，公司董事九名，其中独立董事三名，独立董事人数</w:t>
      </w:r>
    </w:p>
    <w:p>
      <w:pPr>
        <w:pStyle w:val="BodyText"/>
        <w:spacing w:line="357" w:lineRule="auto" w:before="55"/>
        <w:ind w:right="174"/>
        <w:jc w:val="both"/>
      </w:pPr>
      <w:r>
        <w:rPr/>
        <w:t>为董事会人数的三分之一，符合《公司法》以及《关于在上市公司建立独立董事制</w:t>
      </w:r>
      <w:r>
        <w:rPr>
          <w:spacing w:val="-77"/>
        </w:rPr>
        <w:t> </w:t>
      </w:r>
      <w:r>
        <w:rPr>
          <w:spacing w:val="-77"/>
        </w:rPr>
      </w:r>
      <w:r>
        <w:rPr/>
        <w:t>度的指导意见》的规定。公司第一届董事会独立董事为刘先林先生、董云庭先生以</w:t>
      </w:r>
      <w:r>
        <w:rPr>
          <w:spacing w:val="-73"/>
        </w:rPr>
        <w:t> </w:t>
      </w:r>
      <w:r>
        <w:rPr>
          <w:spacing w:val="-73"/>
        </w:rPr>
      </w:r>
      <w:r>
        <w:rPr/>
        <w:t>及谢德仁先生，第二届董事会独立董事为王浩先生、董云庭先生以及谢德仁先生，</w:t>
      </w:r>
      <w:r>
        <w:rPr>
          <w:spacing w:val="-76"/>
        </w:rPr>
        <w:t> </w:t>
      </w:r>
      <w:r>
        <w:rPr>
          <w:spacing w:val="-76"/>
        </w:rPr>
      </w:r>
      <w:r>
        <w:rPr>
          <w:spacing w:val="-6"/>
        </w:rPr>
        <w:t>各独立董事均能够严格按照《公司章程》、《独立董事工作制度》等相关规定，本着</w:t>
      </w:r>
      <w:r>
        <w:rPr>
          <w:spacing w:val="-92"/>
        </w:rPr>
        <w:t> </w:t>
      </w:r>
      <w:r>
        <w:rPr>
          <w:spacing w:val="-92"/>
        </w:rPr>
      </w:r>
      <w:r>
        <w:rPr/>
        <w:t>对公司以及股东负责的态度，勤勉尽责，积极出席相关会议，认真审议名项议案，</w:t>
      </w:r>
      <w:r>
        <w:rPr>
          <w:spacing w:val="-77"/>
        </w:rPr>
        <w:t> </w:t>
      </w:r>
      <w:r>
        <w:rPr>
          <w:spacing w:val="-77"/>
        </w:rPr>
      </w:r>
      <w:r>
        <w:rPr/>
        <w:t>客观发表自己的看法与建议。同时，各位独立董事积极了解公司运营、研发状况、</w:t>
      </w:r>
      <w:r>
        <w:rPr>
          <w:spacing w:val="-77"/>
        </w:rPr>
        <w:t> </w:t>
      </w:r>
      <w:r>
        <w:rPr>
          <w:spacing w:val="-77"/>
        </w:rPr>
      </w:r>
      <w:r>
        <w:rPr/>
        <w:t>内控建设状况以及董事会决议、股东会决议的执行情况，并运用自己的专业知识做</w:t>
      </w:r>
    </w:p>
    <w:p>
      <w:pPr>
        <w:spacing w:after="0" w:line="357" w:lineRule="auto"/>
        <w:jc w:val="both"/>
        <w:sectPr>
          <w:pgSz w:w="11910" w:h="16840"/>
          <w:pgMar w:header="884" w:footer="1173" w:top="1140" w:bottom="1360" w:left="1660" w:right="1240"/>
        </w:sectPr>
      </w:pPr>
    </w:p>
    <w:p>
      <w:pPr>
        <w:spacing w:line="240" w:lineRule="auto" w:before="6"/>
        <w:rPr>
          <w:rFonts w:ascii="宋体" w:hAnsi="宋体" w:cs="宋体" w:eastAsia="宋体" w:hint="default"/>
          <w:sz w:val="22"/>
          <w:szCs w:val="22"/>
        </w:rPr>
      </w:pPr>
    </w:p>
    <w:p>
      <w:pPr>
        <w:pStyle w:val="BodyText"/>
        <w:spacing w:line="357" w:lineRule="auto" w:before="26"/>
        <w:ind w:left="238" w:right="234"/>
        <w:jc w:val="both"/>
      </w:pPr>
      <w:r>
        <w:rPr/>
        <w:t>出独立、公正的判断。在报告期内，对公司股权激励事宜、关联交易、续聘审计机</w:t>
      </w:r>
      <w:r>
        <w:rPr>
          <w:spacing w:val="-74"/>
        </w:rPr>
        <w:t> </w:t>
      </w:r>
      <w:r>
        <w:rPr>
          <w:spacing w:val="-74"/>
        </w:rPr>
      </w:r>
      <w:r>
        <w:rPr/>
        <w:t>构、内控的自我评价、聘任高管成员等事项发表独立董事意见，不受公司和投股股</w:t>
      </w:r>
      <w:r>
        <w:rPr>
          <w:spacing w:val="-76"/>
        </w:rPr>
        <w:t> </w:t>
      </w:r>
      <w:r>
        <w:rPr>
          <w:spacing w:val="-76"/>
        </w:rPr>
      </w:r>
      <w:r>
        <w:rPr/>
        <w:t>东的影响，切实维护了中小股东的利益。</w:t>
      </w:r>
    </w:p>
    <w:p>
      <w:pPr>
        <w:pStyle w:val="BodyText"/>
        <w:spacing w:line="240" w:lineRule="auto" w:before="36"/>
        <w:ind w:left="718" w:right="0"/>
        <w:jc w:val="left"/>
      </w:pPr>
      <w:r>
        <w:rPr>
          <w:rFonts w:ascii="Times New Roman" w:hAnsi="Times New Roman" w:cs="Times New Roman" w:eastAsia="Times New Roman" w:hint="default"/>
        </w:rPr>
        <w:t>2</w:t>
      </w:r>
      <w:r>
        <w:rPr/>
        <w:t>、报告期内公司独立董事出席董事会情况</w:t>
      </w:r>
    </w:p>
    <w:p>
      <w:pPr>
        <w:spacing w:line="240" w:lineRule="auto" w:before="5"/>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217"/>
        <w:gridCol w:w="1217"/>
        <w:gridCol w:w="1078"/>
        <w:gridCol w:w="991"/>
        <w:gridCol w:w="1136"/>
        <w:gridCol w:w="708"/>
        <w:gridCol w:w="2177"/>
      </w:tblGrid>
      <w:tr>
        <w:trPr>
          <w:trHeight w:val="334" w:hRule="exact"/>
        </w:trPr>
        <w:tc>
          <w:tcPr>
            <w:tcW w:w="3512" w:type="dxa"/>
            <w:gridSpan w:val="3"/>
            <w:tcBorders>
              <w:top w:val="single" w:sz="12" w:space="0" w:color="000000"/>
              <w:left w:val="single" w:sz="12" w:space="0" w:color="000000"/>
              <w:bottom w:val="single" w:sz="6" w:space="0" w:color="000000"/>
              <w:right w:val="single" w:sz="6" w:space="0" w:color="000000"/>
            </w:tcBorders>
          </w:tcPr>
          <w:p>
            <w:pPr>
              <w:pStyle w:val="TableParagraph"/>
              <w:spacing w:line="262" w:lineRule="exact"/>
              <w:ind w:left="583" w:right="0"/>
              <w:jc w:val="left"/>
              <w:rPr>
                <w:rFonts w:ascii="宋体" w:hAnsi="宋体" w:cs="宋体" w:eastAsia="宋体" w:hint="default"/>
                <w:sz w:val="21"/>
                <w:szCs w:val="21"/>
              </w:rPr>
            </w:pPr>
            <w:r>
              <w:rPr>
                <w:rFonts w:ascii="宋体" w:hAnsi="宋体" w:cs="宋体" w:eastAsia="宋体" w:hint="default"/>
                <w:sz w:val="21"/>
                <w:szCs w:val="21"/>
              </w:rPr>
              <w:t>报告期内董事会召开次数</w:t>
            </w:r>
          </w:p>
        </w:tc>
        <w:tc>
          <w:tcPr>
            <w:tcW w:w="5012"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9</w:t>
            </w:r>
          </w:p>
        </w:tc>
      </w:tr>
      <w:tr>
        <w:trPr>
          <w:trHeight w:val="641" w:hRule="exact"/>
        </w:trPr>
        <w:tc>
          <w:tcPr>
            <w:tcW w:w="1217"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b/>
                <w:bCs/>
                <w:sz w:val="21"/>
                <w:szCs w:val="21"/>
              </w:rPr>
              <w:t>董事姓名</w:t>
            </w:r>
            <w:r>
              <w:rPr>
                <w:rFonts w:ascii="宋体" w:hAnsi="宋体" w:cs="宋体" w:eastAsia="宋体" w:hint="default"/>
                <w:sz w:val="21"/>
                <w:szCs w:val="21"/>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具体职务</w:t>
            </w:r>
            <w:r>
              <w:rPr>
                <w:rFonts w:ascii="宋体" w:hAnsi="宋体" w:cs="宋体" w:eastAsia="宋体" w:hint="default"/>
                <w:sz w:val="21"/>
                <w:szCs w:val="21"/>
              </w:rPr>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24" w:right="108" w:hanging="317"/>
              <w:jc w:val="left"/>
              <w:rPr>
                <w:rFonts w:ascii="宋体" w:hAnsi="宋体" w:cs="宋体" w:eastAsia="宋体" w:hint="default"/>
                <w:sz w:val="21"/>
                <w:szCs w:val="21"/>
              </w:rPr>
            </w:pPr>
            <w:r>
              <w:rPr>
                <w:rFonts w:ascii="宋体" w:hAnsi="宋体" w:cs="宋体" w:eastAsia="宋体" w:hint="default"/>
                <w:b/>
                <w:bCs/>
                <w:sz w:val="21"/>
                <w:szCs w:val="21"/>
              </w:rPr>
              <w:t>应出席次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70" w:right="170"/>
              <w:jc w:val="left"/>
              <w:rPr>
                <w:rFonts w:ascii="宋体" w:hAnsi="宋体" w:cs="宋体" w:eastAsia="宋体" w:hint="default"/>
                <w:sz w:val="21"/>
                <w:szCs w:val="21"/>
              </w:rPr>
            </w:pPr>
            <w:r>
              <w:rPr>
                <w:rFonts w:ascii="宋体" w:hAnsi="宋体" w:cs="宋体" w:eastAsia="宋体" w:hint="default"/>
                <w:b/>
                <w:bCs/>
                <w:sz w:val="21"/>
                <w:szCs w:val="21"/>
              </w:rPr>
              <w:t>亲自出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48" w:right="137" w:hanging="212"/>
              <w:jc w:val="left"/>
              <w:rPr>
                <w:rFonts w:ascii="宋体" w:hAnsi="宋体" w:cs="宋体" w:eastAsia="宋体" w:hint="default"/>
                <w:sz w:val="21"/>
                <w:szCs w:val="21"/>
              </w:rPr>
            </w:pPr>
            <w:r>
              <w:rPr>
                <w:rFonts w:ascii="宋体" w:hAnsi="宋体" w:cs="宋体" w:eastAsia="宋体" w:hint="default"/>
                <w:b/>
                <w:bCs/>
                <w:sz w:val="21"/>
                <w:szCs w:val="21"/>
              </w:rPr>
              <w:t>委托出席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34" w:right="134"/>
              <w:jc w:val="left"/>
              <w:rPr>
                <w:rFonts w:ascii="宋体" w:hAnsi="宋体" w:cs="宋体" w:eastAsia="宋体" w:hint="default"/>
                <w:sz w:val="21"/>
                <w:szCs w:val="21"/>
              </w:rPr>
            </w:pPr>
            <w:r>
              <w:rPr>
                <w:rFonts w:ascii="宋体" w:hAnsi="宋体" w:cs="宋体" w:eastAsia="宋体" w:hint="default"/>
                <w:b/>
                <w:bCs/>
                <w:sz w:val="21"/>
                <w:szCs w:val="21"/>
              </w:rPr>
              <w:t>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2177"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659" w:right="122" w:hanging="528"/>
              <w:jc w:val="left"/>
              <w:rPr>
                <w:rFonts w:ascii="宋体" w:hAnsi="宋体" w:cs="宋体" w:eastAsia="宋体" w:hint="default"/>
                <w:sz w:val="21"/>
                <w:szCs w:val="21"/>
              </w:rPr>
            </w:pPr>
            <w:r>
              <w:rPr>
                <w:rFonts w:ascii="宋体" w:hAnsi="宋体" w:cs="宋体" w:eastAsia="宋体" w:hint="default"/>
                <w:b/>
                <w:bCs/>
                <w:sz w:val="21"/>
                <w:szCs w:val="21"/>
              </w:rPr>
              <w:t>是否连续两次未亲自</w:t>
            </w:r>
            <w:r>
              <w:rPr>
                <w:rFonts w:ascii="宋体" w:hAnsi="宋体" w:cs="宋体" w:eastAsia="宋体" w:hint="default"/>
                <w:b/>
                <w:bCs/>
                <w:spacing w:val="-103"/>
                <w:sz w:val="21"/>
                <w:szCs w:val="21"/>
              </w:rPr>
              <w:t> </w:t>
            </w:r>
            <w:r>
              <w:rPr>
                <w:rFonts w:ascii="宋体" w:hAnsi="宋体" w:cs="宋体" w:eastAsia="宋体" w:hint="default"/>
                <w:b/>
                <w:bCs/>
                <w:sz w:val="21"/>
                <w:szCs w:val="21"/>
              </w:rPr>
              <w:t>出席会议</w:t>
            </w:r>
            <w:r>
              <w:rPr>
                <w:rFonts w:ascii="宋体" w:hAnsi="宋体" w:cs="宋体" w:eastAsia="宋体" w:hint="default"/>
                <w:sz w:val="21"/>
                <w:szCs w:val="21"/>
              </w:rPr>
            </w:r>
          </w:p>
        </w:tc>
      </w:tr>
      <w:tr>
        <w:trPr>
          <w:trHeight w:val="326" w:hRule="exact"/>
        </w:trPr>
        <w:tc>
          <w:tcPr>
            <w:tcW w:w="121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刘先林</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34"/>
              <w:jc w:val="right"/>
              <w:rPr>
                <w:rFonts w:ascii="Times New Roman" w:hAnsi="Times New Roman" w:cs="Times New Roman" w:eastAsia="Times New Roman" w:hint="default"/>
                <w:sz w:val="21"/>
                <w:szCs w:val="21"/>
              </w:rPr>
            </w:pPr>
            <w:r>
              <w:rPr>
                <w:rFonts w:ascii="Times New Roman"/>
                <w:w w:val="100"/>
                <w:sz w:val="21"/>
              </w:rPr>
              <w:t>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177"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7" w:hRule="exact"/>
        </w:trPr>
        <w:tc>
          <w:tcPr>
            <w:tcW w:w="121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王浩</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34"/>
              <w:jc w:val="right"/>
              <w:rPr>
                <w:rFonts w:ascii="Times New Roman" w:hAnsi="Times New Roman" w:cs="Times New Roman" w:eastAsia="Times New Roman" w:hint="default"/>
                <w:sz w:val="21"/>
                <w:szCs w:val="21"/>
              </w:rPr>
            </w:pPr>
            <w:r>
              <w:rPr>
                <w:rFonts w:ascii="Times New Roman"/>
                <w:w w:val="100"/>
                <w:sz w:val="21"/>
              </w:rPr>
              <w:t>5</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177" w:type="dxa"/>
            <w:tcBorders>
              <w:top w:val="single" w:sz="6" w:space="0" w:color="000000"/>
              <w:left w:val="single" w:sz="6" w:space="0" w:color="000000"/>
              <w:bottom w:val="single" w:sz="6" w:space="0" w:color="000000"/>
              <w:right w:val="single" w:sz="12" w:space="0" w:color="000000"/>
            </w:tcBorders>
          </w:tcPr>
          <w:p>
            <w:pPr/>
          </w:p>
        </w:tc>
      </w:tr>
      <w:tr>
        <w:trPr>
          <w:trHeight w:val="326" w:hRule="exact"/>
        </w:trPr>
        <w:tc>
          <w:tcPr>
            <w:tcW w:w="1217"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董云庭</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434"/>
              <w:jc w:val="right"/>
              <w:rPr>
                <w:rFonts w:ascii="Times New Roman" w:hAnsi="Times New Roman" w:cs="Times New Roman" w:eastAsia="Times New Roman" w:hint="default"/>
                <w:sz w:val="21"/>
                <w:szCs w:val="21"/>
              </w:rPr>
            </w:pPr>
            <w:r>
              <w:rPr>
                <w:rFonts w:ascii="Times New Roman"/>
                <w:w w:val="100"/>
                <w:sz w:val="21"/>
              </w:rPr>
              <w:t>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177"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6" w:hRule="exact"/>
        </w:trPr>
        <w:tc>
          <w:tcPr>
            <w:tcW w:w="1217" w:type="dxa"/>
            <w:tcBorders>
              <w:top w:val="single" w:sz="6" w:space="0" w:color="000000"/>
              <w:left w:val="single" w:sz="12" w:space="0" w:color="000000"/>
              <w:bottom w:val="single" w:sz="12" w:space="0" w:color="000000"/>
              <w:right w:val="single" w:sz="6"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谢德仁</w:t>
            </w:r>
          </w:p>
        </w:tc>
        <w:tc>
          <w:tcPr>
            <w:tcW w:w="1217" w:type="dxa"/>
            <w:tcBorders>
              <w:top w:val="single" w:sz="6" w:space="0" w:color="000000"/>
              <w:left w:val="single" w:sz="6" w:space="0" w:color="000000"/>
              <w:bottom w:val="single" w:sz="12"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9</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434"/>
              <w:jc w:val="right"/>
              <w:rPr>
                <w:rFonts w:ascii="Times New Roman" w:hAnsi="Times New Roman" w:cs="Times New Roman" w:eastAsia="Times New Roman" w:hint="default"/>
                <w:sz w:val="21"/>
                <w:szCs w:val="21"/>
              </w:rPr>
            </w:pPr>
            <w:r>
              <w:rPr>
                <w:rFonts w:ascii="Times New Roman"/>
                <w:w w:val="100"/>
                <w:sz w:val="21"/>
              </w:rPr>
              <w:t>9</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100"/>
                <w:sz w:val="21"/>
              </w:rPr>
              <w:t>0</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2177" w:type="dxa"/>
            <w:tcBorders>
              <w:top w:val="single" w:sz="6" w:space="0" w:color="000000"/>
              <w:left w:val="single" w:sz="6" w:space="0" w:color="000000"/>
              <w:bottom w:val="single" w:sz="12" w:space="0" w:color="000000"/>
              <w:right w:val="single" w:sz="12"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BodyText"/>
        <w:spacing w:line="338" w:lineRule="auto" w:before="39"/>
        <w:ind w:left="238" w:right="237" w:firstLine="479"/>
        <w:jc w:val="both"/>
      </w:pPr>
      <w:r>
        <w:rPr>
          <w:rFonts w:ascii="Times New Roman" w:hAnsi="Times New Roman" w:cs="Times New Roman" w:eastAsia="Times New Roman" w:hint="default"/>
          <w:spacing w:val="-3"/>
        </w:rPr>
        <w:t>3</w:t>
      </w:r>
      <w:r>
        <w:rPr>
          <w:spacing w:val="-3"/>
        </w:rPr>
        <w:t>、报告期内，公司独立董事对公司董事会的议案及公司其他事项均没有提出异</w:t>
      </w:r>
      <w:r>
        <w:rPr/>
        <w:t> 议。</w:t>
      </w:r>
    </w:p>
    <w:p>
      <w:pPr>
        <w:spacing w:line="240" w:lineRule="auto" w:before="5"/>
        <w:rPr>
          <w:rFonts w:ascii="宋体" w:hAnsi="宋体" w:cs="宋体" w:eastAsia="宋体" w:hint="default"/>
          <w:sz w:val="26"/>
          <w:szCs w:val="26"/>
        </w:rPr>
      </w:pPr>
    </w:p>
    <w:p>
      <w:pPr>
        <w:pStyle w:val="Heading3"/>
        <w:spacing w:line="240" w:lineRule="auto"/>
        <w:ind w:left="238" w:right="0"/>
        <w:jc w:val="left"/>
        <w:rPr>
          <w:b w:val="0"/>
          <w:bCs w:val="0"/>
        </w:rPr>
      </w:pPr>
      <w:bookmarkStart w:name="_TOC_250013" w:id="75"/>
      <w:r>
        <w:rPr/>
        <w:t>五、公司独立性情况</w:t>
      </w:r>
      <w:bookmarkEnd w:id="75"/>
      <w:r>
        <w:rPr>
          <w:b w:val="0"/>
          <w:bCs w:val="0"/>
        </w:rPr>
      </w:r>
    </w:p>
    <w:p>
      <w:pPr>
        <w:spacing w:line="240" w:lineRule="auto" w:before="4"/>
        <w:rPr>
          <w:rFonts w:ascii="宋体" w:hAnsi="宋体" w:cs="宋体" w:eastAsia="宋体" w:hint="default"/>
          <w:b/>
          <w:bCs/>
          <w:sz w:val="35"/>
          <w:szCs w:val="35"/>
        </w:rPr>
      </w:pPr>
    </w:p>
    <w:p>
      <w:pPr>
        <w:pStyle w:val="BodyText"/>
        <w:spacing w:line="357" w:lineRule="auto"/>
        <w:ind w:left="238" w:right="116" w:firstLine="479"/>
        <w:jc w:val="both"/>
      </w:pPr>
      <w:r>
        <w:rPr>
          <w:spacing w:val="-13"/>
        </w:rPr>
        <w:t>报告期内，公司严格按照《公司法》、《证券法》等有关法律法规的规定以及《公</w:t>
      </w:r>
      <w:r>
        <w:rPr/>
        <w:t> 司章程》的规定，规范运作，公司资产、人员、业务、财务、机构等方面与公司股</w:t>
      </w:r>
      <w:r>
        <w:rPr>
          <w:spacing w:val="-77"/>
        </w:rPr>
        <w:t> </w:t>
      </w:r>
      <w:r>
        <w:rPr>
          <w:spacing w:val="-77"/>
        </w:rPr>
      </w:r>
      <w:r>
        <w:rPr>
          <w:spacing w:val="-2"/>
        </w:rPr>
        <w:t>东完全分开，具有独立、完整的资产、业务体系以及直接面向市场独立经营的能力。</w:t>
      </w:r>
    </w:p>
    <w:p>
      <w:pPr>
        <w:spacing w:line="240" w:lineRule="auto" w:before="2"/>
        <w:rPr>
          <w:rFonts w:ascii="宋体" w:hAnsi="宋体" w:cs="宋体" w:eastAsia="宋体" w:hint="default"/>
          <w:sz w:val="25"/>
          <w:szCs w:val="25"/>
        </w:rPr>
      </w:pPr>
    </w:p>
    <w:p>
      <w:pPr>
        <w:pStyle w:val="Heading5"/>
        <w:spacing w:line="240" w:lineRule="auto"/>
        <w:ind w:left="238" w:right="0"/>
        <w:jc w:val="left"/>
        <w:rPr>
          <w:b w:val="0"/>
          <w:bCs w:val="0"/>
        </w:rPr>
      </w:pPr>
      <w:r>
        <w:rPr/>
        <w:t>（一）资产完整情况</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left="238" w:right="232" w:firstLine="479"/>
        <w:jc w:val="both"/>
      </w:pPr>
      <w:r>
        <w:rPr/>
        <w:t>公司拥有独立的与生产经营有关的房屋、机器设备以及商标、著作权等知识产 权的所有权或使用权，有独立的原材料采购和产品销售系统。</w:t>
      </w:r>
    </w:p>
    <w:p>
      <w:pPr>
        <w:spacing w:line="240" w:lineRule="auto" w:before="3"/>
        <w:rPr>
          <w:rFonts w:ascii="宋体" w:hAnsi="宋体" w:cs="宋体" w:eastAsia="宋体" w:hint="default"/>
          <w:sz w:val="25"/>
          <w:szCs w:val="25"/>
        </w:rPr>
      </w:pPr>
    </w:p>
    <w:p>
      <w:pPr>
        <w:pStyle w:val="Heading5"/>
        <w:spacing w:line="240" w:lineRule="auto"/>
        <w:ind w:left="238" w:right="0"/>
        <w:jc w:val="left"/>
        <w:rPr>
          <w:b w:val="0"/>
          <w:bCs w:val="0"/>
        </w:rPr>
      </w:pPr>
      <w:r>
        <w:rPr/>
        <w:t>（二）人员独立情况</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left="238" w:right="235" w:firstLine="479"/>
        <w:jc w:val="both"/>
      </w:pPr>
      <w:r>
        <w:rPr/>
        <w:t>公司已建立独立的人事档案、人事聘用和任免制度以及独立的工资管理制度， 根据《劳动法》和公司劳动管理制度等有关规定与公司员工签订劳动合同。</w:t>
      </w:r>
    </w:p>
    <w:p>
      <w:pPr>
        <w:pStyle w:val="BodyText"/>
        <w:spacing w:line="348" w:lineRule="auto" w:before="36"/>
        <w:ind w:left="238" w:right="237" w:firstLine="479"/>
        <w:jc w:val="both"/>
      </w:pPr>
      <w:r>
        <w:rPr/>
        <w:t>公司总经理、副总经理、财务负责人、董事会秘书等高级管理人员没有在持有 本公司</w:t>
      </w:r>
      <w:r>
        <w:rPr>
          <w:spacing w:val="-51"/>
        </w:rPr>
        <w:t> </w:t>
      </w:r>
      <w:r>
        <w:rPr>
          <w:rFonts w:ascii="Times New Roman" w:hAnsi="Times New Roman" w:cs="Times New Roman" w:eastAsia="Times New Roman" w:hint="default"/>
          <w:spacing w:val="-3"/>
        </w:rPr>
        <w:t>5%</w:t>
      </w:r>
      <w:r>
        <w:rPr>
          <w:spacing w:val="-3"/>
        </w:rPr>
        <w:t>以上股份的股东单位及其下属企业任职的情况，均专职在公司工作并领取</w:t>
      </w:r>
      <w:r>
        <w:rPr/>
        <w:t> 薪酬，未在与本公司业务相同或相近的其他企业任职。</w:t>
      </w:r>
    </w:p>
    <w:p>
      <w:pPr>
        <w:pStyle w:val="BodyText"/>
        <w:spacing w:line="240" w:lineRule="auto" w:before="46"/>
        <w:ind w:left="718" w:right="0"/>
        <w:jc w:val="left"/>
      </w:pPr>
      <w:r>
        <w:rPr/>
        <w:t>公司高级管理人员在本公司持股或控股的企业担任部分职务，具体情况见下：</w:t>
      </w:r>
    </w:p>
    <w:p>
      <w:pPr>
        <w:spacing w:after="0" w:line="240" w:lineRule="auto"/>
        <w:jc w:val="left"/>
        <w:sectPr>
          <w:pgSz w:w="11910" w:h="16840"/>
          <w:pgMar w:header="884" w:footer="1173" w:top="1140" w:bottom="1360" w:left="1560" w:right="1180"/>
        </w:sectPr>
      </w:pPr>
    </w:p>
    <w:p>
      <w:pPr>
        <w:spacing w:line="240" w:lineRule="auto" w:before="6"/>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1435"/>
        <w:gridCol w:w="2561"/>
        <w:gridCol w:w="4911"/>
      </w:tblGrid>
      <w:tr>
        <w:trPr>
          <w:trHeight w:val="384" w:hRule="exact"/>
        </w:trPr>
        <w:tc>
          <w:tcPr>
            <w:tcW w:w="143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56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left="431" w:right="0"/>
              <w:jc w:val="left"/>
              <w:rPr>
                <w:rFonts w:ascii="宋体" w:hAnsi="宋体" w:cs="宋体" w:eastAsia="宋体" w:hint="default"/>
                <w:sz w:val="21"/>
                <w:szCs w:val="21"/>
              </w:rPr>
            </w:pPr>
            <w:r>
              <w:rPr>
                <w:rFonts w:ascii="宋体" w:hAnsi="宋体" w:cs="宋体" w:eastAsia="宋体" w:hint="default"/>
                <w:b/>
                <w:bCs/>
                <w:sz w:val="21"/>
                <w:szCs w:val="21"/>
              </w:rPr>
              <w:t>在本公司任职情况</w:t>
            </w:r>
            <w:r>
              <w:rPr>
                <w:rFonts w:ascii="宋体" w:hAnsi="宋体" w:cs="宋体" w:eastAsia="宋体" w:hint="default"/>
                <w:sz w:val="21"/>
                <w:szCs w:val="21"/>
              </w:rPr>
            </w:r>
          </w:p>
        </w:tc>
        <w:tc>
          <w:tcPr>
            <w:tcW w:w="491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1502" w:right="0"/>
              <w:jc w:val="left"/>
              <w:rPr>
                <w:rFonts w:ascii="宋体" w:hAnsi="宋体" w:cs="宋体" w:eastAsia="宋体" w:hint="default"/>
                <w:sz w:val="21"/>
                <w:szCs w:val="21"/>
              </w:rPr>
            </w:pPr>
            <w:r>
              <w:rPr>
                <w:rFonts w:ascii="宋体" w:hAnsi="宋体" w:cs="宋体" w:eastAsia="宋体" w:hint="default"/>
                <w:b/>
                <w:bCs/>
                <w:sz w:val="21"/>
                <w:szCs w:val="21"/>
              </w:rPr>
              <w:t>在其他单位任职情况</w:t>
            </w:r>
            <w:r>
              <w:rPr>
                <w:rFonts w:ascii="宋体" w:hAnsi="宋体" w:cs="宋体" w:eastAsia="宋体" w:hint="default"/>
                <w:sz w:val="21"/>
                <w:szCs w:val="21"/>
              </w:rPr>
            </w:r>
          </w:p>
        </w:tc>
      </w:tr>
      <w:tr>
        <w:trPr>
          <w:trHeight w:val="109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2"/>
              <w:ind w:left="100" w:right="160"/>
              <w:jc w:val="both"/>
              <w:rPr>
                <w:rFonts w:ascii="宋体" w:hAnsi="宋体" w:cs="宋体" w:eastAsia="宋体" w:hint="default"/>
                <w:sz w:val="21"/>
                <w:szCs w:val="21"/>
              </w:rPr>
            </w:pPr>
            <w:r>
              <w:rPr>
                <w:rFonts w:ascii="宋体" w:hAnsi="宋体" w:cs="宋体" w:eastAsia="宋体" w:hint="default"/>
                <w:spacing w:val="-2"/>
                <w:sz w:val="21"/>
                <w:szCs w:val="21"/>
              </w:rPr>
              <w:t>超图国际董事长、日本超图董事、浙江中科数城软</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件有限公司董事、北京国遥新天地信息技术有限公</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司董事</w:t>
            </w:r>
          </w:p>
        </w:tc>
      </w:tr>
      <w:tr>
        <w:trPr>
          <w:trHeight w:val="109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宋关福</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2"/>
              <w:ind w:left="100" w:right="83"/>
              <w:jc w:val="both"/>
              <w:rPr>
                <w:rFonts w:ascii="宋体" w:hAnsi="宋体" w:cs="宋体" w:eastAsia="宋体" w:hint="default"/>
                <w:sz w:val="21"/>
                <w:szCs w:val="21"/>
              </w:rPr>
            </w:pPr>
            <w:r>
              <w:rPr>
                <w:rFonts w:ascii="宋体" w:hAnsi="宋体" w:cs="宋体" w:eastAsia="宋体" w:hint="default"/>
                <w:spacing w:val="2"/>
                <w:sz w:val="21"/>
                <w:szCs w:val="21"/>
              </w:rPr>
              <w:t>超图信息监事，超图国际董事，日本超图董事，北</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2"/>
                <w:sz w:val="21"/>
                <w:szCs w:val="21"/>
              </w:rPr>
              <w:t>京国遥新天地信息技术有限公司董事、浙江中科数</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城软件有限公司董事</w:t>
            </w:r>
          </w:p>
        </w:tc>
      </w:tr>
      <w:tr>
        <w:trPr>
          <w:trHeight w:val="73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王尔琪</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314" w:lineRule="auto" w:before="42"/>
              <w:ind w:left="100" w:right="84"/>
              <w:jc w:val="left"/>
              <w:rPr>
                <w:rFonts w:ascii="宋体" w:hAnsi="宋体" w:cs="宋体" w:eastAsia="宋体" w:hint="default"/>
                <w:sz w:val="21"/>
                <w:szCs w:val="21"/>
              </w:rPr>
            </w:pPr>
            <w:r>
              <w:rPr>
                <w:rFonts w:ascii="宋体" w:hAnsi="宋体" w:cs="宋体" w:eastAsia="宋体" w:hint="default"/>
                <w:spacing w:val="2"/>
                <w:sz w:val="21"/>
                <w:szCs w:val="21"/>
              </w:rPr>
              <w:t>超图信息执行董事、总经理，北京国遥新天地信息</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技术有限公司监事</w:t>
            </w:r>
          </w:p>
        </w:tc>
      </w:tr>
      <w:tr>
        <w:trPr>
          <w:trHeight w:val="377"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5"/>
              <w:jc w:val="center"/>
              <w:rPr>
                <w:rFonts w:ascii="宋体" w:hAnsi="宋体" w:cs="宋体" w:eastAsia="宋体" w:hint="default"/>
                <w:sz w:val="21"/>
                <w:szCs w:val="21"/>
              </w:rPr>
            </w:pPr>
            <w:r>
              <w:rPr>
                <w:rFonts w:ascii="宋体" w:hAnsi="宋体" w:cs="宋体" w:eastAsia="宋体" w:hint="default"/>
                <w:sz w:val="21"/>
                <w:szCs w:val="21"/>
              </w:rPr>
              <w:t>王康弘</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梁军</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杜庆娥</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4"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王继晖</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7" w:hRule="exact"/>
        </w:trPr>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龚娅杰</w:t>
            </w:r>
          </w:p>
        </w:tc>
        <w:tc>
          <w:tcPr>
            <w:tcW w:w="2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副总经理、董事会秘书</w:t>
            </w:r>
          </w:p>
        </w:tc>
        <w:tc>
          <w:tcPr>
            <w:tcW w:w="491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9" w:hRule="exact"/>
        </w:trPr>
        <w:tc>
          <w:tcPr>
            <w:tcW w:w="14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5"/>
              <w:jc w:val="center"/>
              <w:rPr>
                <w:rFonts w:ascii="宋体" w:hAnsi="宋体" w:cs="宋体" w:eastAsia="宋体" w:hint="default"/>
                <w:sz w:val="21"/>
                <w:szCs w:val="21"/>
              </w:rPr>
            </w:pPr>
            <w:r>
              <w:rPr>
                <w:rFonts w:ascii="宋体" w:hAnsi="宋体" w:cs="宋体" w:eastAsia="宋体" w:hint="default"/>
                <w:sz w:val="21"/>
                <w:szCs w:val="21"/>
              </w:rPr>
              <w:t>鹿麒</w:t>
            </w:r>
          </w:p>
        </w:tc>
        <w:tc>
          <w:tcPr>
            <w:tcW w:w="25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491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7"/>
        <w:rPr>
          <w:rFonts w:ascii="宋体" w:hAnsi="宋体" w:cs="宋体" w:eastAsia="宋体" w:hint="default"/>
          <w:sz w:val="23"/>
          <w:szCs w:val="23"/>
        </w:rPr>
      </w:pPr>
    </w:p>
    <w:p>
      <w:pPr>
        <w:pStyle w:val="Heading5"/>
        <w:spacing w:line="240" w:lineRule="auto" w:before="26"/>
        <w:ind w:left="238" w:right="0"/>
        <w:jc w:val="both"/>
        <w:rPr>
          <w:b w:val="0"/>
          <w:bCs w:val="0"/>
        </w:rPr>
      </w:pPr>
      <w:r>
        <w:rPr/>
        <w:t>（三）业务独立情况</w:t>
      </w:r>
      <w:r>
        <w:rPr>
          <w:b w:val="0"/>
          <w:bCs w:val="0"/>
        </w:rPr>
      </w:r>
    </w:p>
    <w:p>
      <w:pPr>
        <w:spacing w:line="240" w:lineRule="auto" w:before="7"/>
        <w:rPr>
          <w:rFonts w:ascii="宋体" w:hAnsi="宋体" w:cs="宋体" w:eastAsia="宋体" w:hint="default"/>
          <w:b/>
          <w:bCs/>
          <w:sz w:val="34"/>
          <w:szCs w:val="34"/>
        </w:rPr>
      </w:pPr>
    </w:p>
    <w:p>
      <w:pPr>
        <w:pStyle w:val="BodyText"/>
        <w:spacing w:line="350" w:lineRule="auto"/>
        <w:ind w:left="238" w:right="254" w:firstLine="479"/>
        <w:jc w:val="both"/>
      </w:pPr>
      <w:r>
        <w:rPr/>
        <w:t>公司拥有独立完整的</w:t>
      </w:r>
      <w:r>
        <w:rPr>
          <w:spacing w:val="-49"/>
        </w:rPr>
        <w:t> </w:t>
      </w:r>
      <w:r>
        <w:rPr>
          <w:rFonts w:ascii="Times New Roman" w:hAnsi="Times New Roman" w:cs="Times New Roman" w:eastAsia="Times New Roman" w:hint="default"/>
        </w:rPr>
        <w:t>GIS</w:t>
      </w:r>
      <w:r>
        <w:rPr>
          <w:rFonts w:ascii="Times New Roman" w:hAnsi="Times New Roman" w:cs="Times New Roman" w:eastAsia="Times New Roman" w:hint="default"/>
          <w:spacing w:val="11"/>
        </w:rPr>
        <w:t> </w:t>
      </w:r>
      <w:r>
        <w:rPr/>
        <w:t>软件研发、推广和服务体系以及面向市场的独立经营 能力。而公司控股股东、实际控制人为自然人，且未在公司以外的企业拥有股权，</w:t>
      </w:r>
      <w:r>
        <w:rPr>
          <w:spacing w:val="-78"/>
        </w:rPr>
        <w:t> </w:t>
      </w:r>
      <w:r>
        <w:rPr>
          <w:spacing w:val="-78"/>
        </w:rPr>
      </w:r>
      <w:r>
        <w:rPr/>
        <w:t>因此公司的业务独立于控股股东、实际控制人，此外，控股股东已签署《避免同业</w:t>
      </w:r>
      <w:r>
        <w:rPr>
          <w:spacing w:val="-74"/>
        </w:rPr>
        <w:t> </w:t>
      </w:r>
      <w:r>
        <w:rPr>
          <w:spacing w:val="-74"/>
        </w:rPr>
      </w:r>
      <w:r>
        <w:rPr>
          <w:spacing w:val="-4"/>
        </w:rPr>
        <w:t>竞争承诺函》，公司与控股股东不存在同业竞争情况，也不存在关联交易。</w:t>
      </w:r>
    </w:p>
    <w:p>
      <w:pPr>
        <w:spacing w:line="768" w:lineRule="exact" w:before="2"/>
        <w:ind w:left="718" w:right="121" w:hanging="480"/>
        <w:jc w:val="left"/>
        <w:rPr>
          <w:rFonts w:ascii="宋体" w:hAnsi="宋体" w:cs="宋体" w:eastAsia="宋体" w:hint="default"/>
          <w:sz w:val="24"/>
          <w:szCs w:val="24"/>
        </w:rPr>
      </w:pPr>
      <w:r>
        <w:rPr>
          <w:rFonts w:ascii="宋体" w:hAnsi="宋体" w:cs="宋体" w:eastAsia="宋体" w:hint="default"/>
          <w:b/>
          <w:bCs/>
          <w:sz w:val="24"/>
          <w:szCs w:val="24"/>
        </w:rPr>
        <w:t>（四）财务独立情况</w:t>
      </w:r>
      <w:r>
        <w:rPr>
          <w:rFonts w:ascii="宋体" w:hAnsi="宋体" w:cs="宋体" w:eastAsia="宋体" w:hint="default"/>
          <w:b/>
          <w:bCs/>
          <w:w w:val="99"/>
          <w:sz w:val="24"/>
          <w:szCs w:val="24"/>
        </w:rPr>
        <w:t> </w:t>
      </w:r>
      <w:r>
        <w:rPr>
          <w:rFonts w:ascii="宋体" w:hAnsi="宋体" w:cs="宋体" w:eastAsia="宋体" w:hint="default"/>
          <w:sz w:val="24"/>
          <w:szCs w:val="24"/>
        </w:rPr>
        <w:t>公司设有独立的财务部门，有独立的财务核算体系，具有独立、规范的财务会</w:t>
      </w:r>
    </w:p>
    <w:p>
      <w:pPr>
        <w:pStyle w:val="BodyText"/>
        <w:spacing w:line="357" w:lineRule="auto" w:before="34"/>
        <w:ind w:left="238" w:right="252"/>
        <w:jc w:val="both"/>
      </w:pPr>
      <w:r>
        <w:rPr/>
        <w:t>计制度和对分公司、子公司的财务管理制度。公司开设有独立的银行账户，作为独</w:t>
      </w:r>
      <w:r>
        <w:rPr>
          <w:spacing w:val="-72"/>
        </w:rPr>
        <w:t> </w:t>
      </w:r>
      <w:r>
        <w:rPr>
          <w:spacing w:val="-72"/>
        </w:rPr>
      </w:r>
      <w:r>
        <w:rPr/>
        <w:t>立的纳税人，依法独立纳税。公司不存在为股东提供担保，也不存在资产、资金被</w:t>
      </w:r>
      <w:r>
        <w:rPr>
          <w:spacing w:val="-75"/>
        </w:rPr>
        <w:t> </w:t>
      </w:r>
      <w:r>
        <w:rPr>
          <w:spacing w:val="-75"/>
        </w:rPr>
      </w:r>
      <w:r>
        <w:rPr/>
        <w:t>股东占用或其它损害公司利益的情况。</w:t>
      </w:r>
    </w:p>
    <w:p>
      <w:pPr>
        <w:spacing w:line="240" w:lineRule="auto" w:before="2"/>
        <w:rPr>
          <w:rFonts w:ascii="宋体" w:hAnsi="宋体" w:cs="宋体" w:eastAsia="宋体" w:hint="default"/>
          <w:sz w:val="25"/>
          <w:szCs w:val="25"/>
        </w:rPr>
      </w:pPr>
    </w:p>
    <w:p>
      <w:pPr>
        <w:pStyle w:val="Heading5"/>
        <w:spacing w:line="240" w:lineRule="auto"/>
        <w:ind w:left="238" w:right="0"/>
        <w:jc w:val="both"/>
        <w:rPr>
          <w:b w:val="0"/>
          <w:bCs w:val="0"/>
        </w:rPr>
      </w:pPr>
      <w:r>
        <w:rPr/>
        <w:t>（五）机构独立情况</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left="238" w:right="256" w:firstLine="479"/>
        <w:jc w:val="both"/>
      </w:pPr>
      <w:r>
        <w:rPr/>
        <w:t>公司已建立了健全的现代企业管理制度，建立了适应自身发展需要的内部组织 机构，各职能机构在人员、办公场所和管理制度等各方面完全独立。公司按照《公</w:t>
      </w:r>
      <w:r>
        <w:rPr>
          <w:spacing w:val="-77"/>
        </w:rPr>
        <w:t> </w:t>
      </w:r>
      <w:r>
        <w:rPr>
          <w:spacing w:val="-77"/>
        </w:rPr>
      </w:r>
      <w:r>
        <w:rPr/>
        <w:t>司法》的要求，建立健全了股东大会、董事会、监事会和经营管理层各司其职的组</w:t>
      </w:r>
    </w:p>
    <w:p>
      <w:pPr>
        <w:spacing w:after="0" w:line="357" w:lineRule="auto"/>
        <w:jc w:val="both"/>
        <w:sectPr>
          <w:pgSz w:w="11910" w:h="16840"/>
          <w:pgMar w:header="884" w:footer="1173" w:top="1140" w:bottom="1360" w:left="1560" w:right="1160"/>
        </w:sectPr>
      </w:pPr>
    </w:p>
    <w:p>
      <w:pPr>
        <w:spacing w:line="240" w:lineRule="auto" w:before="6"/>
        <w:rPr>
          <w:rFonts w:ascii="宋体" w:hAnsi="宋体" w:cs="宋体" w:eastAsia="宋体" w:hint="default"/>
          <w:sz w:val="22"/>
          <w:szCs w:val="22"/>
        </w:rPr>
      </w:pPr>
    </w:p>
    <w:p>
      <w:pPr>
        <w:pStyle w:val="BodyText"/>
        <w:spacing w:line="357" w:lineRule="auto" w:before="26"/>
        <w:ind w:right="124"/>
        <w:jc w:val="left"/>
      </w:pPr>
      <w:r>
        <w:rPr/>
        <w:t>织结构体系，股东依照《公司法》和公司章程的规定提名董事参与公司的管理，并</w:t>
      </w:r>
      <w:r>
        <w:rPr>
          <w:spacing w:val="-77"/>
        </w:rPr>
        <w:t> </w:t>
      </w:r>
      <w:r>
        <w:rPr>
          <w:spacing w:val="-77"/>
        </w:rPr>
      </w:r>
      <w:r>
        <w:rPr/>
        <w:t>不直接干预公司的生产经营活动。</w:t>
      </w:r>
    </w:p>
    <w:p>
      <w:pPr>
        <w:spacing w:line="240" w:lineRule="auto" w:before="12"/>
        <w:rPr>
          <w:rFonts w:ascii="宋体" w:hAnsi="宋体" w:cs="宋体" w:eastAsia="宋体" w:hint="default"/>
          <w:sz w:val="24"/>
          <w:szCs w:val="24"/>
        </w:rPr>
      </w:pPr>
    </w:p>
    <w:p>
      <w:pPr>
        <w:pStyle w:val="Heading3"/>
        <w:spacing w:line="240" w:lineRule="auto"/>
        <w:ind w:right="124"/>
        <w:jc w:val="left"/>
        <w:rPr>
          <w:b w:val="0"/>
          <w:bCs w:val="0"/>
        </w:rPr>
      </w:pPr>
      <w:bookmarkStart w:name="_TOC_250012" w:id="76"/>
      <w:r>
        <w:rPr/>
        <w:t>六、公司内部控制制度的建立健全情况</w:t>
      </w:r>
      <w:bookmarkEnd w:id="76"/>
      <w:r>
        <w:rPr>
          <w:b w:val="0"/>
          <w:bCs w:val="0"/>
        </w:rPr>
      </w:r>
    </w:p>
    <w:p>
      <w:pPr>
        <w:spacing w:line="240" w:lineRule="auto" w:before="4"/>
        <w:rPr>
          <w:rFonts w:ascii="宋体" w:hAnsi="宋体" w:cs="宋体" w:eastAsia="宋体" w:hint="default"/>
          <w:b/>
          <w:bCs/>
          <w:sz w:val="35"/>
          <w:szCs w:val="35"/>
        </w:rPr>
      </w:pPr>
    </w:p>
    <w:p>
      <w:pPr>
        <w:pStyle w:val="BodyText"/>
        <w:spacing w:line="357" w:lineRule="auto"/>
        <w:ind w:right="132" w:firstLine="479"/>
        <w:jc w:val="both"/>
      </w:pPr>
      <w:r>
        <w:rPr>
          <w:spacing w:val="-12"/>
        </w:rPr>
        <w:t>公司严格按照《公司法》、《证券法》、《深圳证券交易所创业板股票上市规则》</w:t>
      </w:r>
      <w:r>
        <w:rPr/>
        <w:t> 以及中国证监会有关法律法规的要求，建立健全公司内部控制制度，不断完善公司</w:t>
      </w:r>
      <w:r>
        <w:rPr>
          <w:spacing w:val="-77"/>
        </w:rPr>
        <w:t> </w:t>
      </w:r>
      <w:r>
        <w:rPr>
          <w:spacing w:val="-77"/>
        </w:rPr>
      </w:r>
      <w:r>
        <w:rPr/>
        <w:t>法人治理结构。目前公司已建立起较为健全的内部控制制度体系，包括法人治理、</w:t>
      </w:r>
      <w:r>
        <w:rPr>
          <w:spacing w:val="-77"/>
        </w:rPr>
        <w:t> </w:t>
      </w:r>
      <w:r>
        <w:rPr>
          <w:spacing w:val="-77"/>
        </w:rPr>
      </w:r>
      <w:r>
        <w:rPr/>
        <w:t>经营管理、财务管理、行政及人才资源管理、信息披露等方面，基本涵盖了公司经</w:t>
      </w:r>
      <w:r>
        <w:rPr>
          <w:spacing w:val="-77"/>
        </w:rPr>
        <w:t> </w:t>
      </w:r>
      <w:r>
        <w:rPr>
          <w:spacing w:val="-77"/>
        </w:rPr>
      </w:r>
      <w:r>
        <w:rPr/>
        <w:t>营管理的各层面和各个主要环节。</w:t>
      </w:r>
    </w:p>
    <w:p>
      <w:pPr>
        <w:pStyle w:val="BodyText"/>
        <w:spacing w:line="357" w:lineRule="auto" w:before="36"/>
        <w:ind w:right="136" w:firstLine="479"/>
        <w:jc w:val="both"/>
      </w:pPr>
      <w:r>
        <w:rPr/>
        <w:t>通过对各项内控制度的健全与落实，公司的治理水平不断提高，经营和法律风 险得到有效控制，从而保证了经营效益的不断提高以及公司战略目标的实现。</w:t>
      </w:r>
    </w:p>
    <w:p>
      <w:pPr>
        <w:spacing w:line="240" w:lineRule="auto" w:before="2"/>
        <w:rPr>
          <w:rFonts w:ascii="宋体" w:hAnsi="宋体" w:cs="宋体" w:eastAsia="宋体" w:hint="default"/>
          <w:sz w:val="25"/>
          <w:szCs w:val="25"/>
        </w:rPr>
      </w:pPr>
    </w:p>
    <w:p>
      <w:pPr>
        <w:pStyle w:val="Heading5"/>
        <w:spacing w:line="240" w:lineRule="auto"/>
        <w:ind w:right="124"/>
        <w:jc w:val="left"/>
        <w:rPr>
          <w:b w:val="0"/>
          <w:bCs w:val="0"/>
        </w:rPr>
      </w:pPr>
      <w:r>
        <w:rPr/>
        <w:t>（一）公司法人治理方面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135" w:firstLine="479"/>
        <w:jc w:val="both"/>
      </w:pPr>
      <w:r>
        <w:rPr>
          <w:spacing w:val="-19"/>
        </w:rPr>
        <w:t>公司制定了《公司章程》、《股东大会议事规则》、《董事议事规则》、《监事会议</w:t>
      </w:r>
      <w:r>
        <w:rPr/>
        <w:t> </w:t>
      </w:r>
      <w:r>
        <w:rPr>
          <w:spacing w:val="-23"/>
        </w:rPr>
        <w:t>事规则》、《独立董事工作制度》、《总经理工作细则》、《董事会秘书工作细则》、《审</w:t>
      </w:r>
      <w:r>
        <w:rPr>
          <w:spacing w:val="-116"/>
        </w:rPr>
        <w:t> </w:t>
      </w:r>
      <w:r>
        <w:rPr>
          <w:spacing w:val="-116"/>
        </w:rPr>
      </w:r>
      <w:r>
        <w:rPr>
          <w:spacing w:val="-18"/>
        </w:rPr>
        <w:t>计委员会实施细则》、《薪酬与考核委员会实施细则》、《提名委员会实施细则》、《战</w:t>
      </w:r>
      <w:r>
        <w:rPr>
          <w:spacing w:val="-95"/>
        </w:rPr>
        <w:t> </w:t>
      </w:r>
      <w:r>
        <w:rPr>
          <w:spacing w:val="-95"/>
        </w:rPr>
      </w:r>
      <w:r>
        <w:rPr/>
        <w:t>略与发展委员会实施细则》有关制度，这些制度对完善公司治理结构，规范公司运</w:t>
      </w:r>
      <w:r>
        <w:rPr>
          <w:spacing w:val="-77"/>
        </w:rPr>
        <w:t> </w:t>
      </w:r>
      <w:r>
        <w:rPr>
          <w:spacing w:val="-77"/>
        </w:rPr>
      </w:r>
      <w:r>
        <w:rPr/>
        <w:t>作，提高公司决策水平以及保护中小投资者合法权益起到了重要作用。</w:t>
      </w:r>
    </w:p>
    <w:p>
      <w:pPr>
        <w:spacing w:line="240" w:lineRule="auto" w:before="2"/>
        <w:rPr>
          <w:rFonts w:ascii="宋体" w:hAnsi="宋体" w:cs="宋体" w:eastAsia="宋体" w:hint="default"/>
          <w:sz w:val="25"/>
          <w:szCs w:val="25"/>
        </w:rPr>
      </w:pPr>
    </w:p>
    <w:p>
      <w:pPr>
        <w:pStyle w:val="Heading5"/>
        <w:spacing w:line="240" w:lineRule="auto"/>
        <w:ind w:right="124"/>
        <w:jc w:val="left"/>
        <w:rPr>
          <w:b w:val="0"/>
          <w:bCs w:val="0"/>
        </w:rPr>
      </w:pPr>
      <w:r>
        <w:rPr/>
        <w:t>（二）公司经营管理方面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136" w:firstLine="479"/>
        <w:jc w:val="both"/>
      </w:pPr>
      <w:r>
        <w:rPr/>
        <w:t>公司的经营管理实行流程化管理，在制度各项制度的同时，将各制度转化成具 体的流程，大到管理、研发、销售，小到报销等，流程化的管理不仅提高了员工的</w:t>
      </w:r>
      <w:r>
        <w:rPr>
          <w:spacing w:val="-77"/>
        </w:rPr>
        <w:t> </w:t>
      </w:r>
      <w:r>
        <w:rPr>
          <w:spacing w:val="-77"/>
        </w:rPr>
      </w:r>
      <w:r>
        <w:rPr/>
        <w:t>工作效率，同进也促进了公司的风险防控能力。</w:t>
      </w:r>
    </w:p>
    <w:p>
      <w:pPr>
        <w:pStyle w:val="BodyText"/>
        <w:spacing w:line="357" w:lineRule="auto" w:before="36"/>
        <w:ind w:right="133" w:firstLine="479"/>
        <w:jc w:val="both"/>
      </w:pPr>
      <w:r>
        <w:rPr/>
        <w:t>同时，公司制定了《日常生产经营决策制度》以及《非日常经营交易事项决策 </w:t>
      </w:r>
      <w:r>
        <w:rPr>
          <w:spacing w:val="-6"/>
        </w:rPr>
        <w:t>制度》，使公司生产经营环节规范运作，以控制公司日常生产经营中的风险，促进公</w:t>
      </w:r>
      <w:r>
        <w:rPr>
          <w:spacing w:val="-90"/>
        </w:rPr>
        <w:t> </w:t>
      </w:r>
      <w:r>
        <w:rPr>
          <w:spacing w:val="-90"/>
        </w:rPr>
      </w:r>
      <w:r>
        <w:rPr/>
        <w:t>司健康稳定发展。</w:t>
      </w:r>
    </w:p>
    <w:p>
      <w:pPr>
        <w:spacing w:after="0" w:line="357" w:lineRule="auto"/>
        <w:jc w:val="both"/>
        <w:sectPr>
          <w:footerReference w:type="default" r:id="rId44"/>
          <w:pgSz w:w="11910" w:h="16840"/>
          <w:pgMar w:footer="1173" w:header="884" w:top="1140" w:bottom="1360" w:left="1660" w:right="1280"/>
        </w:sectPr>
      </w:pPr>
    </w:p>
    <w:p>
      <w:pPr>
        <w:spacing w:line="240" w:lineRule="auto" w:before="5"/>
        <w:rPr>
          <w:rFonts w:ascii="宋体" w:hAnsi="宋体" w:cs="宋体" w:eastAsia="宋体" w:hint="default"/>
          <w:sz w:val="23"/>
          <w:szCs w:val="23"/>
        </w:rPr>
      </w:pPr>
    </w:p>
    <w:p>
      <w:pPr>
        <w:pStyle w:val="Heading5"/>
        <w:spacing w:line="240" w:lineRule="auto" w:before="26"/>
        <w:ind w:right="100"/>
        <w:jc w:val="left"/>
        <w:rPr>
          <w:b w:val="0"/>
          <w:bCs w:val="0"/>
        </w:rPr>
      </w:pPr>
      <w:r>
        <w:rPr/>
        <w:t>（三）公司财务管理方面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30" w:firstLine="479"/>
        <w:jc w:val="both"/>
      </w:pPr>
      <w:r>
        <w:rPr/>
        <w:t>公司已基本建立了一套切合公司实际情况并合理可行的财务制度，包括《财务 管理制度》和《财务核算制度》并在实践中不断完善与补充。在财务管理和会计审</w:t>
      </w:r>
      <w:r>
        <w:rPr>
          <w:spacing w:val="-73"/>
        </w:rPr>
        <w:t> </w:t>
      </w:r>
      <w:r>
        <w:rPr>
          <w:spacing w:val="-73"/>
        </w:rPr>
      </w:r>
      <w:r>
        <w:rPr/>
        <w:t>核方面均设置了较为合理的岗位及其职责权限，并配备了相应的人员以保证财会工</w:t>
      </w:r>
      <w:r>
        <w:rPr>
          <w:spacing w:val="-77"/>
        </w:rPr>
        <w:t> </w:t>
      </w:r>
      <w:r>
        <w:rPr>
          <w:spacing w:val="-77"/>
        </w:rPr>
      </w:r>
      <w:r>
        <w:rPr/>
        <w:t>作的顺利开展，财务人员分工明确，相互制衡。</w:t>
      </w:r>
    </w:p>
    <w:p>
      <w:pPr>
        <w:pStyle w:val="BodyText"/>
        <w:spacing w:line="357" w:lineRule="auto" w:before="36"/>
        <w:ind w:right="100" w:firstLine="479"/>
        <w:jc w:val="left"/>
      </w:pPr>
      <w:r>
        <w:rPr>
          <w:spacing w:val="-6"/>
        </w:rPr>
        <w:t>公司制定了《内部审计制度》，并设立内部审计部门和内部审计人员，防控财务</w:t>
      </w:r>
      <w:r>
        <w:rPr/>
        <w:t> 风险。</w:t>
      </w:r>
    </w:p>
    <w:p>
      <w:pPr>
        <w:spacing w:line="240" w:lineRule="auto" w:before="3"/>
        <w:rPr>
          <w:rFonts w:ascii="宋体" w:hAnsi="宋体" w:cs="宋体" w:eastAsia="宋体" w:hint="default"/>
          <w:sz w:val="25"/>
          <w:szCs w:val="25"/>
        </w:rPr>
      </w:pPr>
    </w:p>
    <w:p>
      <w:pPr>
        <w:pStyle w:val="Heading5"/>
        <w:spacing w:line="240" w:lineRule="auto"/>
        <w:ind w:right="100"/>
        <w:jc w:val="left"/>
        <w:rPr>
          <w:b w:val="0"/>
          <w:bCs w:val="0"/>
        </w:rPr>
      </w:pPr>
      <w:r>
        <w:rPr/>
        <w:t>（四）信息披露管理方面</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right="100" w:firstLine="479"/>
        <w:jc w:val="left"/>
      </w:pPr>
      <w:r>
        <w:rPr>
          <w:spacing w:val="-3"/>
        </w:rPr>
        <w:t>公司制定了《信息披露管理办法》以及相关信息披露管理流程，确保公司及时、</w:t>
      </w:r>
      <w:r>
        <w:rPr/>
        <w:t> 准确、完整、真实的披露相关信息，确保公司广大投资者的知情权。</w:t>
      </w:r>
    </w:p>
    <w:p>
      <w:pPr>
        <w:pStyle w:val="BodyText"/>
        <w:spacing w:line="357" w:lineRule="auto" w:before="36"/>
        <w:ind w:right="104" w:firstLine="479"/>
        <w:jc w:val="left"/>
      </w:pPr>
      <w:r>
        <w:rPr>
          <w:spacing w:val="-15"/>
        </w:rPr>
        <w:t>公司制定了《年报信息披露重大差错责任追究制度》、《重大信息内部报告制度》，</w:t>
      </w:r>
      <w:r>
        <w:rPr/>
        <w:t> 进一步加大对公司信息披露责任人的问责力度，提高信息披露的质量和透明度，增</w:t>
      </w:r>
      <w:r>
        <w:rPr>
          <w:spacing w:val="-77"/>
        </w:rPr>
        <w:t> </w:t>
      </w:r>
      <w:r>
        <w:rPr>
          <w:spacing w:val="-77"/>
        </w:rPr>
      </w:r>
      <w:r>
        <w:rPr/>
        <w:t>强信息披露的真实性、准确性、完整性和及时性。</w:t>
      </w:r>
    </w:p>
    <w:p>
      <w:pPr>
        <w:pStyle w:val="BodyText"/>
        <w:spacing w:line="357" w:lineRule="auto" w:before="36"/>
        <w:ind w:right="100" w:firstLine="479"/>
        <w:jc w:val="left"/>
      </w:pPr>
      <w:r>
        <w:rPr/>
        <w:t>报告期内，公司未发生重大会计差错更正、重大遗漏信息补充以及业绩预告修 正等情况。</w:t>
      </w:r>
    </w:p>
    <w:p>
      <w:pPr>
        <w:spacing w:line="240" w:lineRule="auto" w:before="2"/>
        <w:rPr>
          <w:rFonts w:ascii="宋体" w:hAnsi="宋体" w:cs="宋体" w:eastAsia="宋体" w:hint="default"/>
          <w:sz w:val="25"/>
          <w:szCs w:val="25"/>
        </w:rPr>
      </w:pPr>
    </w:p>
    <w:p>
      <w:pPr>
        <w:pStyle w:val="Heading5"/>
        <w:spacing w:line="240" w:lineRule="auto"/>
        <w:ind w:right="100"/>
        <w:jc w:val="left"/>
        <w:rPr>
          <w:b w:val="0"/>
          <w:bCs w:val="0"/>
        </w:rPr>
      </w:pPr>
      <w:r>
        <w:rPr/>
        <w:t>（五）募集资金管理方面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100" w:firstLine="479"/>
        <w:jc w:val="left"/>
      </w:pPr>
      <w:r>
        <w:rPr>
          <w:spacing w:val="-6"/>
        </w:rPr>
        <w:t>为规范公司募集资金的管理和使用，维护全体股东的合法权益，公司制定了《募</w:t>
      </w:r>
      <w:r>
        <w:rPr/>
        <w:t> </w:t>
      </w:r>
      <w:r>
        <w:rPr>
          <w:spacing w:val="-9"/>
        </w:rPr>
        <w:t>集资金管理及使用制度》，对募集资金的存入、使用、管理和监督等进行了详细规定，</w:t>
      </w:r>
      <w:r>
        <w:rPr>
          <w:spacing w:val="-88"/>
        </w:rPr>
        <w:t> </w:t>
      </w:r>
      <w:r>
        <w:rPr>
          <w:spacing w:val="-88"/>
        </w:rPr>
      </w:r>
      <w:r>
        <w:rPr/>
        <w:t>并得到了切实的实施。</w:t>
      </w:r>
    </w:p>
    <w:p>
      <w:pPr>
        <w:pStyle w:val="BodyText"/>
        <w:spacing w:line="357" w:lineRule="auto" w:before="36"/>
        <w:ind w:right="100" w:firstLine="479"/>
        <w:jc w:val="left"/>
      </w:pPr>
      <w:r>
        <w:rPr/>
        <w:t>公司审计部每季度对公司的募集资金的管理进行内部审计，监督公司募集资金 的使用。</w:t>
      </w:r>
    </w:p>
    <w:p>
      <w:pPr>
        <w:spacing w:line="240" w:lineRule="auto" w:before="2"/>
        <w:rPr>
          <w:rFonts w:ascii="宋体" w:hAnsi="宋体" w:cs="宋体" w:eastAsia="宋体" w:hint="default"/>
          <w:sz w:val="25"/>
          <w:szCs w:val="25"/>
        </w:rPr>
      </w:pPr>
    </w:p>
    <w:p>
      <w:pPr>
        <w:pStyle w:val="Heading5"/>
        <w:spacing w:line="240" w:lineRule="auto"/>
        <w:ind w:right="100"/>
        <w:jc w:val="left"/>
        <w:rPr>
          <w:b w:val="0"/>
          <w:bCs w:val="0"/>
        </w:rPr>
      </w:pPr>
      <w:r>
        <w:rPr/>
        <w:t>（六）对外担保控制方面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36" w:firstLine="479"/>
        <w:jc w:val="both"/>
      </w:pPr>
      <w:r>
        <w:rPr/>
        <w:t>针对对外担保行为，除在《公司章程》严格规定审批程序以及审批权限以外， </w:t>
      </w:r>
      <w:r>
        <w:rPr>
          <w:spacing w:val="-6"/>
        </w:rPr>
        <w:t>公司制定了《对外担保制度》，明确规定对外担保的程序、风险控制以及信息披露等</w:t>
      </w:r>
      <w:r>
        <w:rPr>
          <w:spacing w:val="-90"/>
        </w:rPr>
        <w:t> </w:t>
      </w:r>
      <w:r>
        <w:rPr>
          <w:spacing w:val="-90"/>
        </w:rPr>
      </w:r>
      <w:r>
        <w:rPr/>
        <w:t>事宜。公司严格控制对外担保行为，报告期内没有发生对外担保事项。</w:t>
      </w:r>
    </w:p>
    <w:p>
      <w:pPr>
        <w:spacing w:after="0" w:line="357" w:lineRule="auto"/>
        <w:jc w:val="both"/>
        <w:sectPr>
          <w:footerReference w:type="default" r:id="rId45"/>
          <w:pgSz w:w="11910" w:h="16840"/>
          <w:pgMar w:footer="1173" w:header="884" w:top="1140" w:bottom="1360" w:left="1660" w:right="1180"/>
          <w:pgNumType w:start="91"/>
        </w:sectPr>
      </w:pPr>
    </w:p>
    <w:p>
      <w:pPr>
        <w:spacing w:line="240" w:lineRule="auto" w:before="5"/>
        <w:rPr>
          <w:rFonts w:ascii="宋体" w:hAnsi="宋体" w:cs="宋体" w:eastAsia="宋体" w:hint="default"/>
          <w:sz w:val="23"/>
          <w:szCs w:val="23"/>
        </w:rPr>
      </w:pPr>
    </w:p>
    <w:p>
      <w:pPr>
        <w:pStyle w:val="Heading5"/>
        <w:spacing w:line="240" w:lineRule="auto" w:before="26"/>
        <w:ind w:right="100"/>
        <w:jc w:val="left"/>
        <w:rPr>
          <w:b w:val="0"/>
          <w:bCs w:val="0"/>
        </w:rPr>
      </w:pPr>
      <w:r>
        <w:rPr/>
        <w:t>（七）关联交易控制方面</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36" w:firstLine="479"/>
        <w:jc w:val="both"/>
      </w:pPr>
      <w:r>
        <w:rPr>
          <w:spacing w:val="-6"/>
        </w:rPr>
        <w:t>公司制定了《关联交易决策制度》，对关联交易的决策权限、审批程序以及回避</w:t>
      </w:r>
      <w:r>
        <w:rPr/>
        <w:t> 制度等进行明确规定，以保证公司关联交易的合法、公允以及合理性，保障公司和</w:t>
      </w:r>
      <w:r>
        <w:rPr>
          <w:spacing w:val="-75"/>
        </w:rPr>
        <w:t> </w:t>
      </w:r>
      <w:r>
        <w:rPr>
          <w:spacing w:val="-75"/>
        </w:rPr>
      </w:r>
      <w:r>
        <w:rPr/>
        <w:t>股东的合法权益。</w:t>
      </w:r>
    </w:p>
    <w:p>
      <w:pPr>
        <w:pStyle w:val="BodyText"/>
        <w:spacing w:line="357" w:lineRule="auto" w:before="36"/>
        <w:ind w:right="99" w:firstLine="479"/>
        <w:jc w:val="left"/>
      </w:pPr>
      <w:r>
        <w:rPr>
          <w:spacing w:val="-2"/>
        </w:rPr>
        <w:t>在公司合同审批过程中，对于属于关联交易的合同，进行特殊的严格审核程序，</w:t>
      </w:r>
      <w:r>
        <w:rPr/>
        <w:t> 以确保关联交易的真实、合法、公平公正。</w:t>
      </w:r>
    </w:p>
    <w:p>
      <w:pPr>
        <w:spacing w:line="240" w:lineRule="auto" w:before="3"/>
        <w:rPr>
          <w:rFonts w:ascii="宋体" w:hAnsi="宋体" w:cs="宋体" w:eastAsia="宋体" w:hint="default"/>
          <w:sz w:val="25"/>
          <w:szCs w:val="25"/>
        </w:rPr>
      </w:pPr>
    </w:p>
    <w:p>
      <w:pPr>
        <w:pStyle w:val="Heading5"/>
        <w:spacing w:line="240" w:lineRule="auto"/>
        <w:ind w:right="100"/>
        <w:jc w:val="left"/>
        <w:rPr>
          <w:b w:val="0"/>
          <w:bCs w:val="0"/>
        </w:rPr>
      </w:pPr>
      <w:r>
        <w:rPr/>
        <w:t>（八）控股子公司控制方面</w:t>
      </w:r>
      <w:r>
        <w:rPr>
          <w:b w:val="0"/>
          <w:bCs w:val="0"/>
        </w:rPr>
      </w:r>
    </w:p>
    <w:p>
      <w:pPr>
        <w:spacing w:line="240" w:lineRule="auto" w:before="9"/>
        <w:rPr>
          <w:rFonts w:ascii="宋体" w:hAnsi="宋体" w:cs="宋体" w:eastAsia="宋体" w:hint="default"/>
          <w:b/>
          <w:bCs/>
          <w:sz w:val="34"/>
          <w:szCs w:val="34"/>
        </w:rPr>
      </w:pPr>
    </w:p>
    <w:p>
      <w:pPr>
        <w:pStyle w:val="BodyText"/>
        <w:spacing w:line="357" w:lineRule="auto"/>
        <w:ind w:right="238" w:firstLine="479"/>
        <w:jc w:val="both"/>
      </w:pPr>
      <w:r>
        <w:rPr>
          <w:spacing w:val="-6"/>
        </w:rPr>
        <w:t>公司制定了《控股子公司管理制度》，对公司控股子公司重大事项管理、财务管</w:t>
      </w:r>
      <w:r>
        <w:rPr/>
        <w:t> 理、人事管理以及信息管理等进行了明确规定，在确保控股子公司的独立经营、自</w:t>
      </w:r>
      <w:r>
        <w:rPr>
          <w:spacing w:val="-77"/>
        </w:rPr>
        <w:t> </w:t>
      </w:r>
      <w:r>
        <w:rPr>
          <w:spacing w:val="-77"/>
        </w:rPr>
      </w:r>
      <w:r>
        <w:rPr/>
        <w:t>主管理的前提下管理控投子公司，以保证公司总体战略目标的实现。</w:t>
      </w:r>
    </w:p>
    <w:p>
      <w:pPr>
        <w:spacing w:line="240" w:lineRule="auto" w:before="2"/>
        <w:rPr>
          <w:rFonts w:ascii="宋体" w:hAnsi="宋体" w:cs="宋体" w:eastAsia="宋体" w:hint="default"/>
          <w:sz w:val="25"/>
          <w:szCs w:val="25"/>
        </w:rPr>
      </w:pPr>
    </w:p>
    <w:p>
      <w:pPr>
        <w:pStyle w:val="Heading5"/>
        <w:spacing w:line="240" w:lineRule="auto"/>
        <w:ind w:right="100"/>
        <w:jc w:val="left"/>
        <w:rPr>
          <w:b w:val="0"/>
          <w:bCs w:val="0"/>
        </w:rPr>
      </w:pPr>
      <w:r>
        <w:rPr/>
        <w:t>（九）高级管理人员的考评及激励情况</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29" w:firstLine="479"/>
        <w:jc w:val="both"/>
      </w:pPr>
      <w:r>
        <w:rPr/>
        <w:t>公司已建立合理有效的高级管理人员绩效考评体系和薪酬制度。高级管理人员 的工作绩效与当年经营情况直接挂钩。为激励公司高级管理人员勤勉尽责，恪守职</w:t>
      </w:r>
      <w:r>
        <w:rPr>
          <w:spacing w:val="-70"/>
        </w:rPr>
        <w:t> </w:t>
      </w:r>
      <w:r>
        <w:rPr>
          <w:spacing w:val="-70"/>
        </w:rPr>
      </w:r>
      <w:r>
        <w:rPr/>
        <w:t>责，努力完成和超额完成公司制定的各项任务，董事会下设薪酬与考核委员会对公</w:t>
      </w:r>
      <w:r>
        <w:rPr>
          <w:spacing w:val="-70"/>
        </w:rPr>
        <w:t> </w:t>
      </w:r>
      <w:r>
        <w:rPr>
          <w:spacing w:val="-70"/>
        </w:rPr>
      </w:r>
      <w:r>
        <w:rPr/>
        <w:t>司高管的业绩完成情况进行考核，强化了对高级管理人员的考评激励作用，使高级</w:t>
      </w:r>
      <w:r>
        <w:rPr>
          <w:spacing w:val="-77"/>
        </w:rPr>
        <w:t> </w:t>
      </w:r>
      <w:r>
        <w:rPr>
          <w:spacing w:val="-77"/>
        </w:rPr>
      </w:r>
      <w:r>
        <w:rPr/>
        <w:t>管理人员与股东利益取向一致，最终实现股东价值最大化。</w:t>
      </w:r>
    </w:p>
    <w:p>
      <w:pPr>
        <w:pStyle w:val="BodyText"/>
        <w:spacing w:line="357" w:lineRule="auto" w:before="36"/>
        <w:ind w:right="236" w:firstLine="479"/>
        <w:jc w:val="both"/>
      </w:pPr>
      <w:r>
        <w:rPr/>
        <w:t>报告期内，公司对部分高管人员进行了股票期权激励，进一步调动了高管人员 的积极性。</w:t>
      </w:r>
    </w:p>
    <w:p>
      <w:pPr>
        <w:spacing w:line="240" w:lineRule="auto" w:before="3"/>
        <w:rPr>
          <w:rFonts w:ascii="宋体" w:hAnsi="宋体" w:cs="宋体" w:eastAsia="宋体" w:hint="default"/>
          <w:sz w:val="25"/>
          <w:szCs w:val="25"/>
        </w:rPr>
      </w:pPr>
    </w:p>
    <w:p>
      <w:pPr>
        <w:pStyle w:val="Heading5"/>
        <w:spacing w:line="240" w:lineRule="auto"/>
        <w:ind w:right="100"/>
        <w:jc w:val="left"/>
        <w:rPr>
          <w:b w:val="0"/>
          <w:bCs w:val="0"/>
        </w:rPr>
      </w:pPr>
      <w:r>
        <w:rPr/>
        <w:t>（十）公司是否存在治理非规范情况说明</w:t>
      </w:r>
      <w:r>
        <w:rPr>
          <w:b w:val="0"/>
          <w:bCs w:val="0"/>
        </w:rPr>
      </w:r>
    </w:p>
    <w:p>
      <w:pPr>
        <w:spacing w:line="240" w:lineRule="auto" w:before="7"/>
        <w:rPr>
          <w:rFonts w:ascii="宋体" w:hAnsi="宋体" w:cs="宋体" w:eastAsia="宋体" w:hint="default"/>
          <w:b/>
          <w:bCs/>
          <w:sz w:val="34"/>
          <w:szCs w:val="34"/>
        </w:rPr>
      </w:pPr>
    </w:p>
    <w:p>
      <w:pPr>
        <w:pStyle w:val="BodyText"/>
        <w:spacing w:line="357" w:lineRule="auto"/>
        <w:ind w:right="232" w:firstLine="479"/>
        <w:jc w:val="both"/>
      </w:pPr>
      <w:r>
        <w:rPr>
          <w:spacing w:val="-6"/>
        </w:rPr>
        <w:t>报告期内，公司大股东、实际控制人严格遵守《创业板上市规则》、《创业板规</w:t>
      </w:r>
      <w:r>
        <w:rPr/>
        <w:t> 范运作指引》等相关法律法规的规定，不存在干预公司研发、经营、管理等公司的</w:t>
      </w:r>
      <w:r>
        <w:rPr>
          <w:spacing w:val="-71"/>
        </w:rPr>
        <w:t> </w:t>
      </w:r>
      <w:r>
        <w:rPr>
          <w:spacing w:val="-71"/>
        </w:rPr>
      </w:r>
      <w:r>
        <w:rPr/>
        <w:t>情况，公司亦不存在向大股东提供未公开信息或存在其他治理非规范情况。</w:t>
      </w:r>
    </w:p>
    <w:p>
      <w:pPr>
        <w:spacing w:line="240" w:lineRule="auto" w:before="2"/>
        <w:rPr>
          <w:rFonts w:ascii="宋体" w:hAnsi="宋体" w:cs="宋体" w:eastAsia="宋体" w:hint="default"/>
          <w:sz w:val="25"/>
          <w:szCs w:val="25"/>
        </w:rPr>
      </w:pPr>
    </w:p>
    <w:p>
      <w:pPr>
        <w:pStyle w:val="Heading5"/>
        <w:spacing w:line="240" w:lineRule="auto"/>
        <w:ind w:right="100"/>
        <w:jc w:val="left"/>
        <w:rPr>
          <w:b w:val="0"/>
          <w:bCs w:val="0"/>
        </w:rPr>
      </w:pPr>
      <w:r>
        <w:rPr/>
        <w:t>（十一）公司内部审计制度的建立和执行情况</w:t>
      </w:r>
      <w:r>
        <w:rPr>
          <w:b w:val="0"/>
          <w:bCs w:val="0"/>
        </w:rPr>
      </w:r>
    </w:p>
    <w:p>
      <w:pPr>
        <w:spacing w:line="240" w:lineRule="auto" w:before="7"/>
        <w:rPr>
          <w:rFonts w:ascii="宋体" w:hAnsi="宋体" w:cs="宋体" w:eastAsia="宋体" w:hint="default"/>
          <w:b/>
          <w:bCs/>
          <w:sz w:val="34"/>
          <w:szCs w:val="34"/>
        </w:rPr>
      </w:pPr>
    </w:p>
    <w:p>
      <w:pPr>
        <w:pStyle w:val="BodyText"/>
        <w:spacing w:line="240" w:lineRule="auto"/>
        <w:ind w:left="618" w:right="100"/>
        <w:jc w:val="left"/>
      </w:pPr>
      <w:r>
        <w:rPr/>
        <w:t>报告期内，公司的内部审计制度的建立及执行情况如下：</w:t>
      </w:r>
    </w:p>
    <w:p>
      <w:pPr>
        <w:spacing w:after="0" w:line="240" w:lineRule="auto"/>
        <w:jc w:val="left"/>
        <w:sectPr>
          <w:pgSz w:w="11910" w:h="16840"/>
          <w:pgMar w:header="884" w:footer="1173" w:top="1140" w:bottom="1360" w:left="1660" w:right="1180"/>
        </w:sectPr>
      </w:pPr>
    </w:p>
    <w:p>
      <w:pPr>
        <w:spacing w:line="240" w:lineRule="auto" w:before="5"/>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76"/>
        <w:gridCol w:w="208"/>
        <w:gridCol w:w="644"/>
        <w:gridCol w:w="2895"/>
      </w:tblGrid>
      <w:tr>
        <w:trPr>
          <w:trHeight w:val="850" w:hRule="exact"/>
        </w:trPr>
        <w:tc>
          <w:tcPr>
            <w:tcW w:w="4976" w:type="dxa"/>
            <w:tcBorders>
              <w:top w:val="single" w:sz="12" w:space="0" w:color="000000"/>
              <w:left w:val="single" w:sz="12" w:space="0" w:color="000000"/>
              <w:bottom w:val="single" w:sz="4" w:space="0" w:color="000000"/>
              <w:right w:val="single" w:sz="4" w:space="0" w:color="000000"/>
            </w:tcBorders>
          </w:tcPr>
          <w:p>
            <w:pPr/>
          </w:p>
        </w:tc>
        <w:tc>
          <w:tcPr>
            <w:tcW w:w="85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80" w:lineRule="exact" w:before="105"/>
              <w:ind w:left="141" w:right="158" w:firstLine="40"/>
              <w:jc w:val="left"/>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是</w:t>
            </w:r>
            <w:r>
              <w:rPr>
                <w:rFonts w:ascii="Times New Roman" w:hAnsi="Times New Roman" w:cs="Times New Roman" w:eastAsia="Times New Roman" w:hint="default"/>
                <w:b/>
                <w:bCs/>
                <w:sz w:val="18"/>
                <w:szCs w:val="18"/>
              </w:rPr>
              <w:t>/</w:t>
            </w:r>
            <w:r>
              <w:rPr>
                <w:rFonts w:ascii="微软雅黑" w:hAnsi="微软雅黑" w:cs="微软雅黑" w:eastAsia="微软雅黑" w:hint="default"/>
                <w:b/>
                <w:bCs/>
                <w:sz w:val="18"/>
                <w:szCs w:val="18"/>
              </w:rPr>
              <w:t>否</w:t>
            </w:r>
            <w:r>
              <w:rPr>
                <w:rFonts w:ascii="Times New Roman" w:hAnsi="Times New Roman" w:cs="Times New Roman" w:eastAsia="Times New Roman" w:hint="default"/>
                <w:b/>
                <w:bCs/>
                <w:sz w:val="18"/>
                <w:szCs w:val="18"/>
              </w:rPr>
              <w:t>/ </w:t>
            </w:r>
            <w:r>
              <w:rPr>
                <w:rFonts w:ascii="微软雅黑" w:hAnsi="微软雅黑" w:cs="微软雅黑" w:eastAsia="微软雅黑" w:hint="default"/>
                <w:b/>
                <w:bCs/>
                <w:sz w:val="18"/>
                <w:szCs w:val="18"/>
              </w:rPr>
              <w:t>不适用</w:t>
            </w:r>
            <w:r>
              <w:rPr>
                <w:rFonts w:ascii="微软雅黑" w:hAnsi="微软雅黑" w:cs="微软雅黑" w:eastAsia="微软雅黑" w:hint="default"/>
                <w:sz w:val="18"/>
                <w:szCs w:val="18"/>
              </w:rPr>
            </w:r>
          </w:p>
        </w:tc>
        <w:tc>
          <w:tcPr>
            <w:tcW w:w="2895" w:type="dxa"/>
            <w:tcBorders>
              <w:top w:val="single" w:sz="12" w:space="0" w:color="000000"/>
              <w:left w:val="single" w:sz="4" w:space="0" w:color="000000"/>
              <w:bottom w:val="single" w:sz="4" w:space="0" w:color="000000"/>
              <w:right w:val="single" w:sz="12" w:space="0" w:color="000000"/>
            </w:tcBorders>
          </w:tcPr>
          <w:p>
            <w:pPr>
              <w:pStyle w:val="TableParagraph"/>
              <w:spacing w:line="271" w:lineRule="exact"/>
              <w:ind w:left="7" w:right="0"/>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备注</w:t>
            </w:r>
            <w:r>
              <w:rPr>
                <w:rFonts w:ascii="Times New Roman" w:hAnsi="Times New Roman" w:cs="Times New Roman" w:eastAsia="Times New Roman" w:hint="default"/>
                <w:b/>
                <w:bCs/>
                <w:sz w:val="18"/>
                <w:szCs w:val="18"/>
              </w:rPr>
              <w:t>/</w:t>
            </w:r>
            <w:r>
              <w:rPr>
                <w:rFonts w:ascii="微软雅黑" w:hAnsi="微软雅黑" w:cs="微软雅黑" w:eastAsia="微软雅黑" w:hint="default"/>
                <w:b/>
                <w:bCs/>
                <w:sz w:val="18"/>
                <w:szCs w:val="18"/>
              </w:rPr>
              <w:t>说明</w:t>
            </w:r>
            <w:r>
              <w:rPr>
                <w:rFonts w:ascii="微软雅黑" w:hAnsi="微软雅黑" w:cs="微软雅黑" w:eastAsia="微软雅黑" w:hint="default"/>
                <w:sz w:val="18"/>
                <w:szCs w:val="18"/>
              </w:rPr>
            </w:r>
          </w:p>
          <w:p>
            <w:pPr>
              <w:pStyle w:val="TableParagraph"/>
              <w:spacing w:line="240" w:lineRule="auto"/>
              <w:ind w:left="134" w:right="127"/>
              <w:jc w:val="center"/>
              <w:rPr>
                <w:rFonts w:ascii="微软雅黑" w:hAnsi="微软雅黑" w:cs="微软雅黑" w:eastAsia="微软雅黑" w:hint="default"/>
                <w:sz w:val="18"/>
                <w:szCs w:val="18"/>
              </w:rPr>
            </w:pPr>
            <w:r>
              <w:rPr>
                <w:rFonts w:ascii="微软雅黑" w:hAnsi="微软雅黑" w:cs="微软雅黑" w:eastAsia="微软雅黑" w:hint="default"/>
                <w:b/>
                <w:bCs/>
                <w:sz w:val="18"/>
                <w:szCs w:val="18"/>
              </w:rPr>
              <w:t>（如选择否或不适用，请说明</w:t>
            </w:r>
            <w:r>
              <w:rPr>
                <w:rFonts w:ascii="微软雅黑" w:hAnsi="微软雅黑" w:cs="微软雅黑" w:eastAsia="微软雅黑" w:hint="default"/>
                <w:b/>
                <w:bCs/>
                <w:spacing w:val="37"/>
                <w:sz w:val="18"/>
                <w:szCs w:val="18"/>
              </w:rPr>
              <w:t> </w:t>
            </w:r>
            <w:r>
              <w:rPr>
                <w:rFonts w:ascii="微软雅黑" w:hAnsi="微软雅黑" w:cs="微软雅黑" w:eastAsia="微软雅黑" w:hint="default"/>
                <w:b/>
                <w:bCs/>
                <w:sz w:val="18"/>
                <w:szCs w:val="18"/>
              </w:rPr>
              <w:t>具</w:t>
            </w:r>
            <w:r>
              <w:rPr>
                <w:rFonts w:ascii="微软雅黑" w:hAnsi="微软雅黑" w:cs="微软雅黑" w:eastAsia="微软雅黑" w:hint="default"/>
                <w:b/>
                <w:bCs/>
                <w:sz w:val="18"/>
                <w:szCs w:val="18"/>
              </w:rPr>
              <w:t> 体原因）</w:t>
            </w:r>
            <w:r>
              <w:rPr>
                <w:rFonts w:ascii="微软雅黑" w:hAnsi="微软雅黑" w:cs="微软雅黑" w:eastAsia="微软雅黑" w:hint="default"/>
                <w:sz w:val="18"/>
                <w:szCs w:val="18"/>
              </w:rPr>
            </w:r>
          </w:p>
        </w:tc>
      </w:tr>
      <w:tr>
        <w:trPr>
          <w:trHeight w:val="331"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8"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一、内部审计制度的建立情况以及内审工作指引落实情况</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8"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32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5"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．内部审计制度建立</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5"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754"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0" w:lineRule="exact" w:before="4"/>
              <w:ind w:left="93" w:right="53"/>
              <w:jc w:val="left"/>
              <w:rPr>
                <w:rFonts w:ascii="微软雅黑" w:hAnsi="微软雅黑" w:cs="微软雅黑" w:eastAsia="微软雅黑" w:hint="default"/>
                <w:sz w:val="18"/>
                <w:szCs w:val="18"/>
              </w:rPr>
            </w:pPr>
            <w:r>
              <w:rPr>
                <w:rFonts w:ascii="微软雅黑" w:hAnsi="微软雅黑" w:cs="微软雅黑" w:eastAsia="微软雅黑" w:hint="default"/>
                <w:spacing w:val="-2"/>
                <w:sz w:val="18"/>
                <w:szCs w:val="18"/>
              </w:rPr>
              <w:t>公司是否在股票上市后六个月内建立内部审计制度，内部审计</w:t>
            </w:r>
            <w:r>
              <w:rPr>
                <w:rFonts w:ascii="微软雅黑" w:hAnsi="微软雅黑" w:cs="微软雅黑" w:eastAsia="微软雅黑" w:hint="default"/>
                <w:sz w:val="18"/>
                <w:szCs w:val="18"/>
              </w:rPr>
              <w:t> 制度是否经公司董事会审议通过</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0"/>
              <w:ind w:left="103" w:right="7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公司在股票上市前即建立了审计制 度并经董事会通过。</w:t>
            </w:r>
          </w:p>
        </w:tc>
      </w:tr>
      <w:tr>
        <w:trPr>
          <w:trHeight w:val="331"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8"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．机构设置</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8"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1085"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0" w:lineRule="exact" w:before="1"/>
              <w:ind w:left="93" w:right="53"/>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公司董事会是否设立审计委员会，公司在股票上市后六个月内</w:t>
            </w:r>
            <w:r>
              <w:rPr>
                <w:rFonts w:ascii="微软雅黑" w:hAnsi="微软雅黑" w:cs="微软雅黑" w:eastAsia="微软雅黑" w:hint="default"/>
                <w:spacing w:val="-28"/>
                <w:sz w:val="18"/>
                <w:szCs w:val="18"/>
              </w:rPr>
              <w:t> </w:t>
            </w:r>
            <w:r>
              <w:rPr>
                <w:rFonts w:ascii="微软雅黑" w:hAnsi="微软雅黑" w:cs="微软雅黑" w:eastAsia="微软雅黑" w:hint="default"/>
                <w:spacing w:val="-28"/>
                <w:sz w:val="18"/>
                <w:szCs w:val="18"/>
              </w:rPr>
            </w:r>
            <w:r>
              <w:rPr>
                <w:rFonts w:ascii="微软雅黑" w:hAnsi="微软雅黑" w:cs="微软雅黑" w:eastAsia="微软雅黑" w:hint="default"/>
                <w:spacing w:val="-3"/>
                <w:sz w:val="18"/>
                <w:szCs w:val="18"/>
              </w:rPr>
              <w:t>是否设立独立亍财务部门的内部审计部门，内部审计部门是否</w:t>
            </w:r>
          </w:p>
          <w:p>
            <w:pPr>
              <w:pStyle w:val="TableParagraph"/>
              <w:spacing w:line="298"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对审计委员会负责</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5"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3</w:t>
            </w:r>
            <w:r>
              <w:rPr>
                <w:rFonts w:ascii="微软雅黑" w:hAnsi="微软雅黑" w:cs="微软雅黑" w:eastAsia="微软雅黑" w:hint="default"/>
                <w:sz w:val="18"/>
                <w:szCs w:val="18"/>
              </w:rPr>
              <w:t>．人员安排</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5"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672"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0" w:lineRule="exact" w:before="1"/>
              <w:ind w:left="93" w:right="81"/>
              <w:jc w:val="left"/>
              <w:rPr>
                <w:rFonts w:ascii="微软雅黑" w:hAnsi="微软雅黑" w:cs="微软雅黑" w:eastAsia="微软雅黑" w:hint="default"/>
                <w:sz w:val="18"/>
                <w:szCs w:val="18"/>
              </w:rPr>
            </w:pPr>
            <w:r>
              <w:rPr>
                <w:rFonts w:ascii="微软雅黑" w:hAnsi="微软雅黑" w:cs="微软雅黑" w:eastAsia="微软雅黑" w:hint="default"/>
                <w:spacing w:val="-7"/>
                <w:sz w:val="18"/>
                <w:szCs w:val="18"/>
              </w:rPr>
              <w:t>（</w:t>
            </w:r>
            <w:r>
              <w:rPr>
                <w:rFonts w:ascii="Times New Roman" w:hAnsi="Times New Roman" w:cs="Times New Roman" w:eastAsia="Times New Roman" w:hint="default"/>
                <w:spacing w:val="-7"/>
                <w:sz w:val="18"/>
                <w:szCs w:val="18"/>
              </w:rPr>
              <w:t>1</w:t>
            </w:r>
            <w:r>
              <w:rPr>
                <w:rFonts w:ascii="微软雅黑" w:hAnsi="微软雅黑" w:cs="微软雅黑" w:eastAsia="微软雅黑" w:hint="default"/>
                <w:spacing w:val="-7"/>
                <w:sz w:val="18"/>
                <w:szCs w:val="18"/>
              </w:rPr>
              <w:t>）审计委员会成员是否全部由董事组成，独立董事占半数以</w:t>
            </w:r>
            <w:r>
              <w:rPr>
                <w:rFonts w:ascii="微软雅黑" w:hAnsi="微软雅黑" w:cs="微软雅黑" w:eastAsia="微软雅黑" w:hint="default"/>
                <w:spacing w:val="-30"/>
                <w:sz w:val="18"/>
                <w:szCs w:val="18"/>
              </w:rPr>
              <w:t> </w:t>
            </w:r>
            <w:r>
              <w:rPr>
                <w:rFonts w:ascii="微软雅黑" w:hAnsi="微软雅黑" w:cs="微软雅黑" w:eastAsia="微软雅黑" w:hint="default"/>
                <w:spacing w:val="-30"/>
                <w:sz w:val="18"/>
                <w:szCs w:val="18"/>
              </w:rPr>
            </w:r>
            <w:r>
              <w:rPr>
                <w:rFonts w:ascii="微软雅黑" w:hAnsi="微软雅黑" w:cs="微软雅黑" w:eastAsia="微软雅黑" w:hint="default"/>
                <w:sz w:val="18"/>
                <w:szCs w:val="18"/>
              </w:rPr>
              <w:t>上并担仸召集人，丏至少有一名独立董事为会计与业人士</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986"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7"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w:t>
            </w:r>
            <w:r>
              <w:rPr>
                <w:rFonts w:ascii="Times New Roman" w:hAnsi="Times New Roman" w:cs="Times New Roman" w:eastAsia="Times New Roman" w:hint="default"/>
                <w:spacing w:val="-3"/>
                <w:sz w:val="18"/>
                <w:szCs w:val="18"/>
              </w:rPr>
              <w:t>2</w:t>
            </w:r>
            <w:r>
              <w:rPr>
                <w:rFonts w:ascii="微软雅黑" w:hAnsi="微软雅黑" w:cs="微软雅黑" w:eastAsia="微软雅黑" w:hint="default"/>
                <w:spacing w:val="-3"/>
                <w:sz w:val="18"/>
                <w:szCs w:val="18"/>
              </w:rPr>
              <w:t>）内部审计部门是否配置与职人员从事内部审计工作</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5"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二、年度内部控制自我评价报告披露相关情况</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4"/>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c>
          <w:tcPr>
            <w:tcW w:w="2895" w:type="dxa"/>
            <w:tcBorders>
              <w:top w:val="single" w:sz="4" w:space="0" w:color="000000"/>
              <w:left w:val="single" w:sz="4" w:space="0" w:color="000000"/>
              <w:bottom w:val="single" w:sz="4" w:space="0" w:color="000000"/>
              <w:right w:val="single" w:sz="12" w:space="0" w:color="000000"/>
            </w:tcBorders>
          </w:tcPr>
          <w:p>
            <w:pPr>
              <w:pStyle w:val="TableParagraph"/>
              <w:spacing w:line="275" w:lineRule="exact"/>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932"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0" w:lineRule="exact" w:before="1"/>
              <w:ind w:left="93" w:right="53"/>
              <w:jc w:val="left"/>
              <w:rPr>
                <w:rFonts w:ascii="微软雅黑" w:hAnsi="微软雅黑" w:cs="微软雅黑" w:eastAsia="微软雅黑" w:hint="default"/>
                <w:sz w:val="18"/>
                <w:szCs w:val="18"/>
              </w:rPr>
            </w:pPr>
            <w:r>
              <w:rPr>
                <w:rFonts w:ascii="Times New Roman" w:hAnsi="Times New Roman" w:cs="Times New Roman" w:eastAsia="Times New Roman" w:hint="default"/>
                <w:spacing w:val="-6"/>
                <w:sz w:val="18"/>
                <w:szCs w:val="18"/>
              </w:rPr>
              <w:t>1</w:t>
            </w:r>
            <w:r>
              <w:rPr>
                <w:rFonts w:ascii="微软雅黑" w:hAnsi="微软雅黑" w:cs="微软雅黑" w:eastAsia="微软雅黑" w:hint="default"/>
                <w:spacing w:val="-6"/>
                <w:sz w:val="18"/>
                <w:szCs w:val="18"/>
              </w:rPr>
              <w:t>．审计委员会是否根据内部审计部门出具的评价报告及相关资</w:t>
            </w:r>
            <w:r>
              <w:rPr>
                <w:rFonts w:ascii="微软雅黑" w:hAnsi="微软雅黑" w:cs="微软雅黑" w:eastAsia="微软雅黑" w:hint="default"/>
                <w:spacing w:val="-35"/>
                <w:sz w:val="18"/>
                <w:szCs w:val="18"/>
              </w:rPr>
              <w:t> </w:t>
            </w:r>
            <w:r>
              <w:rPr>
                <w:rFonts w:ascii="微软雅黑" w:hAnsi="微软雅黑" w:cs="微软雅黑" w:eastAsia="微软雅黑" w:hint="default"/>
                <w:spacing w:val="-35"/>
                <w:sz w:val="18"/>
                <w:szCs w:val="18"/>
              </w:rPr>
            </w:r>
            <w:r>
              <w:rPr>
                <w:rFonts w:ascii="微软雅黑" w:hAnsi="微软雅黑" w:cs="微软雅黑" w:eastAsia="微软雅黑" w:hint="default"/>
                <w:spacing w:val="-3"/>
                <w:sz w:val="18"/>
                <w:szCs w:val="18"/>
              </w:rPr>
              <w:t>料，对不财务报告和信息披露事务相关的内部控制制度的建立</w:t>
            </w:r>
          </w:p>
          <w:p>
            <w:pPr>
              <w:pStyle w:val="TableParagraph"/>
              <w:spacing w:line="298"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和实施情况出具年度内部控制自我评价报告</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1570"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0" w:lineRule="exact"/>
              <w:ind w:left="93" w:right="0"/>
              <w:jc w:val="both"/>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．本年度内部控制自我评价报告是否包括以下内容：</w:t>
            </w:r>
          </w:p>
          <w:p>
            <w:pPr>
              <w:pStyle w:val="TableParagraph"/>
              <w:spacing w:line="240" w:lineRule="auto"/>
              <w:ind w:left="93" w:right="53"/>
              <w:jc w:val="both"/>
              <w:rPr>
                <w:rFonts w:ascii="微软雅黑" w:hAnsi="微软雅黑" w:cs="微软雅黑" w:eastAsia="微软雅黑" w:hint="default"/>
                <w:sz w:val="18"/>
                <w:szCs w:val="18"/>
              </w:rPr>
            </w:pPr>
            <w:r>
              <w:rPr>
                <w:rFonts w:ascii="微软雅黑" w:hAnsi="微软雅黑" w:cs="微软雅黑" w:eastAsia="微软雅黑" w:hint="default"/>
                <w:spacing w:val="-2"/>
                <w:sz w:val="18"/>
                <w:szCs w:val="18"/>
              </w:rPr>
              <w:t>（</w:t>
            </w:r>
            <w:r>
              <w:rPr>
                <w:rFonts w:ascii="Times New Roman" w:hAnsi="Times New Roman" w:cs="Times New Roman" w:eastAsia="Times New Roman" w:hint="default"/>
                <w:spacing w:val="-2"/>
                <w:sz w:val="18"/>
                <w:szCs w:val="18"/>
              </w:rPr>
              <w:t>1</w:t>
            </w:r>
            <w:r>
              <w:rPr>
                <w:rFonts w:ascii="微软雅黑" w:hAnsi="微软雅黑" w:cs="微软雅黑" w:eastAsia="微软雅黑" w:hint="default"/>
                <w:spacing w:val="-2"/>
                <w:sz w:val="18"/>
                <w:szCs w:val="18"/>
              </w:rPr>
              <w:t>）内部控制制度是否建立健全和有效实施；（</w:t>
            </w:r>
            <w:r>
              <w:rPr>
                <w:rFonts w:ascii="Times New Roman" w:hAnsi="Times New Roman" w:cs="Times New Roman" w:eastAsia="Times New Roman" w:hint="default"/>
                <w:spacing w:val="-2"/>
                <w:sz w:val="18"/>
                <w:szCs w:val="18"/>
              </w:rPr>
              <w:t>2</w:t>
            </w:r>
            <w:r>
              <w:rPr>
                <w:rFonts w:ascii="微软雅黑" w:hAnsi="微软雅黑" w:cs="微软雅黑" w:eastAsia="微软雅黑" w:hint="default"/>
                <w:spacing w:val="-2"/>
                <w:sz w:val="18"/>
                <w:szCs w:val="18"/>
              </w:rPr>
              <w:t>）内部控制</w:t>
            </w:r>
            <w:r>
              <w:rPr>
                <w:rFonts w:ascii="微软雅黑" w:hAnsi="微软雅黑" w:cs="微软雅黑" w:eastAsia="微软雅黑" w:hint="default"/>
                <w:sz w:val="18"/>
                <w:szCs w:val="18"/>
              </w:rPr>
              <w:t> </w:t>
            </w:r>
            <w:r>
              <w:rPr>
                <w:rFonts w:ascii="微软雅黑" w:hAnsi="微软雅黑" w:cs="微软雅黑" w:eastAsia="微软雅黑" w:hint="default"/>
                <w:spacing w:val="-6"/>
                <w:sz w:val="18"/>
                <w:szCs w:val="18"/>
              </w:rPr>
              <w:t>存在的缺陷和异常事项及其处理情况（如适用）；（</w:t>
            </w:r>
            <w:r>
              <w:rPr>
                <w:rFonts w:ascii="Times New Roman" w:hAnsi="Times New Roman" w:cs="Times New Roman" w:eastAsia="Times New Roman" w:hint="default"/>
                <w:spacing w:val="-6"/>
                <w:sz w:val="18"/>
                <w:szCs w:val="18"/>
              </w:rPr>
              <w:t>3</w:t>
            </w:r>
            <w:r>
              <w:rPr>
                <w:rFonts w:ascii="微软雅黑" w:hAnsi="微软雅黑" w:cs="微软雅黑" w:eastAsia="微软雅黑" w:hint="default"/>
                <w:spacing w:val="-6"/>
                <w:sz w:val="18"/>
                <w:szCs w:val="18"/>
              </w:rPr>
              <w:t>）改进和</w:t>
            </w:r>
            <w:r>
              <w:rPr>
                <w:rFonts w:ascii="微软雅黑" w:hAnsi="微软雅黑" w:cs="微软雅黑" w:eastAsia="微软雅黑" w:hint="default"/>
                <w:spacing w:val="-35"/>
                <w:sz w:val="18"/>
                <w:szCs w:val="18"/>
              </w:rPr>
              <w:t> </w:t>
            </w:r>
            <w:r>
              <w:rPr>
                <w:rFonts w:ascii="微软雅黑" w:hAnsi="微软雅黑" w:cs="微软雅黑" w:eastAsia="微软雅黑" w:hint="default"/>
                <w:spacing w:val="-35"/>
                <w:sz w:val="18"/>
                <w:szCs w:val="18"/>
              </w:rPr>
            </w:r>
            <w:r>
              <w:rPr>
                <w:rFonts w:ascii="微软雅黑" w:hAnsi="微软雅黑" w:cs="微软雅黑" w:eastAsia="微软雅黑" w:hint="default"/>
                <w:spacing w:val="-6"/>
                <w:sz w:val="18"/>
                <w:szCs w:val="18"/>
              </w:rPr>
              <w:t>完善内部控制制度建立及其实施的有关措施；（</w:t>
            </w:r>
            <w:r>
              <w:rPr>
                <w:rFonts w:ascii="Times New Roman" w:hAnsi="Times New Roman" w:cs="Times New Roman" w:eastAsia="Times New Roman" w:hint="default"/>
                <w:spacing w:val="-6"/>
                <w:sz w:val="18"/>
                <w:szCs w:val="18"/>
              </w:rPr>
              <w:t>4</w:t>
            </w:r>
            <w:r>
              <w:rPr>
                <w:rFonts w:ascii="微软雅黑" w:hAnsi="微软雅黑" w:cs="微软雅黑" w:eastAsia="微软雅黑" w:hint="default"/>
                <w:spacing w:val="-6"/>
                <w:sz w:val="18"/>
                <w:szCs w:val="18"/>
              </w:rPr>
              <w:t>）上一年度内</w:t>
            </w:r>
            <w:r>
              <w:rPr>
                <w:rFonts w:ascii="微软雅黑" w:hAnsi="微软雅黑" w:cs="微软雅黑" w:eastAsia="微软雅黑" w:hint="default"/>
                <w:spacing w:val="-34"/>
                <w:sz w:val="18"/>
                <w:szCs w:val="18"/>
              </w:rPr>
              <w:t> </w:t>
            </w:r>
            <w:r>
              <w:rPr>
                <w:rFonts w:ascii="微软雅黑" w:hAnsi="微软雅黑" w:cs="微软雅黑" w:eastAsia="微软雅黑" w:hint="default"/>
                <w:spacing w:val="-34"/>
                <w:sz w:val="18"/>
                <w:szCs w:val="18"/>
              </w:rPr>
            </w:r>
            <w:r>
              <w:rPr>
                <w:rFonts w:ascii="微软雅黑" w:hAnsi="微软雅黑" w:cs="微软雅黑" w:eastAsia="微软雅黑" w:hint="default"/>
                <w:spacing w:val="-13"/>
                <w:sz w:val="18"/>
                <w:szCs w:val="18"/>
              </w:rPr>
              <w:t>部控制存在的缺陷和异常事项的改进情况（如适用）；（</w:t>
            </w:r>
            <w:r>
              <w:rPr>
                <w:rFonts w:ascii="Times New Roman" w:hAnsi="Times New Roman" w:cs="Times New Roman" w:eastAsia="Times New Roman" w:hint="default"/>
                <w:spacing w:val="-13"/>
                <w:sz w:val="18"/>
                <w:szCs w:val="18"/>
              </w:rPr>
              <w:t>5</w:t>
            </w:r>
            <w:r>
              <w:rPr>
                <w:rFonts w:ascii="微软雅黑" w:hAnsi="微软雅黑" w:cs="微软雅黑" w:eastAsia="微软雅黑" w:hint="default"/>
                <w:spacing w:val="-13"/>
                <w:sz w:val="18"/>
                <w:szCs w:val="18"/>
              </w:rPr>
              <w:t>）本</w:t>
            </w:r>
            <w:r>
              <w:rPr>
                <w:rFonts w:ascii="微软雅黑" w:hAnsi="微软雅黑" w:cs="微软雅黑" w:eastAsia="微软雅黑" w:hint="default"/>
                <w:spacing w:val="-14"/>
                <w:sz w:val="18"/>
                <w:szCs w:val="18"/>
              </w:rPr>
              <w:t> </w:t>
            </w:r>
            <w:r>
              <w:rPr>
                <w:rFonts w:ascii="微软雅黑" w:hAnsi="微软雅黑" w:cs="微软雅黑" w:eastAsia="微软雅黑" w:hint="default"/>
                <w:sz w:val="18"/>
                <w:szCs w:val="18"/>
              </w:rPr>
              <w:t>年</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696"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pacing w:val="1"/>
                <w:sz w:val="18"/>
                <w:szCs w:val="18"/>
              </w:rPr>
              <w:t>3</w:t>
            </w:r>
            <w:r>
              <w:rPr>
                <w:rFonts w:ascii="微软雅黑" w:hAnsi="微软雅黑" w:cs="微软雅黑" w:eastAsia="微软雅黑" w:hint="default"/>
                <w:spacing w:val="-87"/>
                <w:sz w:val="18"/>
                <w:szCs w:val="18"/>
              </w:rPr>
              <w:t>．</w:t>
            </w:r>
            <w:r>
              <w:rPr>
                <w:rFonts w:ascii="微软雅黑" w:hAnsi="微软雅黑" w:cs="微软雅黑" w:eastAsia="微软雅黑" w:hint="default"/>
                <w:sz w:val="18"/>
                <w:szCs w:val="18"/>
              </w:rPr>
              <w:t>内部控制自我评价报告结</w:t>
            </w:r>
            <w:r>
              <w:rPr>
                <w:rFonts w:ascii="微软雅黑" w:hAnsi="微软雅黑" w:cs="微软雅黑" w:eastAsia="微软雅黑" w:hint="default"/>
                <w:spacing w:val="2"/>
                <w:sz w:val="18"/>
                <w:szCs w:val="18"/>
              </w:rPr>
              <w:t>论</w:t>
            </w:r>
            <w:r>
              <w:rPr>
                <w:rFonts w:ascii="微软雅黑" w:hAnsi="微软雅黑" w:cs="微软雅黑" w:eastAsia="微软雅黑" w:hint="default"/>
                <w:sz w:val="18"/>
                <w:szCs w:val="18"/>
              </w:rPr>
              <w:t>是否为内部控制有效</w:t>
            </w:r>
            <w:r>
              <w:rPr>
                <w:rFonts w:ascii="微软雅黑" w:hAnsi="微软雅黑" w:cs="微软雅黑" w:eastAsia="微软雅黑" w:hint="default"/>
                <w:spacing w:val="-87"/>
                <w:sz w:val="18"/>
                <w:szCs w:val="18"/>
              </w:rPr>
              <w:t>。</w:t>
            </w:r>
            <w:r>
              <w:rPr>
                <w:rFonts w:ascii="微软雅黑" w:hAnsi="微软雅黑" w:cs="微软雅黑" w:eastAsia="微软雅黑" w:hint="default"/>
                <w:sz w:val="18"/>
                <w:szCs w:val="18"/>
              </w:rPr>
              <w:t>如为内部</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控制无效，请说明内部控制存在的重大缺陷</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56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pacing w:val="1"/>
                <w:sz w:val="18"/>
                <w:szCs w:val="18"/>
              </w:rPr>
              <w:t>4</w:t>
            </w:r>
            <w:r>
              <w:rPr>
                <w:rFonts w:ascii="微软雅黑" w:hAnsi="微软雅黑" w:cs="微软雅黑" w:eastAsia="微软雅黑" w:hint="default"/>
                <w:spacing w:val="-168"/>
                <w:sz w:val="18"/>
                <w:szCs w:val="18"/>
              </w:rPr>
              <w:t>．</w:t>
            </w:r>
            <w:r>
              <w:rPr>
                <w:rFonts w:ascii="微软雅黑" w:hAnsi="微软雅黑" w:cs="微软雅黑" w:eastAsia="微软雅黑" w:hint="default"/>
                <w:sz w:val="18"/>
                <w:szCs w:val="18"/>
              </w:rPr>
              <w:t>本年度是否聘请会计师事务所对内部控制有效性出具鉴证报</w:t>
            </w:r>
          </w:p>
          <w:p>
            <w:pPr>
              <w:pStyle w:val="TableParagraph"/>
              <w:spacing w:line="304" w:lineRule="exact"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告</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99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312" w:lineRule="exact"/>
              <w:ind w:left="93" w:right="53"/>
              <w:jc w:val="both"/>
              <w:rPr>
                <w:rFonts w:ascii="微软雅黑" w:hAnsi="微软雅黑" w:cs="微软雅黑" w:eastAsia="微软雅黑" w:hint="default"/>
                <w:sz w:val="18"/>
                <w:szCs w:val="18"/>
              </w:rPr>
            </w:pPr>
            <w:r>
              <w:rPr>
                <w:rFonts w:ascii="Times New Roman" w:hAnsi="Times New Roman" w:cs="Times New Roman" w:eastAsia="Times New Roman" w:hint="default"/>
                <w:spacing w:val="-6"/>
                <w:sz w:val="18"/>
                <w:szCs w:val="18"/>
              </w:rPr>
              <w:t>5</w:t>
            </w:r>
            <w:r>
              <w:rPr>
                <w:rFonts w:ascii="微软雅黑" w:hAnsi="微软雅黑" w:cs="微软雅黑" w:eastAsia="微软雅黑" w:hint="default"/>
                <w:spacing w:val="-6"/>
                <w:sz w:val="18"/>
                <w:szCs w:val="18"/>
              </w:rPr>
              <w:t>．会计师事务所对公司内部控制有效性是否出具鉴证报告。如</w:t>
            </w:r>
            <w:r>
              <w:rPr>
                <w:rFonts w:ascii="微软雅黑" w:hAnsi="微软雅黑" w:cs="微软雅黑" w:eastAsia="微软雅黑" w:hint="default"/>
                <w:spacing w:val="-32"/>
                <w:sz w:val="18"/>
                <w:szCs w:val="18"/>
              </w:rPr>
              <w:t> </w:t>
            </w:r>
            <w:r>
              <w:rPr>
                <w:rFonts w:ascii="微软雅黑" w:hAnsi="微软雅黑" w:cs="微软雅黑" w:eastAsia="微软雅黑" w:hint="default"/>
                <w:spacing w:val="-32"/>
                <w:sz w:val="18"/>
                <w:szCs w:val="18"/>
              </w:rPr>
            </w:r>
            <w:r>
              <w:rPr>
                <w:rFonts w:ascii="微软雅黑" w:hAnsi="微软雅黑" w:cs="微软雅黑" w:eastAsia="微软雅黑" w:hint="default"/>
                <w:spacing w:val="-3"/>
                <w:sz w:val="18"/>
                <w:szCs w:val="18"/>
              </w:rPr>
              <w:t>是，公司董事会、监事会是否针对鉴证结论涉及事项做出与项</w:t>
            </w:r>
            <w:r>
              <w:rPr>
                <w:rFonts w:ascii="微软雅黑" w:hAnsi="微软雅黑" w:cs="微软雅黑" w:eastAsia="微软雅黑" w:hint="default"/>
                <w:spacing w:val="-28"/>
                <w:sz w:val="18"/>
                <w:szCs w:val="18"/>
              </w:rPr>
              <w:t> </w:t>
            </w:r>
            <w:r>
              <w:rPr>
                <w:rFonts w:ascii="微软雅黑" w:hAnsi="微软雅黑" w:cs="微软雅黑" w:eastAsia="微软雅黑" w:hint="default"/>
                <w:spacing w:val="-28"/>
                <w:sz w:val="18"/>
                <w:szCs w:val="18"/>
              </w:rPr>
            </w:r>
            <w:r>
              <w:rPr>
                <w:rFonts w:ascii="微软雅黑" w:hAnsi="微软雅黑" w:cs="微软雅黑" w:eastAsia="微软雅黑" w:hint="default"/>
                <w:sz w:val="18"/>
                <w:szCs w:val="18"/>
              </w:rPr>
              <w:t>说明</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670"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6</w:t>
            </w:r>
            <w:r>
              <w:rPr>
                <w:rFonts w:ascii="微软雅黑" w:hAnsi="微软雅黑" w:cs="微软雅黑" w:eastAsia="微软雅黑" w:hint="default"/>
                <w:sz w:val="18"/>
                <w:szCs w:val="18"/>
              </w:rPr>
              <w:t>．独立董事、监事会是否出具明确同意意见（如为异议意见</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请说明）</w:t>
            </w:r>
          </w:p>
        </w:tc>
        <w:tc>
          <w:tcPr>
            <w:tcW w:w="208" w:type="dxa"/>
            <w:tcBorders>
              <w:top w:val="single" w:sz="4" w:space="0" w:color="000000"/>
              <w:left w:val="single" w:sz="4" w:space="0" w:color="000000"/>
              <w:bottom w:val="single" w:sz="4" w:space="0" w:color="000000"/>
              <w:right w:val="nil" w:sz="6" w:space="0" w:color="auto"/>
            </w:tcBorders>
          </w:tcPr>
          <w:p>
            <w:pPr>
              <w:pStyle w:val="TableParagraph"/>
              <w:spacing w:line="294" w:lineRule="exact"/>
              <w:ind w:left="-102"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p>
        </w:tc>
        <w:tc>
          <w:tcPr>
            <w:tcW w:w="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25"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571"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pacing w:val="1"/>
                <w:sz w:val="18"/>
                <w:szCs w:val="18"/>
              </w:rPr>
              <w:t>7</w:t>
            </w:r>
            <w:r>
              <w:rPr>
                <w:rFonts w:ascii="微软雅黑" w:hAnsi="微软雅黑" w:cs="微软雅黑" w:eastAsia="微软雅黑" w:hint="default"/>
                <w:spacing w:val="-87"/>
                <w:sz w:val="18"/>
                <w:szCs w:val="18"/>
              </w:rPr>
              <w:t>．</w:t>
            </w:r>
            <w:r>
              <w:rPr>
                <w:rFonts w:ascii="微软雅黑" w:hAnsi="微软雅黑" w:cs="微软雅黑" w:eastAsia="微软雅黑" w:hint="default"/>
                <w:sz w:val="18"/>
                <w:szCs w:val="18"/>
              </w:rPr>
              <w:t>保荐机构和保荐代表人是</w:t>
            </w:r>
            <w:r>
              <w:rPr>
                <w:rFonts w:ascii="微软雅黑" w:hAnsi="微软雅黑" w:cs="微软雅黑" w:eastAsia="微软雅黑" w:hint="default"/>
                <w:spacing w:val="2"/>
                <w:sz w:val="18"/>
                <w:szCs w:val="18"/>
              </w:rPr>
              <w:t>否</w:t>
            </w:r>
            <w:r>
              <w:rPr>
                <w:rFonts w:ascii="微软雅黑" w:hAnsi="微软雅黑" w:cs="微软雅黑" w:eastAsia="微软雅黑" w:hint="default"/>
                <w:sz w:val="18"/>
                <w:szCs w:val="18"/>
              </w:rPr>
              <w:t>出具明确同意的核查意</w:t>
            </w:r>
            <w:r>
              <w:rPr>
                <w:rFonts w:ascii="微软雅黑" w:hAnsi="微软雅黑" w:cs="微软雅黑" w:eastAsia="微软雅黑" w:hint="default"/>
                <w:spacing w:val="-87"/>
                <w:sz w:val="18"/>
                <w:szCs w:val="18"/>
              </w:rPr>
              <w:t>见</w:t>
            </w:r>
            <w:r>
              <w:rPr>
                <w:rFonts w:ascii="微软雅黑" w:hAnsi="微软雅黑" w:cs="微软雅黑" w:eastAsia="微软雅黑" w:hint="default"/>
                <w:sz w:val="18"/>
                <w:szCs w:val="18"/>
              </w:rPr>
              <w:t>（如适</w:t>
            </w:r>
          </w:p>
          <w:p>
            <w:pPr>
              <w:pStyle w:val="TableParagraph"/>
              <w:spacing w:line="306" w:lineRule="exact"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用）</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是</w:t>
            </w:r>
          </w:p>
        </w:tc>
        <w:tc>
          <w:tcPr>
            <w:tcW w:w="2895" w:type="dxa"/>
            <w:tcBorders>
              <w:top w:val="single" w:sz="4" w:space="0" w:color="000000"/>
              <w:left w:val="single" w:sz="4" w:space="0" w:color="000000"/>
              <w:bottom w:val="single" w:sz="4" w:space="0" w:color="000000"/>
              <w:right w:val="single" w:sz="12" w:space="0" w:color="000000"/>
            </w:tcBorders>
          </w:tcPr>
          <w:p>
            <w:pPr/>
          </w:p>
        </w:tc>
      </w:tr>
      <w:tr>
        <w:trPr>
          <w:trHeight w:val="703"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pacing w:val="-3"/>
                <w:sz w:val="18"/>
                <w:szCs w:val="18"/>
              </w:rPr>
              <w:t>三、审计委员会和内部审计部门本年度的主要工作内容不工作</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成效</w:t>
            </w:r>
          </w:p>
        </w:tc>
        <w:tc>
          <w:tcPr>
            <w:tcW w:w="374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40" w:lineRule="auto" w:before="48"/>
              <w:ind w:left="6" w:right="0"/>
              <w:jc w:val="center"/>
              <w:rPr>
                <w:rFonts w:ascii="微软雅黑" w:hAnsi="微软雅黑" w:cs="微软雅黑" w:eastAsia="微软雅黑" w:hint="default"/>
                <w:sz w:val="18"/>
                <w:szCs w:val="18"/>
              </w:rPr>
            </w:pPr>
            <w:r>
              <w:rPr>
                <w:rFonts w:ascii="微软雅黑" w:hAnsi="微软雅黑" w:cs="微软雅黑" w:eastAsia="微软雅黑" w:hint="default"/>
                <w:sz w:val="18"/>
                <w:szCs w:val="18"/>
              </w:rPr>
              <w:t>相关说明</w:t>
            </w:r>
          </w:p>
        </w:tc>
      </w:tr>
      <w:tr>
        <w:trPr>
          <w:trHeight w:val="329" w:hRule="exact"/>
        </w:trPr>
        <w:tc>
          <w:tcPr>
            <w:tcW w:w="4976" w:type="dxa"/>
            <w:tcBorders>
              <w:top w:val="single" w:sz="4" w:space="0" w:color="000000"/>
              <w:left w:val="single" w:sz="12" w:space="0" w:color="000000"/>
              <w:bottom w:val="single" w:sz="4" w:space="0" w:color="000000"/>
              <w:right w:val="single" w:sz="4" w:space="0" w:color="000000"/>
            </w:tcBorders>
          </w:tcPr>
          <w:p>
            <w:pPr>
              <w:pStyle w:val="TableParagraph"/>
              <w:spacing w:line="275"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．审计委员会的主要工作内容不工作成效</w:t>
            </w:r>
          </w:p>
        </w:tc>
        <w:tc>
          <w:tcPr>
            <w:tcW w:w="3747" w:type="dxa"/>
            <w:gridSpan w:val="3"/>
            <w:tcBorders>
              <w:top w:val="single" w:sz="4" w:space="0" w:color="000000"/>
              <w:left w:val="single" w:sz="4" w:space="0" w:color="000000"/>
              <w:bottom w:val="single" w:sz="4" w:space="0" w:color="000000"/>
              <w:right w:val="single" w:sz="12" w:space="0" w:color="000000"/>
            </w:tcBorders>
          </w:tcPr>
          <w:p>
            <w:pPr>
              <w:pStyle w:val="TableParagraph"/>
              <w:spacing w:line="275" w:lineRule="exact"/>
              <w:ind w:left="7" w:right="0"/>
              <w:jc w:val="center"/>
              <w:rPr>
                <w:rFonts w:ascii="微软雅黑" w:hAnsi="微软雅黑" w:cs="微软雅黑" w:eastAsia="微软雅黑" w:hint="default"/>
                <w:sz w:val="18"/>
                <w:szCs w:val="18"/>
              </w:rPr>
            </w:pPr>
            <w:r>
              <w:rPr>
                <w:rFonts w:ascii="微软雅黑" w:hAnsi="微软雅黑" w:cs="微软雅黑" w:eastAsia="微软雅黑" w:hint="default"/>
                <w:w w:val="91"/>
                <w:sz w:val="18"/>
                <w:szCs w:val="18"/>
              </w:rPr>
              <w:t>—</w:t>
            </w:r>
            <w:r>
              <w:rPr>
                <w:rFonts w:ascii="微软雅黑" w:hAnsi="微软雅黑" w:cs="微软雅黑" w:eastAsia="微软雅黑" w:hint="default"/>
                <w:sz w:val="18"/>
                <w:szCs w:val="18"/>
              </w:rPr>
            </w:r>
          </w:p>
        </w:tc>
      </w:tr>
      <w:tr>
        <w:trPr>
          <w:trHeight w:val="831" w:hRule="exact"/>
        </w:trPr>
        <w:tc>
          <w:tcPr>
            <w:tcW w:w="4976" w:type="dxa"/>
            <w:tcBorders>
              <w:top w:val="single" w:sz="4" w:space="0" w:color="000000"/>
              <w:left w:val="single" w:sz="12" w:space="0" w:color="000000"/>
              <w:bottom w:val="single" w:sz="12" w:space="0" w:color="000000"/>
              <w:right w:val="single" w:sz="4" w:space="0" w:color="000000"/>
            </w:tcBorders>
          </w:tcPr>
          <w:p>
            <w:pPr>
              <w:pStyle w:val="TableParagraph"/>
              <w:spacing w:line="295"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）说明审计委员会每季度召开会议审议内部审计部门提交</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的工作计划和报告的具体情况</w:t>
            </w:r>
          </w:p>
        </w:tc>
        <w:tc>
          <w:tcPr>
            <w:tcW w:w="3747" w:type="dxa"/>
            <w:gridSpan w:val="3"/>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8"/>
              <w:ind w:left="103" w:right="202"/>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公司审计部每季度编制公司募集资金使用报 告，并向审计委员会报告。</w:t>
            </w:r>
          </w:p>
        </w:tc>
      </w:tr>
    </w:tbl>
    <w:p>
      <w:pPr>
        <w:spacing w:after="0" w:line="240" w:lineRule="auto"/>
        <w:jc w:val="left"/>
        <w:rPr>
          <w:rFonts w:ascii="微软雅黑" w:hAnsi="微软雅黑" w:cs="微软雅黑" w:eastAsia="微软雅黑" w:hint="default"/>
          <w:sz w:val="18"/>
          <w:szCs w:val="18"/>
        </w:rPr>
        <w:sectPr>
          <w:pgSz w:w="11910" w:h="16840"/>
          <w:pgMar w:header="884" w:footer="1173" w:top="1140" w:bottom="1360" w:left="1660" w:right="1260"/>
        </w:sectPr>
      </w:pPr>
    </w:p>
    <w:p>
      <w:pPr>
        <w:spacing w:line="240" w:lineRule="auto" w:before="5"/>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76"/>
        <w:gridCol w:w="3747"/>
      </w:tblGrid>
      <w:tr>
        <w:trPr>
          <w:trHeight w:val="1013" w:hRule="exact"/>
        </w:trPr>
        <w:tc>
          <w:tcPr>
            <w:tcW w:w="4976" w:type="dxa"/>
            <w:tcBorders>
              <w:top w:val="single" w:sz="4" w:space="0" w:color="000000"/>
              <w:left w:val="single" w:sz="12" w:space="0" w:color="000000"/>
              <w:bottom w:val="single" w:sz="12" w:space="0" w:color="000000"/>
              <w:right w:val="single" w:sz="4" w:space="0" w:color="000000"/>
            </w:tcBorders>
          </w:tcPr>
          <w:p>
            <w:pPr>
              <w:pStyle w:val="TableParagraph"/>
              <w:spacing w:line="295"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）说明审计委员会每季度向董事会报告内部审计工作的具</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体情况</w:t>
            </w:r>
          </w:p>
        </w:tc>
        <w:tc>
          <w:tcPr>
            <w:tcW w:w="37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8"/>
              <w:ind w:left="103" w:right="22"/>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在每季度报告、半年度报告的审议过程中，审 委会委员对募集资金的使用均会向董事会进行 说明。</w:t>
            </w:r>
          </w:p>
        </w:tc>
      </w:tr>
      <w:tr>
        <w:trPr>
          <w:trHeight w:val="1274"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3</w:t>
            </w:r>
            <w:r>
              <w:rPr>
                <w:rFonts w:ascii="微软雅黑" w:hAnsi="微软雅黑" w:cs="微软雅黑" w:eastAsia="微软雅黑" w:hint="default"/>
                <w:sz w:val="18"/>
                <w:szCs w:val="18"/>
              </w:rPr>
              <w:t>）审计委员会认为公司内部控制存在重大缺陷戒重大风险</w:t>
            </w:r>
          </w:p>
          <w:p>
            <w:pPr>
              <w:pStyle w:val="TableParagraph"/>
              <w:spacing w:line="240" w:lineRule="auto" w:before="1"/>
              <w:ind w:left="93" w:right="54"/>
              <w:jc w:val="both"/>
              <w:rPr>
                <w:rFonts w:ascii="微软雅黑" w:hAnsi="微软雅黑" w:cs="微软雅黑" w:eastAsia="微软雅黑" w:hint="default"/>
                <w:sz w:val="18"/>
                <w:szCs w:val="18"/>
              </w:rPr>
            </w:pPr>
            <w:r>
              <w:rPr>
                <w:rFonts w:ascii="微软雅黑" w:hAnsi="微软雅黑" w:cs="微软雅黑" w:eastAsia="微软雅黑" w:hint="default"/>
                <w:spacing w:val="-2"/>
                <w:sz w:val="18"/>
                <w:szCs w:val="18"/>
              </w:rPr>
              <w:t>的，说明内部控制存在的重大缺陷戒重大风险，并说明是否及</w:t>
            </w:r>
            <w:r>
              <w:rPr>
                <w:rFonts w:ascii="微软雅黑" w:hAnsi="微软雅黑" w:cs="微软雅黑" w:eastAsia="微软雅黑" w:hint="default"/>
                <w:sz w:val="18"/>
                <w:szCs w:val="18"/>
              </w:rPr>
              <w:t> </w:t>
            </w:r>
            <w:r>
              <w:rPr>
                <w:rFonts w:ascii="微软雅黑" w:hAnsi="微软雅黑" w:cs="微软雅黑" w:eastAsia="微软雅黑" w:hint="default"/>
                <w:spacing w:val="-2"/>
                <w:sz w:val="18"/>
                <w:szCs w:val="18"/>
              </w:rPr>
              <w:t>时向董事会报告，并提请董事会及时向证券交易所报告并予以</w:t>
            </w:r>
            <w:r>
              <w:rPr>
                <w:rFonts w:ascii="微软雅黑" w:hAnsi="微软雅黑" w:cs="微软雅黑" w:eastAsia="微软雅黑" w:hint="default"/>
                <w:sz w:val="18"/>
                <w:szCs w:val="18"/>
              </w:rPr>
              <w:t> 披露（如适用）</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无</w:t>
            </w:r>
          </w:p>
        </w:tc>
      </w:tr>
      <w:tr>
        <w:trPr>
          <w:trHeight w:val="1441"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4</w:t>
            </w:r>
            <w:r>
              <w:rPr>
                <w:rFonts w:ascii="微软雅黑" w:hAnsi="微软雅黑" w:cs="微软雅黑" w:eastAsia="微软雅黑" w:hint="default"/>
                <w:sz w:val="18"/>
                <w:szCs w:val="18"/>
              </w:rPr>
              <w:t>）说明审计委员会所做的其他工作</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8"/>
              <w:ind w:left="103" w:right="17"/>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按照年报审计工作规程，做好</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年年报审计</w:t>
            </w:r>
            <w:r>
              <w:rPr>
                <w:rFonts w:ascii="微软雅黑" w:hAnsi="微软雅黑" w:cs="微软雅黑" w:eastAsia="微软雅黑" w:hint="default"/>
                <w:spacing w:val="-50"/>
                <w:sz w:val="18"/>
                <w:szCs w:val="18"/>
              </w:rPr>
              <w:t> </w:t>
            </w:r>
            <w:r>
              <w:rPr>
                <w:rFonts w:ascii="微软雅黑" w:hAnsi="微软雅黑" w:cs="微软雅黑" w:eastAsia="微软雅黑" w:hint="default"/>
                <w:sz w:val="18"/>
                <w:szCs w:val="18"/>
              </w:rPr>
              <w:t>的相关工作，对财务报表出具审核意见，对审 计机构的审计工作进行总体评价。</w:t>
            </w:r>
          </w:p>
        </w:tc>
      </w:tr>
      <w:tr>
        <w:trPr>
          <w:trHeight w:val="720"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7" w:lineRule="exact"/>
              <w:ind w:left="93" w:right="0"/>
              <w:jc w:val="left"/>
              <w:rPr>
                <w:rFonts w:ascii="微软雅黑" w:hAnsi="微软雅黑" w:cs="微软雅黑" w:eastAsia="微软雅黑" w:hint="default"/>
                <w:sz w:val="18"/>
                <w:szCs w:val="18"/>
              </w:rPr>
            </w:pP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．内部审计部门的主要工作内容不工作成效</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0"/>
              <w:ind w:left="103" w:right="0"/>
              <w:jc w:val="left"/>
              <w:rPr>
                <w:rFonts w:ascii="微软雅黑" w:hAnsi="微软雅黑" w:cs="微软雅黑" w:eastAsia="微软雅黑" w:hint="default"/>
                <w:sz w:val="18"/>
                <w:szCs w:val="18"/>
              </w:rPr>
            </w:pPr>
            <w:r>
              <w:rPr>
                <w:rFonts w:ascii="微软雅黑" w:hAnsi="微软雅黑" w:cs="微软雅黑" w:eastAsia="微软雅黑" w:hint="default"/>
                <w:w w:val="99"/>
                <w:sz w:val="18"/>
                <w:szCs w:val="18"/>
              </w:rPr>
              <w:t>—</w:t>
            </w:r>
            <w:r>
              <w:rPr>
                <w:rFonts w:ascii="微软雅黑" w:hAnsi="微软雅黑" w:cs="微软雅黑" w:eastAsia="微软雅黑" w:hint="default"/>
                <w:sz w:val="18"/>
                <w:szCs w:val="18"/>
              </w:rPr>
            </w:r>
          </w:p>
        </w:tc>
      </w:tr>
      <w:tr>
        <w:trPr>
          <w:trHeight w:val="2143"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）说明内部审计部门每季度向审计委员会报告内部审计计</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划的执行情况以及内部审计工作中发现的问题的具体情况</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8"/>
              <w:ind w:left="103" w:right="-3"/>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公司审计部每季度末以邮件形式向审计委员会 各成员汇报当季工作情况，并就重大事项编写 与项报告呈送给审计委员会。在</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年度，公 </w:t>
            </w:r>
            <w:r>
              <w:rPr>
                <w:rFonts w:ascii="微软雅黑" w:hAnsi="微软雅黑" w:cs="微软雅黑" w:eastAsia="微软雅黑" w:hint="default"/>
                <w:spacing w:val="-3"/>
                <w:sz w:val="18"/>
                <w:szCs w:val="18"/>
              </w:rPr>
              <w:t>司审计部共提交报告</w:t>
            </w:r>
            <w:r>
              <w:rPr>
                <w:rFonts w:ascii="Times New Roman" w:hAnsi="Times New Roman" w:cs="Times New Roman" w:eastAsia="Times New Roman" w:hint="default"/>
                <w:spacing w:val="-3"/>
                <w:sz w:val="18"/>
                <w:szCs w:val="18"/>
              </w:rPr>
              <w:t>6</w:t>
            </w:r>
            <w:r>
              <w:rPr>
                <w:rFonts w:ascii="微软雅黑" w:hAnsi="微软雅黑" w:cs="微软雅黑" w:eastAsia="微软雅黑" w:hint="default"/>
                <w:spacing w:val="-3"/>
                <w:sz w:val="18"/>
                <w:szCs w:val="18"/>
              </w:rPr>
              <w:t>仹，包括</w:t>
            </w:r>
            <w:r>
              <w:rPr>
                <w:rFonts w:ascii="Times New Roman" w:hAnsi="Times New Roman" w:cs="Times New Roman" w:eastAsia="Times New Roman" w:hint="default"/>
                <w:spacing w:val="-3"/>
                <w:sz w:val="18"/>
                <w:szCs w:val="18"/>
              </w:rPr>
              <w:t>2011</w:t>
            </w:r>
            <w:r>
              <w:rPr>
                <w:rFonts w:ascii="微软雅黑" w:hAnsi="微软雅黑" w:cs="微软雅黑" w:eastAsia="微软雅黑" w:hint="default"/>
                <w:spacing w:val="-3"/>
                <w:sz w:val="18"/>
                <w:szCs w:val="18"/>
              </w:rPr>
              <w:t>年度工作计</w:t>
            </w:r>
            <w:r>
              <w:rPr>
                <w:rFonts w:ascii="微软雅黑" w:hAnsi="微软雅黑" w:cs="微软雅黑" w:eastAsia="微软雅黑" w:hint="default"/>
                <w:spacing w:val="-51"/>
                <w:sz w:val="18"/>
                <w:szCs w:val="18"/>
              </w:rPr>
              <w:t> </w:t>
            </w:r>
            <w:r>
              <w:rPr>
                <w:rFonts w:ascii="微软雅黑" w:hAnsi="微软雅黑" w:cs="微软雅黑" w:eastAsia="微软雅黑" w:hint="default"/>
                <w:sz w:val="18"/>
                <w:szCs w:val="18"/>
              </w:rPr>
              <w:t>划、内部控制建设建议、募集资金使用情况， </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各季度工作汇报等。</w:t>
            </w:r>
          </w:p>
        </w:tc>
      </w:tr>
      <w:tr>
        <w:trPr>
          <w:trHeight w:val="1990"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310" w:lineRule="exact" w:before="2"/>
              <w:ind w:left="93" w:right="1"/>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2</w:t>
            </w:r>
            <w:r>
              <w:rPr>
                <w:rFonts w:ascii="微软雅黑" w:hAnsi="微软雅黑" w:cs="微软雅黑" w:eastAsia="微软雅黑" w:hint="default"/>
                <w:sz w:val="18"/>
                <w:szCs w:val="18"/>
              </w:rPr>
              <w:t>）说明内部审计部门本年度按照内审指引及相关规定要求 对重要的对外投资、购买和出售资产、对外担保、关联交易、</w:t>
            </w:r>
          </w:p>
          <w:p>
            <w:pPr>
              <w:pStyle w:val="TableParagraph"/>
              <w:spacing w:line="312" w:lineRule="exact"/>
              <w:ind w:left="93" w:right="181"/>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募集资金使用和信息披露事务管理等事项进行审计并出具内 部审计报告的具体情况</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1"/>
              <w:ind w:left="103" w:right="-3"/>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公司审计部在</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年度对募集资产使用情况共 </w:t>
            </w:r>
            <w:r>
              <w:rPr>
                <w:rFonts w:ascii="微软雅黑" w:hAnsi="微软雅黑" w:cs="微软雅黑" w:eastAsia="微软雅黑" w:hint="default"/>
                <w:spacing w:val="-3"/>
                <w:sz w:val="18"/>
                <w:szCs w:val="18"/>
              </w:rPr>
              <w:t>出具审计报告</w:t>
            </w:r>
            <w:r>
              <w:rPr>
                <w:rFonts w:ascii="Times New Roman" w:hAnsi="Times New Roman" w:cs="Times New Roman" w:eastAsia="Times New Roman" w:hint="default"/>
                <w:spacing w:val="-3"/>
                <w:sz w:val="18"/>
                <w:szCs w:val="18"/>
              </w:rPr>
              <w:t>4</w:t>
            </w:r>
            <w:r>
              <w:rPr>
                <w:rFonts w:ascii="微软雅黑" w:hAnsi="微软雅黑" w:cs="微软雅黑" w:eastAsia="微软雅黑" w:hint="default"/>
                <w:spacing w:val="-3"/>
                <w:sz w:val="18"/>
                <w:szCs w:val="18"/>
              </w:rPr>
              <w:t>仹，对</w:t>
            </w:r>
            <w:r>
              <w:rPr>
                <w:rFonts w:ascii="Times New Roman" w:hAnsi="Times New Roman" w:cs="Times New Roman" w:eastAsia="Times New Roman" w:hint="default"/>
                <w:spacing w:val="-3"/>
                <w:sz w:val="18"/>
                <w:szCs w:val="18"/>
              </w:rPr>
              <w:t>2010</w:t>
            </w:r>
            <w:r>
              <w:rPr>
                <w:rFonts w:ascii="微软雅黑" w:hAnsi="微软雅黑" w:cs="微软雅黑" w:eastAsia="微软雅黑" w:hint="default"/>
                <w:spacing w:val="-3"/>
                <w:sz w:val="18"/>
                <w:szCs w:val="18"/>
              </w:rPr>
              <w:t>年度及</w:t>
            </w:r>
            <w:r>
              <w:rPr>
                <w:rFonts w:ascii="Times New Roman" w:hAnsi="Times New Roman" w:cs="Times New Roman" w:eastAsia="Times New Roman" w:hint="default"/>
                <w:spacing w:val="-3"/>
                <w:sz w:val="18"/>
                <w:szCs w:val="18"/>
              </w:rPr>
              <w:t>2011</w:t>
            </w:r>
            <w:r>
              <w:rPr>
                <w:rFonts w:ascii="微软雅黑" w:hAnsi="微软雅黑" w:cs="微软雅黑" w:eastAsia="微软雅黑" w:hint="default"/>
                <w:spacing w:val="-3"/>
                <w:sz w:val="18"/>
                <w:szCs w:val="18"/>
              </w:rPr>
              <w:t>年前三季</w:t>
            </w:r>
            <w:r>
              <w:rPr>
                <w:rFonts w:ascii="微软雅黑" w:hAnsi="微软雅黑" w:cs="微软雅黑" w:eastAsia="微软雅黑" w:hint="default"/>
                <w:spacing w:val="-48"/>
                <w:sz w:val="18"/>
                <w:szCs w:val="18"/>
              </w:rPr>
              <w:t> </w:t>
            </w:r>
            <w:r>
              <w:rPr>
                <w:rFonts w:ascii="微软雅黑" w:hAnsi="微软雅黑" w:cs="微软雅黑" w:eastAsia="微软雅黑" w:hint="default"/>
                <w:sz w:val="18"/>
                <w:szCs w:val="18"/>
              </w:rPr>
              <w:t>度的募集资金使用和管理情况进行了审计，审 计过程中未发现重大违规情况。</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年全年募 集资金的审计在</w:t>
            </w:r>
            <w:r>
              <w:rPr>
                <w:rFonts w:ascii="Times New Roman" w:hAnsi="Times New Roman" w:cs="Times New Roman" w:eastAsia="Times New Roman" w:hint="default"/>
                <w:sz w:val="18"/>
                <w:szCs w:val="18"/>
              </w:rPr>
              <w:t>2012</w:t>
            </w:r>
            <w:r>
              <w:rPr>
                <w:rFonts w:ascii="微软雅黑" w:hAnsi="微软雅黑" w:cs="微软雅黑" w:eastAsia="微软雅黑" w:hint="default"/>
                <w:sz w:val="18"/>
                <w:szCs w:val="18"/>
              </w:rPr>
              <w:t>年进年初进行，并提交了 审计报告。</w:t>
            </w:r>
          </w:p>
        </w:tc>
      </w:tr>
      <w:tr>
        <w:trPr>
          <w:trHeight w:val="1142"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310" w:lineRule="exact" w:before="1"/>
              <w:ind w:left="93" w:right="54"/>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3</w:t>
            </w:r>
            <w:r>
              <w:rPr>
                <w:rFonts w:ascii="微软雅黑" w:hAnsi="微软雅黑" w:cs="微软雅黑" w:eastAsia="微软雅黑" w:hint="default"/>
                <w:sz w:val="18"/>
                <w:szCs w:val="18"/>
              </w:rPr>
              <w:t>）内部审计部门在对内部控制审查过程中发现内部控制存 </w:t>
            </w:r>
            <w:r>
              <w:rPr>
                <w:rFonts w:ascii="微软雅黑" w:hAnsi="微软雅黑" w:cs="微软雅黑" w:eastAsia="微软雅黑" w:hint="default"/>
                <w:spacing w:val="-2"/>
                <w:sz w:val="18"/>
                <w:szCs w:val="18"/>
              </w:rPr>
              <w:t>在重大缺陷戒重大风险的，说明内部控制存在的重大缺陷戒重</w:t>
            </w:r>
          </w:p>
          <w:p>
            <w:pPr>
              <w:pStyle w:val="TableParagraph"/>
              <w:spacing w:line="297"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大风险，并说明是否向审计委员会报告（如适用）</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0"/>
              <w:ind w:left="103" w:right="22"/>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公司审计部在</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年对内部控制审查过程中， 未发现公司内部控制存在重大缺陷戒重大风 险。</w:t>
            </w:r>
          </w:p>
        </w:tc>
      </w:tr>
      <w:tr>
        <w:trPr>
          <w:trHeight w:val="1131"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310" w:lineRule="exact" w:before="1"/>
              <w:ind w:left="93" w:right="1"/>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4</w:t>
            </w:r>
            <w:r>
              <w:rPr>
                <w:rFonts w:ascii="微软雅黑" w:hAnsi="微软雅黑" w:cs="微软雅黑" w:eastAsia="微软雅黑" w:hint="default"/>
                <w:sz w:val="18"/>
                <w:szCs w:val="18"/>
              </w:rPr>
              <w:t>）说明内部审计部门是否按照有关规定评价公司不财务报 告和信息披露事务相关的内部控制制度建立和实施的有效性，</w:t>
            </w:r>
          </w:p>
          <w:p>
            <w:pPr>
              <w:pStyle w:val="TableParagraph"/>
              <w:spacing w:line="297"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并向审计委员会提交内部控制评价报告</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1"/>
              <w:ind w:left="103" w:right="22"/>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公司审计部经过审查对公司财务报告和信息披 露相关内部控制制度建立和实施的有效性进行 了评价，并提交了评价报告。</w:t>
            </w:r>
          </w:p>
        </w:tc>
      </w:tr>
      <w:tr>
        <w:trPr>
          <w:trHeight w:val="1414"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5</w:t>
            </w:r>
            <w:r>
              <w:rPr>
                <w:rFonts w:ascii="微软雅黑" w:hAnsi="微软雅黑" w:cs="微软雅黑" w:eastAsia="微软雅黑" w:hint="default"/>
                <w:sz w:val="18"/>
                <w:szCs w:val="18"/>
              </w:rPr>
              <w:t>）说明内部审计部门向审计委员会提交下一年度内部审计</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工作计划和本年度内部审计工作报告的具体情况</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8"/>
              <w:ind w:left="103" w:right="19"/>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公司审计部已在</w:t>
            </w:r>
            <w:r>
              <w:rPr>
                <w:rFonts w:ascii="Times New Roman" w:hAnsi="Times New Roman" w:cs="Times New Roman" w:eastAsia="Times New Roman" w:hint="default"/>
                <w:sz w:val="18"/>
                <w:szCs w:val="18"/>
              </w:rPr>
              <w:t>2012</w:t>
            </w:r>
            <w:r>
              <w:rPr>
                <w:rFonts w:ascii="微软雅黑" w:hAnsi="微软雅黑" w:cs="微软雅黑" w:eastAsia="微软雅黑" w:hint="default"/>
                <w:sz w:val="18"/>
                <w:szCs w:val="18"/>
              </w:rPr>
              <w:t>年</w:t>
            </w:r>
            <w:r>
              <w:rPr>
                <w:rFonts w:ascii="Times New Roman" w:hAnsi="Times New Roman" w:cs="Times New Roman" w:eastAsia="Times New Roman" w:hint="default"/>
                <w:sz w:val="18"/>
                <w:szCs w:val="18"/>
              </w:rPr>
              <w:t>1</w:t>
            </w:r>
            <w:r>
              <w:rPr>
                <w:rFonts w:ascii="微软雅黑" w:hAnsi="微软雅黑" w:cs="微软雅黑" w:eastAsia="微软雅黑" w:hint="default"/>
                <w:sz w:val="18"/>
                <w:szCs w:val="18"/>
              </w:rPr>
              <w:t>月初向审计委员会提 交了下一年度的工作计划。并在</w:t>
            </w:r>
            <w:r>
              <w:rPr>
                <w:rFonts w:ascii="Times New Roman" w:hAnsi="Times New Roman" w:cs="Times New Roman" w:eastAsia="Times New Roman" w:hint="default"/>
                <w:sz w:val="18"/>
                <w:szCs w:val="18"/>
              </w:rPr>
              <w:t>2012</w:t>
            </w:r>
            <w:r>
              <w:rPr>
                <w:rFonts w:ascii="微软雅黑" w:hAnsi="微软雅黑" w:cs="微软雅黑" w:eastAsia="微软雅黑" w:hint="default"/>
                <w:sz w:val="18"/>
                <w:szCs w:val="18"/>
              </w:rPr>
              <w:t>年初对结 合对</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年内部控制评价报告，向审计委员会 进行全年工作汇报</w:t>
            </w:r>
            <w:r>
              <w:rPr>
                <w:rFonts w:ascii="微软雅黑" w:hAnsi="微软雅黑" w:cs="微软雅黑" w:eastAsia="微软雅黑" w:hint="default"/>
                <w:spacing w:val="37"/>
                <w:sz w:val="18"/>
                <w:szCs w:val="18"/>
              </w:rPr>
              <w:t> </w:t>
            </w:r>
            <w:r>
              <w:rPr>
                <w:rFonts w:ascii="微软雅黑" w:hAnsi="微软雅黑" w:cs="微软雅黑" w:eastAsia="微软雅黑" w:hint="default"/>
                <w:sz w:val="18"/>
                <w:szCs w:val="18"/>
              </w:rPr>
              <w:t>。</w:t>
            </w:r>
          </w:p>
        </w:tc>
      </w:tr>
      <w:tr>
        <w:trPr>
          <w:trHeight w:val="1032"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4"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6</w:t>
            </w:r>
            <w:r>
              <w:rPr>
                <w:rFonts w:ascii="微软雅黑" w:hAnsi="微软雅黑" w:cs="微软雅黑" w:eastAsia="微软雅黑" w:hint="default"/>
                <w:sz w:val="18"/>
                <w:szCs w:val="18"/>
              </w:rPr>
              <w:t>）说明内部审计工作底稿和内部审计报告的编制和归档是</w:t>
            </w:r>
          </w:p>
          <w:p>
            <w:pPr>
              <w:pStyle w:val="TableParagraph"/>
              <w:spacing w:line="240" w:lineRule="auto" w:before="1"/>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否符合相关规定</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48"/>
              <w:ind w:left="103" w:right="22"/>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公司审计部档案管理参照公司现有档案管理制 度执行，无丌符合相关规定情况。</w:t>
            </w:r>
          </w:p>
        </w:tc>
      </w:tr>
    </w:tbl>
    <w:p>
      <w:pPr>
        <w:spacing w:after="0" w:line="240" w:lineRule="auto"/>
        <w:jc w:val="left"/>
        <w:rPr>
          <w:rFonts w:ascii="微软雅黑" w:hAnsi="微软雅黑" w:cs="微软雅黑" w:eastAsia="微软雅黑" w:hint="default"/>
          <w:sz w:val="18"/>
          <w:szCs w:val="18"/>
        </w:rPr>
        <w:sectPr>
          <w:pgSz w:w="11910" w:h="16840"/>
          <w:pgMar w:header="884" w:footer="1173" w:top="1140" w:bottom="1360" w:left="1660" w:right="1260"/>
        </w:sectPr>
      </w:pPr>
    </w:p>
    <w:p>
      <w:pPr>
        <w:spacing w:line="240" w:lineRule="auto" w:before="5"/>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976"/>
        <w:gridCol w:w="3747"/>
      </w:tblGrid>
      <w:tr>
        <w:trPr>
          <w:trHeight w:val="2004" w:hRule="exact"/>
        </w:trPr>
        <w:tc>
          <w:tcPr>
            <w:tcW w:w="4976" w:type="dxa"/>
            <w:tcBorders>
              <w:top w:val="single" w:sz="4" w:space="0" w:color="000000"/>
              <w:left w:val="single" w:sz="12" w:space="0" w:color="000000"/>
              <w:bottom w:val="single" w:sz="12" w:space="0" w:color="000000"/>
              <w:right w:val="single" w:sz="4" w:space="0" w:color="000000"/>
            </w:tcBorders>
          </w:tcPr>
          <w:p>
            <w:pPr>
              <w:pStyle w:val="TableParagraph"/>
              <w:spacing w:line="295"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w:t>
            </w:r>
            <w:r>
              <w:rPr>
                <w:rFonts w:ascii="Times New Roman" w:hAnsi="Times New Roman" w:cs="Times New Roman" w:eastAsia="Times New Roman" w:hint="default"/>
                <w:sz w:val="18"/>
                <w:szCs w:val="18"/>
              </w:rPr>
              <w:t>7</w:t>
            </w:r>
            <w:r>
              <w:rPr>
                <w:rFonts w:ascii="微软雅黑" w:hAnsi="微软雅黑" w:cs="微软雅黑" w:eastAsia="微软雅黑" w:hint="default"/>
                <w:sz w:val="18"/>
                <w:szCs w:val="18"/>
              </w:rPr>
              <w:t>）说明内部审计部门所做的其他工作</w:t>
            </w:r>
          </w:p>
        </w:tc>
        <w:tc>
          <w:tcPr>
            <w:tcW w:w="374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8"/>
              <w:ind w:left="103" w:right="-3"/>
              <w:jc w:val="both"/>
              <w:rPr>
                <w:rFonts w:ascii="微软雅黑" w:hAnsi="微软雅黑" w:cs="微软雅黑" w:eastAsia="微软雅黑" w:hint="default"/>
                <w:sz w:val="18"/>
                <w:szCs w:val="18"/>
              </w:rPr>
            </w:pPr>
            <w:r>
              <w:rPr>
                <w:rFonts w:ascii="微软雅黑" w:hAnsi="微软雅黑" w:cs="微软雅黑" w:eastAsia="微软雅黑" w:hint="default"/>
                <w:sz w:val="18"/>
                <w:szCs w:val="18"/>
              </w:rPr>
              <w:t>公司审计部每季度末以邮件形式向审计委员会 各成员汇报当季工作情况，并就重大事项编写 与项报告呈送给审计委员会。在</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年度，公 </w:t>
            </w:r>
            <w:r>
              <w:rPr>
                <w:rFonts w:ascii="微软雅黑" w:hAnsi="微软雅黑" w:cs="微软雅黑" w:eastAsia="微软雅黑" w:hint="default"/>
                <w:spacing w:val="-3"/>
                <w:sz w:val="18"/>
                <w:szCs w:val="18"/>
              </w:rPr>
              <w:t>司审计部共提交报告</w:t>
            </w:r>
            <w:r>
              <w:rPr>
                <w:rFonts w:ascii="Times New Roman" w:hAnsi="Times New Roman" w:cs="Times New Roman" w:eastAsia="Times New Roman" w:hint="default"/>
                <w:spacing w:val="-3"/>
                <w:sz w:val="18"/>
                <w:szCs w:val="18"/>
              </w:rPr>
              <w:t>6</w:t>
            </w:r>
            <w:r>
              <w:rPr>
                <w:rFonts w:ascii="微软雅黑" w:hAnsi="微软雅黑" w:cs="微软雅黑" w:eastAsia="微软雅黑" w:hint="default"/>
                <w:spacing w:val="-3"/>
                <w:sz w:val="18"/>
                <w:szCs w:val="18"/>
              </w:rPr>
              <w:t>仹，包括</w:t>
            </w:r>
            <w:r>
              <w:rPr>
                <w:rFonts w:ascii="Times New Roman" w:hAnsi="Times New Roman" w:cs="Times New Roman" w:eastAsia="Times New Roman" w:hint="default"/>
                <w:spacing w:val="-3"/>
                <w:sz w:val="18"/>
                <w:szCs w:val="18"/>
              </w:rPr>
              <w:t>2011</w:t>
            </w:r>
            <w:r>
              <w:rPr>
                <w:rFonts w:ascii="微软雅黑" w:hAnsi="微软雅黑" w:cs="微软雅黑" w:eastAsia="微软雅黑" w:hint="default"/>
                <w:spacing w:val="-3"/>
                <w:sz w:val="18"/>
                <w:szCs w:val="18"/>
              </w:rPr>
              <w:t>年度工作计</w:t>
            </w:r>
            <w:r>
              <w:rPr>
                <w:rFonts w:ascii="微软雅黑" w:hAnsi="微软雅黑" w:cs="微软雅黑" w:eastAsia="微软雅黑" w:hint="default"/>
                <w:spacing w:val="-51"/>
                <w:sz w:val="18"/>
                <w:szCs w:val="18"/>
              </w:rPr>
              <w:t> </w:t>
            </w:r>
            <w:r>
              <w:rPr>
                <w:rFonts w:ascii="微软雅黑" w:hAnsi="微软雅黑" w:cs="微软雅黑" w:eastAsia="微软雅黑" w:hint="default"/>
                <w:sz w:val="18"/>
                <w:szCs w:val="18"/>
              </w:rPr>
              <w:t>划、内部控制建设建议、募集资金使用情况， </w:t>
            </w:r>
            <w:r>
              <w:rPr>
                <w:rFonts w:ascii="Times New Roman" w:hAnsi="Times New Roman" w:cs="Times New Roman" w:eastAsia="Times New Roman" w:hint="default"/>
                <w:sz w:val="18"/>
                <w:szCs w:val="18"/>
              </w:rPr>
              <w:t>2011</w:t>
            </w:r>
            <w:r>
              <w:rPr>
                <w:rFonts w:ascii="微软雅黑" w:hAnsi="微软雅黑" w:cs="微软雅黑" w:eastAsia="微软雅黑" w:hint="default"/>
                <w:sz w:val="18"/>
                <w:szCs w:val="18"/>
              </w:rPr>
              <w:t>各季度工作汇报等。</w:t>
            </w:r>
          </w:p>
        </w:tc>
      </w:tr>
      <w:tr>
        <w:trPr>
          <w:trHeight w:val="566" w:hRule="exact"/>
        </w:trPr>
        <w:tc>
          <w:tcPr>
            <w:tcW w:w="4976" w:type="dxa"/>
            <w:tcBorders>
              <w:top w:val="single" w:sz="12" w:space="0" w:color="000000"/>
              <w:left w:val="single" w:sz="12" w:space="0" w:color="000000"/>
              <w:bottom w:val="single" w:sz="12" w:space="0" w:color="000000"/>
              <w:right w:val="single" w:sz="4" w:space="0" w:color="000000"/>
            </w:tcBorders>
          </w:tcPr>
          <w:p>
            <w:pPr>
              <w:pStyle w:val="TableParagraph"/>
              <w:spacing w:line="297" w:lineRule="exact"/>
              <w:ind w:left="9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四、公司认为需要说明的其他情况（如有）</w:t>
            </w:r>
          </w:p>
        </w:tc>
        <w:tc>
          <w:tcPr>
            <w:tcW w:w="3747" w:type="dxa"/>
            <w:tcBorders>
              <w:top w:val="single" w:sz="12" w:space="0" w:color="000000"/>
              <w:left w:val="single" w:sz="4" w:space="0" w:color="000000"/>
              <w:bottom w:val="single" w:sz="12" w:space="0" w:color="000000"/>
              <w:right w:val="single" w:sz="12" w:space="0" w:color="000000"/>
            </w:tcBorders>
          </w:tcPr>
          <w:p>
            <w:pPr>
              <w:pStyle w:val="TableParagraph"/>
              <w:spacing w:line="240" w:lineRule="auto" w:before="50"/>
              <w:ind w:left="103" w:right="0"/>
              <w:jc w:val="left"/>
              <w:rPr>
                <w:rFonts w:ascii="微软雅黑" w:hAnsi="微软雅黑" w:cs="微软雅黑" w:eastAsia="微软雅黑" w:hint="default"/>
                <w:sz w:val="18"/>
                <w:szCs w:val="18"/>
              </w:rPr>
            </w:pPr>
            <w:r>
              <w:rPr>
                <w:rFonts w:ascii="微软雅黑" w:hAnsi="微软雅黑" w:cs="微软雅黑" w:eastAsia="微软雅黑" w:hint="default"/>
                <w:sz w:val="18"/>
                <w:szCs w:val="18"/>
              </w:rPr>
              <w:t>无</w:t>
            </w:r>
          </w:p>
        </w:tc>
      </w:tr>
    </w:tbl>
    <w:p>
      <w:pPr>
        <w:spacing w:line="240" w:lineRule="auto" w:before="11"/>
        <w:rPr>
          <w:rFonts w:ascii="Times New Roman" w:hAnsi="Times New Roman" w:cs="Times New Roman" w:eastAsia="Times New Roman" w:hint="default"/>
          <w:sz w:val="27"/>
          <w:szCs w:val="27"/>
        </w:rPr>
      </w:pPr>
    </w:p>
    <w:p>
      <w:pPr>
        <w:pStyle w:val="Heading3"/>
        <w:spacing w:line="240" w:lineRule="auto" w:before="7"/>
        <w:ind w:right="100"/>
        <w:jc w:val="left"/>
        <w:rPr>
          <w:b w:val="0"/>
          <w:bCs w:val="0"/>
        </w:rPr>
      </w:pPr>
      <w:bookmarkStart w:name="_TOC_250011" w:id="77"/>
      <w:r>
        <w:rPr/>
        <w:t>七、同业竞争以及关联交易情况</w:t>
      </w:r>
      <w:bookmarkEnd w:id="77"/>
      <w:r>
        <w:rPr>
          <w:b w:val="0"/>
          <w:bCs w:val="0"/>
        </w:rPr>
      </w:r>
    </w:p>
    <w:p>
      <w:pPr>
        <w:spacing w:line="240" w:lineRule="auto" w:before="5"/>
        <w:rPr>
          <w:rFonts w:ascii="宋体" w:hAnsi="宋体" w:cs="宋体" w:eastAsia="宋体" w:hint="default"/>
          <w:b/>
          <w:bCs/>
          <w:sz w:val="35"/>
          <w:szCs w:val="35"/>
        </w:rPr>
      </w:pPr>
    </w:p>
    <w:p>
      <w:pPr>
        <w:pStyle w:val="BodyText"/>
        <w:spacing w:line="357" w:lineRule="auto"/>
        <w:ind w:right="100" w:firstLine="479"/>
        <w:jc w:val="left"/>
      </w:pPr>
      <w:r>
        <w:rPr/>
        <w:t>公司不存在因为部分改制、行业特性、国家政策或收购兼并等原因导致同业竞 争或关联交易问题。</w:t>
      </w:r>
    </w:p>
    <w:p>
      <w:pPr>
        <w:pStyle w:val="BodyText"/>
        <w:spacing w:line="357" w:lineRule="auto" w:before="36"/>
        <w:ind w:left="618" w:right="100"/>
        <w:jc w:val="left"/>
      </w:pPr>
      <w:r>
        <w:rPr/>
        <w:t>报告期内，公司未发生同业竞争情况。 报告期内，公司无重大关联交易，公司的关联交易均发生在公司与公司参股公</w:t>
      </w:r>
    </w:p>
    <w:p>
      <w:pPr>
        <w:pStyle w:val="BodyText"/>
        <w:spacing w:line="348" w:lineRule="auto" w:before="36"/>
        <w:ind w:right="102"/>
        <w:jc w:val="left"/>
      </w:pPr>
      <w:r>
        <w:rPr/>
        <w:t>司之间以及公司与公司持股</w:t>
      </w:r>
      <w:r>
        <w:rPr>
          <w:spacing w:val="-57"/>
        </w:rPr>
        <w:t> </w:t>
      </w:r>
      <w:r>
        <w:rPr>
          <w:rFonts w:ascii="Times New Roman" w:hAnsi="Times New Roman" w:cs="Times New Roman" w:eastAsia="Times New Roman" w:hint="default"/>
          <w:spacing w:val="-4"/>
        </w:rPr>
        <w:t>5%</w:t>
      </w:r>
      <w:r>
        <w:rPr>
          <w:spacing w:val="-4"/>
        </w:rPr>
        <w:t>股东——中国科学院地理科学与资源研究所之间，交</w:t>
      </w:r>
      <w:r>
        <w:rPr>
          <w:spacing w:val="-114"/>
        </w:rPr>
        <w:t> </w:t>
      </w:r>
      <w:r>
        <w:rPr>
          <w:spacing w:val="-114"/>
        </w:rPr>
      </w:r>
      <w:r>
        <w:rPr>
          <w:spacing w:val="-2"/>
        </w:rPr>
        <w:t>易类型主要为软件销售或技术开发，属于经营性关联交易，关联交易程序正当合法，</w:t>
      </w:r>
      <w:r>
        <w:rPr>
          <w:spacing w:val="-114"/>
        </w:rPr>
        <w:t> </w:t>
      </w:r>
      <w:r>
        <w:rPr>
          <w:spacing w:val="-114"/>
        </w:rPr>
      </w:r>
      <w:r>
        <w:rPr/>
        <w:t>交易价格公允。</w:t>
      </w:r>
    </w:p>
    <w:p>
      <w:pPr>
        <w:spacing w:after="0" w:line="348" w:lineRule="auto"/>
        <w:jc w:val="left"/>
        <w:sectPr>
          <w:pgSz w:w="11910" w:h="16840"/>
          <w:pgMar w:header="884" w:footer="1173" w:top="1140" w:bottom="1360" w:left="1660" w:right="1180"/>
        </w:sectPr>
      </w:pPr>
    </w:p>
    <w:p>
      <w:pPr>
        <w:spacing w:line="240" w:lineRule="auto" w:before="0"/>
        <w:rPr>
          <w:rFonts w:ascii="宋体" w:hAnsi="宋体" w:cs="宋体" w:eastAsia="宋体" w:hint="default"/>
          <w:sz w:val="2"/>
          <w:szCs w:val="2"/>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Heading1"/>
        <w:tabs>
          <w:tab w:pos="1447" w:val="left" w:leader="none"/>
        </w:tabs>
        <w:spacing w:line="240" w:lineRule="auto" w:before="15"/>
        <w:ind w:right="19"/>
        <w:jc w:val="center"/>
        <w:rPr>
          <w:b w:val="0"/>
          <w:bCs w:val="0"/>
        </w:rPr>
      </w:pPr>
      <w:bookmarkStart w:name="_TOC_250010" w:id="78"/>
      <w:r>
        <w:rPr>
          <w:w w:val="95"/>
        </w:rPr>
        <w:t>第九节</w:t>
        <w:tab/>
      </w:r>
      <w:r>
        <w:rPr/>
        <w:t>监事会报告</w:t>
      </w:r>
      <w:bookmarkEnd w:id="78"/>
      <w:r>
        <w:rPr>
          <w:b w:val="0"/>
          <w:bCs w:val="0"/>
        </w:rPr>
      </w:r>
    </w:p>
    <w:p>
      <w:pPr>
        <w:spacing w:line="240" w:lineRule="auto" w:before="12"/>
        <w:rPr>
          <w:rFonts w:ascii="宋体" w:hAnsi="宋体" w:cs="宋体" w:eastAsia="宋体" w:hint="default"/>
          <w:b/>
          <w:bCs/>
          <w:sz w:val="36"/>
          <w:szCs w:val="36"/>
        </w:rPr>
      </w:pPr>
    </w:p>
    <w:p>
      <w:pPr>
        <w:pStyle w:val="BodyText"/>
        <w:spacing w:line="357" w:lineRule="auto"/>
        <w:ind w:left="232" w:right="253" w:firstLine="480"/>
        <w:jc w:val="both"/>
      </w:pPr>
      <w:r>
        <w:rPr>
          <w:spacing w:val="-6"/>
        </w:rPr>
        <w:t>报告期内，公司监事会根据《公司法》、《证券法》及其他法律、法规、规章和《公司章</w:t>
      </w:r>
      <w:r>
        <w:rPr/>
        <w:t> </w:t>
      </w:r>
      <w:r>
        <w:rPr>
          <w:spacing w:val="-5"/>
        </w:rPr>
        <w:t>程》、《监事会议事规则》的规定，勤勉尽责，对公司的经营活动、财务状况、重大决策、股</w:t>
      </w:r>
      <w:r>
        <w:rPr/>
        <w:t> 东大会召集召开程序、董事及高级管理人员履职情况等方面进行了有效的监督，维护了公司</w:t>
      </w:r>
      <w:r>
        <w:rPr>
          <w:spacing w:val="-91"/>
        </w:rPr>
        <w:t> </w:t>
      </w:r>
      <w:r>
        <w:rPr>
          <w:spacing w:val="-91"/>
        </w:rPr>
      </w:r>
      <w:r>
        <w:rPr/>
        <w:t>及股东的合法权益。现将监事会</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年主要工作报告如下：</w:t>
      </w:r>
    </w:p>
    <w:p>
      <w:pPr>
        <w:spacing w:line="240" w:lineRule="auto" w:before="13"/>
        <w:rPr>
          <w:rFonts w:ascii="宋体" w:hAnsi="宋体" w:cs="宋体" w:eastAsia="宋体" w:hint="default"/>
          <w:sz w:val="23"/>
          <w:szCs w:val="23"/>
        </w:rPr>
      </w:pPr>
    </w:p>
    <w:p>
      <w:pPr>
        <w:pStyle w:val="Heading4"/>
        <w:spacing w:line="240" w:lineRule="auto"/>
        <w:ind w:left="232" w:right="0"/>
        <w:jc w:val="left"/>
        <w:rPr>
          <w:b w:val="0"/>
          <w:bCs w:val="0"/>
        </w:rPr>
      </w:pPr>
      <w:bookmarkStart w:name="_TOC_250009" w:id="79"/>
      <w:r>
        <w:rPr/>
        <w:t>一、报告期内监事会的工作情况</w:t>
      </w:r>
      <w:bookmarkEnd w:id="79"/>
      <w:r>
        <w:rPr>
          <w:b w:val="0"/>
          <w:bCs w:val="0"/>
        </w:rPr>
      </w:r>
    </w:p>
    <w:p>
      <w:pPr>
        <w:spacing w:line="240" w:lineRule="auto" w:before="9"/>
        <w:rPr>
          <w:rFonts w:ascii="宋体" w:hAnsi="宋体" w:cs="宋体" w:eastAsia="宋体" w:hint="default"/>
          <w:b/>
          <w:bCs/>
          <w:sz w:val="29"/>
          <w:szCs w:val="29"/>
        </w:rPr>
      </w:pPr>
    </w:p>
    <w:p>
      <w:pPr>
        <w:pStyle w:val="BodyText"/>
        <w:spacing w:line="240" w:lineRule="auto"/>
        <w:ind w:left="593"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年度，监事会共召开</w:t>
      </w:r>
      <w:r>
        <w:rPr>
          <w:spacing w:val="-60"/>
        </w:rPr>
        <w:t> </w:t>
      </w:r>
      <w:r>
        <w:rPr>
          <w:rFonts w:ascii="Times New Roman" w:hAnsi="Times New Roman" w:cs="Times New Roman" w:eastAsia="Times New Roman" w:hint="default"/>
        </w:rPr>
        <w:t>8 </w:t>
      </w:r>
      <w:r>
        <w:rPr/>
        <w:t>次会议，会议情况如下：</w:t>
      </w:r>
    </w:p>
    <w:tbl>
      <w:tblPr>
        <w:tblW w:w="0" w:type="auto"/>
        <w:jc w:val="left"/>
        <w:tblInd w:w="110" w:type="dxa"/>
        <w:tblLayout w:type="fixed"/>
        <w:tblCellMar>
          <w:top w:w="0" w:type="dxa"/>
          <w:left w:w="0" w:type="dxa"/>
          <w:bottom w:w="0" w:type="dxa"/>
          <w:right w:w="0" w:type="dxa"/>
        </w:tblCellMar>
        <w:tblLook w:val="01E0"/>
      </w:tblPr>
      <w:tblGrid>
        <w:gridCol w:w="1589"/>
        <w:gridCol w:w="6642"/>
        <w:gridCol w:w="1625"/>
      </w:tblGrid>
      <w:tr>
        <w:trPr>
          <w:trHeight w:val="492" w:hRule="exact"/>
        </w:trPr>
        <w:tc>
          <w:tcPr>
            <w:tcW w:w="158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6"/>
              <w:ind w:left="36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66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62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6"/>
              <w:ind w:left="386" w:right="0"/>
              <w:jc w:val="left"/>
              <w:rPr>
                <w:rFonts w:ascii="宋体" w:hAnsi="宋体" w:cs="宋体" w:eastAsia="宋体" w:hint="default"/>
                <w:sz w:val="21"/>
                <w:szCs w:val="21"/>
              </w:rPr>
            </w:pPr>
            <w:r>
              <w:rPr>
                <w:rFonts w:ascii="宋体" w:hAnsi="宋体" w:cs="宋体" w:eastAsia="宋体" w:hint="default"/>
                <w:sz w:val="21"/>
                <w:szCs w:val="21"/>
              </w:rPr>
              <w:t>召开日期</w:t>
            </w:r>
          </w:p>
        </w:tc>
      </w:tr>
      <w:tr>
        <w:trPr>
          <w:trHeight w:val="63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75"/>
              <w:jc w:val="left"/>
              <w:rPr>
                <w:rFonts w:ascii="宋体" w:hAnsi="宋体" w:cs="宋体" w:eastAsia="宋体" w:hint="default"/>
                <w:sz w:val="21"/>
                <w:szCs w:val="21"/>
              </w:rPr>
            </w:pPr>
            <w:r>
              <w:rPr>
                <w:rFonts w:ascii="宋体" w:hAnsi="宋体" w:cs="宋体" w:eastAsia="宋体" w:hint="default"/>
                <w:spacing w:val="16"/>
                <w:sz w:val="21"/>
                <w:szCs w:val="21"/>
              </w:rPr>
              <w:t>第一届监事会</w:t>
            </w:r>
            <w:r>
              <w:rPr>
                <w:rFonts w:ascii="宋体" w:hAnsi="宋体" w:cs="宋体" w:eastAsia="宋体" w:hint="default"/>
                <w:spacing w:val="-89"/>
                <w:sz w:val="21"/>
                <w:szCs w:val="21"/>
              </w:rPr>
              <w:t> </w:t>
            </w:r>
            <w:r>
              <w:rPr>
                <w:rFonts w:ascii="宋体" w:hAnsi="宋体" w:cs="宋体" w:eastAsia="宋体" w:hint="default"/>
                <w:sz w:val="21"/>
                <w:szCs w:val="21"/>
              </w:rPr>
              <w:t>第九次会议</w:t>
            </w:r>
          </w:p>
        </w:tc>
        <w:tc>
          <w:tcPr>
            <w:tcW w:w="66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2"/>
              <w:jc w:val="left"/>
              <w:rPr>
                <w:rFonts w:ascii="宋体" w:hAnsi="宋体" w:cs="宋体" w:eastAsia="宋体" w:hint="default"/>
                <w:sz w:val="21"/>
                <w:szCs w:val="21"/>
              </w:rPr>
            </w:pPr>
            <w:r>
              <w:rPr>
                <w:rFonts w:ascii="宋体" w:hAnsi="宋体" w:cs="宋体" w:eastAsia="宋体" w:hint="default"/>
                <w:spacing w:val="-5"/>
                <w:sz w:val="21"/>
                <w:szCs w:val="21"/>
              </w:rPr>
              <w:t>审议通过了《关于公司〈股票期权激励计划（草案）〉的议案》和《关</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于公司〈股票期权激励计划实施考核办法〉的议案》</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1574"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75"/>
              <w:jc w:val="left"/>
              <w:rPr>
                <w:rFonts w:ascii="宋体" w:hAnsi="宋体" w:cs="宋体" w:eastAsia="宋体" w:hint="default"/>
                <w:sz w:val="21"/>
                <w:szCs w:val="21"/>
              </w:rPr>
            </w:pPr>
            <w:r>
              <w:rPr>
                <w:rFonts w:ascii="宋体" w:hAnsi="宋体" w:cs="宋体" w:eastAsia="宋体" w:hint="default"/>
                <w:spacing w:val="16"/>
                <w:sz w:val="21"/>
                <w:szCs w:val="21"/>
              </w:rPr>
              <w:t>第一届监事会</w:t>
            </w:r>
            <w:r>
              <w:rPr>
                <w:rFonts w:ascii="宋体" w:hAnsi="宋体" w:cs="宋体" w:eastAsia="宋体" w:hint="default"/>
                <w:spacing w:val="-89"/>
                <w:sz w:val="21"/>
                <w:szCs w:val="21"/>
              </w:rPr>
              <w:t> </w:t>
            </w:r>
            <w:r>
              <w:rPr>
                <w:rFonts w:ascii="宋体" w:hAnsi="宋体" w:cs="宋体" w:eastAsia="宋体" w:hint="default"/>
                <w:sz w:val="21"/>
                <w:szCs w:val="21"/>
              </w:rPr>
              <w:t>第十次会议</w:t>
            </w:r>
          </w:p>
        </w:tc>
        <w:tc>
          <w:tcPr>
            <w:tcW w:w="6642"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监</w:t>
            </w:r>
            <w:r>
              <w:rPr>
                <w:rFonts w:ascii="宋体" w:hAnsi="宋体" w:cs="宋体" w:eastAsia="宋体" w:hint="default"/>
                <w:w w:val="100"/>
                <w:sz w:val="21"/>
                <w:szCs w:val="21"/>
              </w:rPr>
              <w:t>事会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
                <w:w w:val="100"/>
                <w:sz w:val="21"/>
                <w:szCs w:val="21"/>
              </w:rPr>
              <w:t>0</w:t>
            </w:r>
            <w:r>
              <w:rPr>
                <w:rFonts w:ascii="宋体" w:hAnsi="宋体" w:cs="宋体" w:eastAsia="宋体" w:hint="default"/>
                <w:spacing w:val="-3"/>
                <w:w w:val="100"/>
                <w:sz w:val="21"/>
                <w:szCs w:val="21"/>
              </w:rPr>
              <w:t>年</w:t>
            </w:r>
            <w:r>
              <w:rPr>
                <w:rFonts w:ascii="宋体" w:hAnsi="宋体" w:cs="宋体" w:eastAsia="宋体" w:hint="default"/>
                <w:w w:val="100"/>
                <w:sz w:val="21"/>
                <w:szCs w:val="21"/>
              </w:rPr>
              <w:t>度财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决</w:t>
            </w:r>
            <w:r>
              <w:rPr>
                <w:rFonts w:ascii="宋体" w:hAnsi="宋体" w:cs="宋体" w:eastAsia="宋体" w:hint="default"/>
                <w:spacing w:val="-3"/>
                <w:w w:val="100"/>
                <w:sz w:val="21"/>
                <w:szCs w:val="21"/>
              </w:rPr>
              <w:t>算</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61" w:lineRule="auto" w:before="21"/>
              <w:ind w:left="100" w:right="92"/>
              <w:jc w:val="both"/>
              <w:rPr>
                <w:rFonts w:ascii="宋体" w:hAnsi="宋体" w:cs="宋体" w:eastAsia="宋体" w:hint="default"/>
                <w:sz w:val="21"/>
                <w:szCs w:val="21"/>
              </w:rPr>
            </w:pPr>
            <w:r>
              <w:rPr>
                <w:rFonts w:ascii="宋体" w:hAnsi="宋体" w:cs="宋体" w:eastAsia="宋体" w:hint="default"/>
                <w:spacing w:val="-10"/>
                <w:w w:val="100"/>
                <w:sz w:val="21"/>
                <w:szCs w:val="21"/>
              </w:rPr>
              <w:t>《</w:t>
            </w:r>
            <w:r>
              <w:rPr>
                <w:rFonts w:ascii="Times New Roman" w:hAnsi="Times New Roman" w:cs="Times New Roman" w:eastAsia="Times New Roman" w:hint="default"/>
                <w:spacing w:val="-10"/>
                <w:w w:val="100"/>
                <w:sz w:val="21"/>
                <w:szCs w:val="21"/>
              </w:rPr>
              <w:t>2010</w:t>
            </w:r>
            <w:r>
              <w:rPr>
                <w:rFonts w:ascii="宋体" w:hAnsi="宋体" w:cs="宋体" w:eastAsia="宋体" w:hint="default"/>
                <w:spacing w:val="-10"/>
                <w:w w:val="100"/>
                <w:sz w:val="21"/>
                <w:szCs w:val="21"/>
              </w:rPr>
              <w:t>年利润分配方案及资本公积金转增股本的议案》、《</w:t>
            </w:r>
            <w:r>
              <w:rPr>
                <w:rFonts w:ascii="Times New Roman" w:hAnsi="Times New Roman" w:cs="Times New Roman" w:eastAsia="Times New Roman" w:hint="default"/>
                <w:spacing w:val="-10"/>
                <w:w w:val="100"/>
                <w:sz w:val="21"/>
                <w:szCs w:val="21"/>
              </w:rPr>
              <w:t>2010</w:t>
            </w:r>
            <w:r>
              <w:rPr>
                <w:rFonts w:ascii="宋体" w:hAnsi="宋体" w:cs="宋体" w:eastAsia="宋体" w:hint="default"/>
                <w:spacing w:val="-10"/>
                <w:w w:val="100"/>
                <w:sz w:val="21"/>
                <w:szCs w:val="21"/>
              </w:rPr>
              <w:t>年年度报</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pacing w:val="-16"/>
                <w:w w:val="100"/>
                <w:sz w:val="21"/>
                <w:szCs w:val="21"/>
              </w:rPr>
              <w:t>告全文及摘要》、《公司内部控制自我评价报告》、《</w:t>
            </w:r>
            <w:r>
              <w:rPr>
                <w:rFonts w:ascii="Times New Roman" w:hAnsi="Times New Roman" w:cs="Times New Roman" w:eastAsia="Times New Roman" w:hint="default"/>
                <w:spacing w:val="-16"/>
                <w:w w:val="100"/>
                <w:sz w:val="21"/>
                <w:szCs w:val="21"/>
              </w:rPr>
              <w:t>2010</w:t>
            </w:r>
            <w:r>
              <w:rPr>
                <w:rFonts w:ascii="宋体" w:hAnsi="宋体" w:cs="宋体" w:eastAsia="宋体" w:hint="default"/>
                <w:spacing w:val="-16"/>
                <w:w w:val="100"/>
                <w:sz w:val="21"/>
                <w:szCs w:val="21"/>
              </w:rPr>
              <w:t>年度募集资金存</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17"/>
                <w:w w:val="100"/>
                <w:sz w:val="21"/>
                <w:szCs w:val="21"/>
              </w:rPr>
              <w:t>放与使用情况的专项报告》、《关于公司会计估计变更的议案》、《关于续</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z w:val="21"/>
                <w:szCs w:val="21"/>
              </w:rPr>
              <w:t>聘会计师事务所的议案》</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1"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75"/>
              <w:jc w:val="left"/>
              <w:rPr>
                <w:rFonts w:ascii="宋体" w:hAnsi="宋体" w:cs="宋体" w:eastAsia="宋体" w:hint="default"/>
                <w:sz w:val="21"/>
                <w:szCs w:val="21"/>
              </w:rPr>
            </w:pPr>
            <w:r>
              <w:rPr>
                <w:rFonts w:ascii="宋体" w:hAnsi="宋体" w:cs="宋体" w:eastAsia="宋体" w:hint="default"/>
                <w:spacing w:val="16"/>
                <w:sz w:val="21"/>
                <w:szCs w:val="21"/>
              </w:rPr>
              <w:t>第一届监事会</w:t>
            </w:r>
            <w:r>
              <w:rPr>
                <w:rFonts w:ascii="宋体" w:hAnsi="宋体" w:cs="宋体" w:eastAsia="宋体" w:hint="default"/>
                <w:spacing w:val="-89"/>
                <w:sz w:val="21"/>
                <w:szCs w:val="21"/>
              </w:rPr>
              <w:t> </w:t>
            </w:r>
            <w:r>
              <w:rPr>
                <w:rFonts w:ascii="宋体" w:hAnsi="宋体" w:cs="宋体" w:eastAsia="宋体" w:hint="default"/>
                <w:sz w:val="21"/>
                <w:szCs w:val="21"/>
              </w:rPr>
              <w:t>第十一次会议</w:t>
            </w:r>
          </w:p>
        </w:tc>
        <w:tc>
          <w:tcPr>
            <w:tcW w:w="6642"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审议通过了《</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年第一季度报告全文及正文》</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21</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950"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75"/>
              <w:jc w:val="left"/>
              <w:rPr>
                <w:rFonts w:ascii="宋体" w:hAnsi="宋体" w:cs="宋体" w:eastAsia="宋体" w:hint="default"/>
                <w:sz w:val="21"/>
                <w:szCs w:val="21"/>
              </w:rPr>
            </w:pPr>
            <w:r>
              <w:rPr>
                <w:rFonts w:ascii="宋体" w:hAnsi="宋体" w:cs="宋体" w:eastAsia="宋体" w:hint="default"/>
                <w:spacing w:val="16"/>
                <w:sz w:val="21"/>
                <w:szCs w:val="21"/>
              </w:rPr>
              <w:t>第一届监事会</w:t>
            </w:r>
            <w:r>
              <w:rPr>
                <w:rFonts w:ascii="宋体" w:hAnsi="宋体" w:cs="宋体" w:eastAsia="宋体" w:hint="default"/>
                <w:spacing w:val="-89"/>
                <w:sz w:val="21"/>
                <w:szCs w:val="21"/>
              </w:rPr>
              <w:t> </w:t>
            </w:r>
            <w:r>
              <w:rPr>
                <w:rFonts w:ascii="宋体" w:hAnsi="宋体" w:cs="宋体" w:eastAsia="宋体" w:hint="default"/>
                <w:sz w:val="21"/>
                <w:szCs w:val="21"/>
              </w:rPr>
              <w:t>第十二次会议</w:t>
            </w:r>
          </w:p>
        </w:tc>
        <w:tc>
          <w:tcPr>
            <w:tcW w:w="66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94"/>
              <w:jc w:val="both"/>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87"/>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监事</w:t>
            </w:r>
            <w:r>
              <w:rPr>
                <w:rFonts w:ascii="宋体" w:hAnsi="宋体" w:cs="宋体" w:eastAsia="宋体" w:hint="default"/>
                <w:w w:val="100"/>
                <w:sz w:val="21"/>
                <w:szCs w:val="21"/>
              </w:rPr>
              <w:t>会换</w:t>
            </w:r>
            <w:r>
              <w:rPr>
                <w:rFonts w:ascii="宋体" w:hAnsi="宋体" w:cs="宋体" w:eastAsia="宋体" w:hint="default"/>
                <w:spacing w:val="-3"/>
                <w:w w:val="100"/>
                <w:sz w:val="21"/>
                <w:szCs w:val="21"/>
              </w:rPr>
              <w:t>届</w:t>
            </w:r>
            <w:r>
              <w:rPr>
                <w:rFonts w:ascii="宋体" w:hAnsi="宋体" w:cs="宋体" w:eastAsia="宋体" w:hint="default"/>
                <w:w w:val="100"/>
                <w:sz w:val="21"/>
                <w:szCs w:val="21"/>
              </w:rPr>
              <w:t>选</w:t>
            </w:r>
            <w:r>
              <w:rPr>
                <w:rFonts w:ascii="宋体" w:hAnsi="宋体" w:cs="宋体" w:eastAsia="宋体" w:hint="default"/>
                <w:spacing w:val="-3"/>
                <w:w w:val="100"/>
                <w:sz w:val="21"/>
                <w:szCs w:val="21"/>
              </w:rPr>
              <w:t>举</w:t>
            </w:r>
            <w:r>
              <w:rPr>
                <w:rFonts w:ascii="宋体" w:hAnsi="宋体" w:cs="宋体" w:eastAsia="宋体" w:hint="default"/>
                <w:w w:val="100"/>
                <w:sz w:val="21"/>
                <w:szCs w:val="21"/>
              </w:rPr>
              <w:t>暨</w:t>
            </w:r>
            <w:r>
              <w:rPr>
                <w:rFonts w:ascii="宋体" w:hAnsi="宋体" w:cs="宋体" w:eastAsia="宋体" w:hint="default"/>
                <w:spacing w:val="-3"/>
                <w:w w:val="100"/>
                <w:sz w:val="21"/>
                <w:szCs w:val="21"/>
              </w:rPr>
              <w:t>第</w:t>
            </w:r>
            <w:r>
              <w:rPr>
                <w:rFonts w:ascii="宋体" w:hAnsi="宋体" w:cs="宋体" w:eastAsia="宋体" w:hint="default"/>
                <w:w w:val="100"/>
                <w:sz w:val="21"/>
                <w:szCs w:val="21"/>
              </w:rPr>
              <w:t>二</w:t>
            </w:r>
            <w:r>
              <w:rPr>
                <w:rFonts w:ascii="宋体" w:hAnsi="宋体" w:cs="宋体" w:eastAsia="宋体" w:hint="default"/>
                <w:spacing w:val="-3"/>
                <w:w w:val="100"/>
                <w:sz w:val="21"/>
                <w:szCs w:val="21"/>
              </w:rPr>
              <w:t>届</w:t>
            </w:r>
            <w:r>
              <w:rPr>
                <w:rFonts w:ascii="宋体" w:hAnsi="宋体" w:cs="宋体" w:eastAsia="宋体" w:hint="default"/>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会监</w:t>
            </w:r>
            <w:r>
              <w:rPr>
                <w:rFonts w:ascii="宋体" w:hAnsi="宋体" w:cs="宋体" w:eastAsia="宋体" w:hint="default"/>
                <w:spacing w:val="-3"/>
                <w:w w:val="100"/>
                <w:sz w:val="21"/>
                <w:szCs w:val="21"/>
              </w:rPr>
              <w:t>事</w:t>
            </w:r>
            <w:r>
              <w:rPr>
                <w:rFonts w:ascii="宋体" w:hAnsi="宋体" w:cs="宋体" w:eastAsia="宋体" w:hint="default"/>
                <w:w w:val="100"/>
                <w:sz w:val="21"/>
                <w:szCs w:val="21"/>
              </w:rPr>
              <w:t>候</w:t>
            </w:r>
            <w:r>
              <w:rPr>
                <w:rFonts w:ascii="宋体" w:hAnsi="宋体" w:cs="宋体" w:eastAsia="宋体" w:hint="default"/>
                <w:spacing w:val="-3"/>
                <w:w w:val="100"/>
                <w:sz w:val="21"/>
                <w:szCs w:val="21"/>
              </w:rPr>
              <w:t>选</w:t>
            </w:r>
            <w:r>
              <w:rPr>
                <w:rFonts w:ascii="宋体" w:hAnsi="宋体" w:cs="宋体" w:eastAsia="宋体" w:hint="default"/>
                <w:w w:val="100"/>
                <w:sz w:val="21"/>
                <w:szCs w:val="21"/>
              </w:rPr>
              <w:t>人</w:t>
            </w:r>
            <w:r>
              <w:rPr>
                <w:rFonts w:ascii="宋体" w:hAnsi="宋体" w:cs="宋体" w:eastAsia="宋体" w:hint="default"/>
                <w:spacing w:val="-3"/>
                <w:w w:val="100"/>
                <w:sz w:val="21"/>
                <w:szCs w:val="21"/>
              </w:rPr>
              <w:t>提</w:t>
            </w:r>
            <w:r>
              <w:rPr>
                <w:rFonts w:ascii="宋体" w:hAnsi="宋体" w:cs="宋体" w:eastAsia="宋体" w:hint="default"/>
                <w:w w:val="100"/>
                <w:sz w:val="21"/>
                <w:szCs w:val="21"/>
              </w:rPr>
              <w:t>名</w:t>
            </w:r>
            <w:r>
              <w:rPr>
                <w:rFonts w:ascii="宋体" w:hAnsi="宋体" w:cs="宋体" w:eastAsia="宋体" w:hint="default"/>
                <w:w w:val="100"/>
                <w:sz w:val="21"/>
                <w:szCs w:val="21"/>
              </w:rPr>
              <w:t> 的议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9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超</w:t>
            </w:r>
            <w:r>
              <w:rPr>
                <w:rFonts w:ascii="宋体" w:hAnsi="宋体" w:cs="宋体" w:eastAsia="宋体" w:hint="default"/>
                <w:spacing w:val="-3"/>
                <w:w w:val="100"/>
                <w:sz w:val="21"/>
                <w:szCs w:val="21"/>
              </w:rPr>
              <w:t>图</w:t>
            </w:r>
            <w:r>
              <w:rPr>
                <w:rFonts w:ascii="宋体" w:hAnsi="宋体" w:cs="宋体" w:eastAsia="宋体" w:hint="default"/>
                <w:w w:val="100"/>
                <w:sz w:val="21"/>
                <w:szCs w:val="21"/>
              </w:rPr>
              <w:t>软</w:t>
            </w:r>
            <w:r>
              <w:rPr>
                <w:rFonts w:ascii="宋体" w:hAnsi="宋体" w:cs="宋体" w:eastAsia="宋体" w:hint="default"/>
                <w:spacing w:val="-3"/>
                <w:w w:val="100"/>
                <w:sz w:val="21"/>
                <w:szCs w:val="21"/>
              </w:rPr>
              <w:t>件股</w:t>
            </w:r>
            <w:r>
              <w:rPr>
                <w:rFonts w:ascii="宋体" w:hAnsi="宋体" w:cs="宋体" w:eastAsia="宋体" w:hint="default"/>
                <w:w w:val="100"/>
                <w:sz w:val="21"/>
                <w:szCs w:val="21"/>
              </w:rPr>
              <w:t>份有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期</w:t>
            </w:r>
            <w:r>
              <w:rPr>
                <w:rFonts w:ascii="宋体" w:hAnsi="宋体" w:cs="宋体" w:eastAsia="宋体" w:hint="default"/>
                <w:spacing w:val="-3"/>
                <w:w w:val="100"/>
                <w:sz w:val="21"/>
                <w:szCs w:val="21"/>
              </w:rPr>
              <w:t>权</w:t>
            </w:r>
            <w:r>
              <w:rPr>
                <w:rFonts w:ascii="宋体" w:hAnsi="宋体" w:cs="宋体" w:eastAsia="宋体" w:hint="default"/>
                <w:w w:val="100"/>
                <w:sz w:val="21"/>
                <w:szCs w:val="21"/>
              </w:rPr>
              <w:t>激</w:t>
            </w:r>
            <w:r>
              <w:rPr>
                <w:rFonts w:ascii="宋体" w:hAnsi="宋体" w:cs="宋体" w:eastAsia="宋体" w:hint="default"/>
                <w:spacing w:val="-3"/>
                <w:w w:val="100"/>
                <w:sz w:val="21"/>
                <w:szCs w:val="21"/>
              </w:rPr>
              <w:t>励</w:t>
            </w:r>
            <w:r>
              <w:rPr>
                <w:rFonts w:ascii="宋体" w:hAnsi="宋体" w:cs="宋体" w:eastAsia="宋体" w:hint="default"/>
                <w:w w:val="100"/>
                <w:sz w:val="21"/>
                <w:szCs w:val="21"/>
              </w:rPr>
              <w:t>计划</w:t>
            </w:r>
            <w:r>
              <w:rPr>
                <w:rFonts w:ascii="宋体" w:hAnsi="宋体" w:cs="宋体" w:eastAsia="宋体" w:hint="default"/>
                <w:spacing w:val="-3"/>
                <w:w w:val="100"/>
                <w:sz w:val="21"/>
                <w:szCs w:val="21"/>
              </w:rPr>
              <w:t>的</w:t>
            </w:r>
            <w:r>
              <w:rPr>
                <w:rFonts w:ascii="宋体" w:hAnsi="宋体" w:cs="宋体" w:eastAsia="宋体" w:hint="default"/>
                <w:w w:val="100"/>
                <w:sz w:val="21"/>
                <w:szCs w:val="21"/>
              </w:rPr>
              <w:t>激</w:t>
            </w:r>
            <w:r>
              <w:rPr>
                <w:rFonts w:ascii="宋体" w:hAnsi="宋体" w:cs="宋体" w:eastAsia="宋体" w:hint="default"/>
                <w:spacing w:val="-3"/>
                <w:w w:val="100"/>
                <w:sz w:val="21"/>
                <w:szCs w:val="21"/>
              </w:rPr>
              <w:t>励</w:t>
            </w:r>
            <w:r>
              <w:rPr>
                <w:rFonts w:ascii="宋体" w:hAnsi="宋体" w:cs="宋体" w:eastAsia="宋体" w:hint="default"/>
                <w:w w:val="100"/>
                <w:sz w:val="21"/>
                <w:szCs w:val="21"/>
              </w:rPr>
              <w:t>对</w:t>
            </w:r>
            <w:r>
              <w:rPr>
                <w:rFonts w:ascii="宋体" w:hAnsi="宋体" w:cs="宋体" w:eastAsia="宋体" w:hint="default"/>
                <w:spacing w:val="-3"/>
                <w:w w:val="100"/>
                <w:sz w:val="21"/>
                <w:szCs w:val="21"/>
              </w:rPr>
              <w:t>象</w:t>
            </w:r>
            <w:r>
              <w:rPr>
                <w:rFonts w:ascii="宋体" w:hAnsi="宋体" w:cs="宋体" w:eastAsia="宋体" w:hint="default"/>
                <w:w w:val="100"/>
                <w:sz w:val="21"/>
                <w:szCs w:val="21"/>
              </w:rPr>
              <w:t>名</w:t>
            </w:r>
            <w:r>
              <w:rPr>
                <w:rFonts w:ascii="宋体" w:hAnsi="宋体" w:cs="宋体" w:eastAsia="宋体" w:hint="default"/>
                <w:w w:val="100"/>
                <w:sz w:val="21"/>
                <w:szCs w:val="21"/>
              </w:rPr>
              <w:t> 单</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北</w:t>
            </w:r>
            <w:r>
              <w:rPr>
                <w:rFonts w:ascii="宋体" w:hAnsi="宋体" w:cs="宋体" w:eastAsia="宋体" w:hint="default"/>
                <w:spacing w:val="-3"/>
                <w:w w:val="100"/>
                <w:sz w:val="21"/>
                <w:szCs w:val="21"/>
              </w:rPr>
              <w:t>京</w:t>
            </w:r>
            <w:r>
              <w:rPr>
                <w:rFonts w:ascii="宋体" w:hAnsi="宋体" w:cs="宋体" w:eastAsia="宋体" w:hint="default"/>
                <w:w w:val="100"/>
                <w:sz w:val="21"/>
                <w:szCs w:val="21"/>
              </w:rPr>
              <w:t>超</w:t>
            </w:r>
            <w:r>
              <w:rPr>
                <w:rFonts w:ascii="宋体" w:hAnsi="宋体" w:cs="宋体" w:eastAsia="宋体" w:hint="default"/>
                <w:spacing w:val="-3"/>
                <w:w w:val="100"/>
                <w:sz w:val="21"/>
                <w:szCs w:val="21"/>
              </w:rPr>
              <w:t>图</w:t>
            </w:r>
            <w:r>
              <w:rPr>
                <w:rFonts w:ascii="宋体" w:hAnsi="宋体" w:cs="宋体" w:eastAsia="宋体" w:hint="default"/>
                <w:w w:val="100"/>
                <w:sz w:val="21"/>
                <w:szCs w:val="21"/>
              </w:rPr>
              <w:t>软</w:t>
            </w:r>
            <w:r>
              <w:rPr>
                <w:rFonts w:ascii="宋体" w:hAnsi="宋体" w:cs="宋体" w:eastAsia="宋体" w:hint="default"/>
                <w:spacing w:val="-3"/>
                <w:w w:val="100"/>
                <w:sz w:val="21"/>
                <w:szCs w:val="21"/>
              </w:rPr>
              <w:t>件</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有限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票</w:t>
            </w:r>
            <w:r>
              <w:rPr>
                <w:rFonts w:ascii="宋体" w:hAnsi="宋体" w:cs="宋体" w:eastAsia="宋体" w:hint="default"/>
                <w:spacing w:val="-3"/>
                <w:w w:val="100"/>
                <w:sz w:val="21"/>
                <w:szCs w:val="21"/>
              </w:rPr>
              <w:t>期</w:t>
            </w:r>
            <w:r>
              <w:rPr>
                <w:rFonts w:ascii="宋体" w:hAnsi="宋体" w:cs="宋体" w:eastAsia="宋体" w:hint="default"/>
                <w:w w:val="100"/>
                <w:sz w:val="21"/>
                <w:szCs w:val="21"/>
              </w:rPr>
              <w:t>权</w:t>
            </w:r>
            <w:r>
              <w:rPr>
                <w:rFonts w:ascii="宋体" w:hAnsi="宋体" w:cs="宋体" w:eastAsia="宋体" w:hint="default"/>
                <w:spacing w:val="-3"/>
                <w:w w:val="100"/>
                <w:sz w:val="21"/>
                <w:szCs w:val="21"/>
              </w:rPr>
              <w:t>激</w:t>
            </w:r>
            <w:r>
              <w:rPr>
                <w:rFonts w:ascii="宋体" w:hAnsi="宋体" w:cs="宋体" w:eastAsia="宋体" w:hint="default"/>
                <w:w w:val="100"/>
                <w:sz w:val="21"/>
                <w:szCs w:val="21"/>
              </w:rPr>
              <w:t>励</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草</w:t>
            </w:r>
            <w:r>
              <w:rPr>
                <w:rFonts w:ascii="宋体" w:hAnsi="宋体" w:cs="宋体" w:eastAsia="宋体" w:hint="default"/>
                <w:w w:val="100"/>
                <w:sz w:val="21"/>
                <w:szCs w:val="21"/>
              </w:rPr>
              <w:t>案</w:t>
            </w:r>
            <w:r>
              <w:rPr>
                <w:rFonts w:ascii="宋体" w:hAnsi="宋体" w:cs="宋体" w:eastAsia="宋体" w:hint="default"/>
                <w:spacing w:val="-3"/>
                <w:w w:val="100"/>
                <w:sz w:val="21"/>
                <w:szCs w:val="21"/>
              </w:rPr>
              <w:t>修</w:t>
            </w:r>
            <w:r>
              <w:rPr>
                <w:rFonts w:ascii="宋体" w:hAnsi="宋体" w:cs="宋体" w:eastAsia="宋体" w:hint="default"/>
                <w:w w:val="100"/>
                <w:sz w:val="21"/>
                <w:szCs w:val="21"/>
              </w:rPr>
              <w:t>订</w:t>
            </w:r>
            <w:r>
              <w:rPr>
                <w:rFonts w:ascii="宋体" w:hAnsi="宋体" w:cs="宋体" w:eastAsia="宋体" w:hint="default"/>
                <w:spacing w:val="-3"/>
                <w:w w:val="100"/>
                <w:sz w:val="21"/>
                <w:szCs w:val="21"/>
              </w:rPr>
              <w:t>稿</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950"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74"/>
              <w:jc w:val="left"/>
              <w:rPr>
                <w:rFonts w:ascii="宋体" w:hAnsi="宋体" w:cs="宋体" w:eastAsia="宋体" w:hint="default"/>
                <w:sz w:val="21"/>
                <w:szCs w:val="21"/>
              </w:rPr>
            </w:pPr>
            <w:r>
              <w:rPr>
                <w:rFonts w:ascii="宋体" w:hAnsi="宋体" w:cs="宋体" w:eastAsia="宋体" w:hint="default"/>
                <w:spacing w:val="16"/>
                <w:sz w:val="21"/>
                <w:szCs w:val="21"/>
              </w:rPr>
              <w:t>第二届监事会</w:t>
            </w:r>
            <w:r>
              <w:rPr>
                <w:rFonts w:ascii="宋体" w:hAnsi="宋体" w:cs="宋体" w:eastAsia="宋体" w:hint="default"/>
                <w:spacing w:val="-88"/>
                <w:sz w:val="21"/>
                <w:szCs w:val="21"/>
              </w:rPr>
              <w:t> </w:t>
            </w:r>
            <w:r>
              <w:rPr>
                <w:rFonts w:ascii="宋体" w:hAnsi="宋体" w:cs="宋体" w:eastAsia="宋体" w:hint="default"/>
                <w:sz w:val="21"/>
                <w:szCs w:val="21"/>
              </w:rPr>
              <w:t>第一次会议</w:t>
            </w:r>
          </w:p>
        </w:tc>
        <w:tc>
          <w:tcPr>
            <w:tcW w:w="66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审议通过了《关于公司首期股票期权激励计划激励对象调整的议案》、</w:t>
            </w:r>
          </w:p>
          <w:p>
            <w:pPr>
              <w:pStyle w:val="TableParagraph"/>
              <w:spacing w:line="273" w:lineRule="auto" w:before="37"/>
              <w:ind w:left="100" w:right="427"/>
              <w:jc w:val="left"/>
              <w:rPr>
                <w:rFonts w:ascii="宋体" w:hAnsi="宋体" w:cs="宋体" w:eastAsia="宋体" w:hint="default"/>
                <w:sz w:val="21"/>
                <w:szCs w:val="21"/>
              </w:rPr>
            </w:pPr>
            <w:r>
              <w:rPr>
                <w:rFonts w:ascii="宋体" w:hAnsi="宋体" w:cs="宋体" w:eastAsia="宋体" w:hint="default"/>
                <w:spacing w:val="-2"/>
                <w:sz w:val="21"/>
                <w:szCs w:val="21"/>
              </w:rPr>
              <w:t>《关于公司股票期权激励计划所涉股票期权首次期权授予事项的议</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案》、《选举第二届监事会主席的议案》</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74"/>
              <w:jc w:val="left"/>
              <w:rPr>
                <w:rFonts w:ascii="宋体" w:hAnsi="宋体" w:cs="宋体" w:eastAsia="宋体" w:hint="default"/>
                <w:sz w:val="21"/>
                <w:szCs w:val="21"/>
              </w:rPr>
            </w:pPr>
            <w:r>
              <w:rPr>
                <w:rFonts w:ascii="宋体" w:hAnsi="宋体" w:cs="宋体" w:eastAsia="宋体" w:hint="default"/>
                <w:spacing w:val="16"/>
                <w:sz w:val="21"/>
                <w:szCs w:val="21"/>
              </w:rPr>
              <w:t>第二届监事会</w:t>
            </w:r>
            <w:r>
              <w:rPr>
                <w:rFonts w:ascii="宋体" w:hAnsi="宋体" w:cs="宋体" w:eastAsia="宋体" w:hint="default"/>
                <w:spacing w:val="-88"/>
                <w:sz w:val="21"/>
                <w:szCs w:val="21"/>
              </w:rPr>
              <w:t> </w:t>
            </w:r>
            <w:r>
              <w:rPr>
                <w:rFonts w:ascii="宋体" w:hAnsi="宋体" w:cs="宋体" w:eastAsia="宋体" w:hint="default"/>
                <w:sz w:val="21"/>
                <w:szCs w:val="21"/>
              </w:rPr>
              <w:t>第二次会议</w:t>
            </w:r>
          </w:p>
        </w:tc>
        <w:tc>
          <w:tcPr>
            <w:tcW w:w="664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94"/>
              <w:jc w:val="left"/>
              <w:rPr>
                <w:rFonts w:ascii="宋体" w:hAnsi="宋体" w:cs="宋体" w:eastAsia="宋体" w:hint="default"/>
                <w:sz w:val="21"/>
                <w:szCs w:val="21"/>
              </w:rPr>
            </w:pPr>
            <w:r>
              <w:rPr>
                <w:rFonts w:ascii="宋体" w:hAnsi="宋体" w:cs="宋体" w:eastAsia="宋体" w:hint="default"/>
                <w:sz w:val="21"/>
                <w:szCs w:val="21"/>
              </w:rPr>
              <w:t>审议通过了《北京超图软件股份有限公司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年半年度报告全文及摘</w:t>
            </w:r>
            <w:r>
              <w:rPr>
                <w:rFonts w:ascii="宋体" w:hAnsi="宋体" w:cs="宋体" w:eastAsia="宋体" w:hint="default"/>
                <w:w w:val="100"/>
                <w:sz w:val="21"/>
                <w:szCs w:val="21"/>
              </w:rPr>
              <w:t> </w:t>
            </w:r>
            <w:r>
              <w:rPr>
                <w:rFonts w:ascii="宋体" w:hAnsi="宋体" w:cs="宋体" w:eastAsia="宋体" w:hint="default"/>
                <w:sz w:val="21"/>
                <w:szCs w:val="21"/>
              </w:rPr>
              <w:t>要》</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1" w:hRule="exact"/>
        </w:trPr>
        <w:tc>
          <w:tcPr>
            <w:tcW w:w="1589"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ind w:left="93" w:right="74"/>
              <w:jc w:val="left"/>
              <w:rPr>
                <w:rFonts w:ascii="宋体" w:hAnsi="宋体" w:cs="宋体" w:eastAsia="宋体" w:hint="default"/>
                <w:sz w:val="21"/>
                <w:szCs w:val="21"/>
              </w:rPr>
            </w:pPr>
            <w:r>
              <w:rPr>
                <w:rFonts w:ascii="宋体" w:hAnsi="宋体" w:cs="宋体" w:eastAsia="宋体" w:hint="default"/>
                <w:spacing w:val="16"/>
                <w:sz w:val="21"/>
                <w:szCs w:val="21"/>
              </w:rPr>
              <w:t>第二届监事会</w:t>
            </w:r>
            <w:r>
              <w:rPr>
                <w:rFonts w:ascii="宋体" w:hAnsi="宋体" w:cs="宋体" w:eastAsia="宋体" w:hint="default"/>
                <w:spacing w:val="-88"/>
                <w:sz w:val="21"/>
                <w:szCs w:val="21"/>
              </w:rPr>
              <w:t> </w:t>
            </w:r>
            <w:r>
              <w:rPr>
                <w:rFonts w:ascii="宋体" w:hAnsi="宋体" w:cs="宋体" w:eastAsia="宋体" w:hint="default"/>
                <w:sz w:val="21"/>
                <w:szCs w:val="21"/>
              </w:rPr>
              <w:t>第三次会议</w:t>
            </w:r>
          </w:p>
        </w:tc>
        <w:tc>
          <w:tcPr>
            <w:tcW w:w="664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00" w:right="10"/>
              <w:jc w:val="left"/>
              <w:rPr>
                <w:rFonts w:ascii="宋体" w:hAnsi="宋体" w:cs="宋体" w:eastAsia="宋体" w:hint="default"/>
                <w:sz w:val="21"/>
                <w:szCs w:val="21"/>
              </w:rPr>
            </w:pPr>
            <w:r>
              <w:rPr>
                <w:rFonts w:ascii="宋体" w:hAnsi="宋体" w:cs="宋体" w:eastAsia="宋体" w:hint="default"/>
                <w:spacing w:val="-5"/>
                <w:sz w:val="21"/>
                <w:szCs w:val="21"/>
              </w:rPr>
              <w:t>审议通过了《关于使用超募资金承接西安市数字化“城市管理”信息系</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2"/>
                <w:sz w:val="21"/>
                <w:szCs w:val="21"/>
              </w:rPr>
              <w:t>统建设项目的议案》、《关于使用超募资金建设成都技术中心的议案》</w:t>
            </w:r>
          </w:p>
        </w:tc>
        <w:tc>
          <w:tcPr>
            <w:tcW w:w="1625"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6" w:hRule="exact"/>
        </w:trPr>
        <w:tc>
          <w:tcPr>
            <w:tcW w:w="1589"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ind w:left="93" w:right="75"/>
              <w:jc w:val="left"/>
              <w:rPr>
                <w:rFonts w:ascii="宋体" w:hAnsi="宋体" w:cs="宋体" w:eastAsia="宋体" w:hint="default"/>
                <w:sz w:val="21"/>
                <w:szCs w:val="21"/>
              </w:rPr>
            </w:pPr>
            <w:r>
              <w:rPr>
                <w:rFonts w:ascii="宋体" w:hAnsi="宋体" w:cs="宋体" w:eastAsia="宋体" w:hint="default"/>
                <w:spacing w:val="16"/>
                <w:sz w:val="21"/>
                <w:szCs w:val="21"/>
              </w:rPr>
              <w:t>第二届监事会</w:t>
            </w:r>
            <w:r>
              <w:rPr>
                <w:rFonts w:ascii="宋体" w:hAnsi="宋体" w:cs="宋体" w:eastAsia="宋体" w:hint="default"/>
                <w:spacing w:val="-89"/>
                <w:sz w:val="21"/>
                <w:szCs w:val="21"/>
              </w:rPr>
              <w:t> </w:t>
            </w:r>
            <w:r>
              <w:rPr>
                <w:rFonts w:ascii="宋体" w:hAnsi="宋体" w:cs="宋体" w:eastAsia="宋体" w:hint="default"/>
                <w:sz w:val="21"/>
                <w:szCs w:val="21"/>
              </w:rPr>
              <w:t>第四次会议</w:t>
            </w:r>
          </w:p>
        </w:tc>
        <w:tc>
          <w:tcPr>
            <w:tcW w:w="6642" w:type="dxa"/>
            <w:tcBorders>
              <w:top w:val="single" w:sz="6" w:space="0" w:color="000000"/>
              <w:left w:val="single" w:sz="6" w:space="0" w:color="000000"/>
              <w:bottom w:val="single" w:sz="12" w:space="0" w:color="000000"/>
              <w:right w:val="single" w:sz="6" w:space="0" w:color="000000"/>
            </w:tcBorders>
          </w:tcPr>
          <w:p>
            <w:pPr>
              <w:pStyle w:val="TableParagraph"/>
              <w:spacing w:line="278"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审议通过了《</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33"/>
                <w:sz w:val="21"/>
                <w:szCs w:val="21"/>
              </w:rPr>
              <w:t> </w:t>
            </w:r>
            <w:r>
              <w:rPr>
                <w:rFonts w:ascii="宋体" w:hAnsi="宋体" w:cs="宋体" w:eastAsia="宋体" w:hint="default"/>
                <w:spacing w:val="-2"/>
                <w:sz w:val="21"/>
                <w:szCs w:val="21"/>
              </w:rPr>
              <w:t>年第三季度报告全文及正文》</w:t>
            </w:r>
          </w:p>
        </w:tc>
        <w:tc>
          <w:tcPr>
            <w:tcW w:w="1625" w:type="dxa"/>
            <w:tcBorders>
              <w:top w:val="single" w:sz="6" w:space="0" w:color="000000"/>
              <w:left w:val="single" w:sz="6" w:space="0" w:color="000000"/>
              <w:bottom w:val="single" w:sz="12" w:space="0" w:color="000000"/>
              <w:right w:val="single" w:sz="12" w:space="0" w:color="000000"/>
            </w:tcBorders>
          </w:tcPr>
          <w:p>
            <w:pPr>
              <w:pStyle w:val="TableParagraph"/>
              <w:spacing w:line="278" w:lineRule="exact"/>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20</w:t>
            </w:r>
          </w:p>
          <w:p>
            <w:pPr>
              <w:pStyle w:val="TableParagraph"/>
              <w:spacing w:line="240" w:lineRule="auto" w:before="21"/>
              <w:ind w:left="103" w:right="0"/>
              <w:jc w:val="left"/>
              <w:rPr>
                <w:rFonts w:ascii="宋体" w:hAnsi="宋体" w:cs="宋体" w:eastAsia="宋体" w:hint="default"/>
                <w:sz w:val="21"/>
                <w:szCs w:val="21"/>
              </w:rPr>
            </w:pPr>
            <w:r>
              <w:rPr>
                <w:rFonts w:ascii="宋体" w:hAnsi="宋体" w:cs="宋体" w:eastAsia="宋体" w:hint="default"/>
                <w:w w:val="100"/>
                <w:sz w:val="21"/>
                <w:szCs w:val="21"/>
              </w:rPr>
              <w:t>日</w:t>
            </w:r>
          </w:p>
        </w:tc>
      </w:tr>
    </w:tbl>
    <w:p>
      <w:pPr>
        <w:spacing w:line="240" w:lineRule="auto" w:before="13"/>
        <w:rPr>
          <w:rFonts w:ascii="宋体" w:hAnsi="宋体" w:cs="宋体" w:eastAsia="宋体" w:hint="default"/>
          <w:sz w:val="26"/>
          <w:szCs w:val="26"/>
        </w:rPr>
      </w:pPr>
    </w:p>
    <w:p>
      <w:pPr>
        <w:pStyle w:val="Heading4"/>
        <w:spacing w:line="240" w:lineRule="auto" w:before="14"/>
        <w:ind w:left="785" w:right="0"/>
        <w:jc w:val="left"/>
        <w:rPr>
          <w:b w:val="0"/>
          <w:bCs w:val="0"/>
        </w:rPr>
      </w:pPr>
      <w:bookmarkStart w:name="_TOC_250008" w:id="80"/>
      <w:r>
        <w:rPr/>
        <w:t>二、监事会对公司报告期内有关事项的独立意见</w:t>
      </w:r>
      <w:bookmarkEnd w:id="80"/>
      <w:r>
        <w:rPr>
          <w:b w:val="0"/>
          <w:bCs w:val="0"/>
        </w:rPr>
      </w:r>
    </w:p>
    <w:p>
      <w:pPr>
        <w:spacing w:line="240" w:lineRule="auto" w:before="12"/>
        <w:rPr>
          <w:rFonts w:ascii="宋体" w:hAnsi="宋体" w:cs="宋体" w:eastAsia="宋体" w:hint="default"/>
          <w:b/>
          <w:bCs/>
          <w:sz w:val="35"/>
          <w:szCs w:val="35"/>
        </w:rPr>
      </w:pPr>
    </w:p>
    <w:p>
      <w:pPr>
        <w:pStyle w:val="BodyText"/>
        <w:spacing w:line="240" w:lineRule="auto"/>
        <w:ind w:left="713" w:right="0"/>
        <w:jc w:val="left"/>
      </w:pPr>
      <w:r>
        <w:rPr/>
        <w:t>报告</w:t>
      </w:r>
      <w:r>
        <w:rPr>
          <w:spacing w:val="2"/>
        </w:rPr>
        <w:t>期</w:t>
      </w:r>
      <w:r>
        <w:rPr/>
        <w:t>内，</w:t>
      </w:r>
      <w:r>
        <w:rPr>
          <w:spacing w:val="2"/>
        </w:rPr>
        <w:t>公</w:t>
      </w:r>
      <w:r>
        <w:rPr/>
        <w:t>司</w:t>
      </w:r>
      <w:r>
        <w:rPr>
          <w:spacing w:val="2"/>
        </w:rPr>
        <w:t>监</w:t>
      </w:r>
      <w:r>
        <w:rPr/>
        <w:t>事</w:t>
      </w:r>
      <w:r>
        <w:rPr>
          <w:spacing w:val="2"/>
        </w:rPr>
        <w:t>会</w:t>
      </w:r>
      <w:r>
        <w:rPr/>
        <w:t>根据</w:t>
      </w:r>
      <w:r>
        <w:rPr>
          <w:spacing w:val="2"/>
        </w:rPr>
        <w:t>《</w:t>
      </w:r>
      <w:r>
        <w:rPr/>
        <w:t>公司</w:t>
      </w:r>
      <w:r>
        <w:rPr>
          <w:spacing w:val="2"/>
        </w:rPr>
        <w:t>法</w:t>
      </w:r>
      <w:r>
        <w:rPr>
          <w:spacing w:val="-120"/>
        </w:rPr>
        <w:t>》</w:t>
      </w:r>
      <w:r>
        <w:rPr>
          <w:spacing w:val="-118"/>
        </w:rPr>
        <w:t>、</w:t>
      </w:r>
      <w:r>
        <w:rPr/>
        <w:t>《证</w:t>
      </w:r>
      <w:r>
        <w:rPr>
          <w:spacing w:val="2"/>
        </w:rPr>
        <w:t>券</w:t>
      </w:r>
      <w:r>
        <w:rPr/>
        <w:t>法</w:t>
      </w:r>
      <w:r>
        <w:rPr>
          <w:spacing w:val="-120"/>
        </w:rPr>
        <w:t>》</w:t>
      </w:r>
      <w:r>
        <w:rPr>
          <w:spacing w:val="-118"/>
        </w:rPr>
        <w:t>、</w:t>
      </w:r>
      <w:r>
        <w:rPr/>
        <w:t>《上</w:t>
      </w:r>
      <w:r>
        <w:rPr>
          <w:spacing w:val="2"/>
        </w:rPr>
        <w:t>市</w:t>
      </w:r>
      <w:r>
        <w:rPr/>
        <w:t>规</w:t>
      </w:r>
      <w:r>
        <w:rPr>
          <w:spacing w:val="2"/>
        </w:rPr>
        <w:t>则</w:t>
      </w:r>
      <w:r>
        <w:rPr>
          <w:spacing w:val="-120"/>
        </w:rPr>
        <w:t>》、</w:t>
      </w:r>
      <w:r>
        <w:rPr>
          <w:spacing w:val="2"/>
        </w:rPr>
        <w:t>《规</w:t>
      </w:r>
      <w:r>
        <w:rPr/>
        <w:t>范运</w:t>
      </w:r>
      <w:r>
        <w:rPr>
          <w:spacing w:val="2"/>
        </w:rPr>
        <w:t>作</w:t>
      </w:r>
      <w:r>
        <w:rPr/>
        <w:t>指引</w:t>
      </w:r>
      <w:r>
        <w:rPr>
          <w:spacing w:val="2"/>
        </w:rPr>
        <w:t>》</w:t>
      </w:r>
      <w:r>
        <w:rPr/>
        <w:t>以及</w:t>
      </w:r>
    </w:p>
    <w:p>
      <w:pPr>
        <w:pStyle w:val="BodyText"/>
        <w:spacing w:line="357" w:lineRule="auto" w:before="154"/>
        <w:ind w:left="232" w:right="0"/>
        <w:jc w:val="left"/>
      </w:pPr>
      <w:r>
        <w:rPr/>
        <w:t>《公司章程》等相关规定，对公司依法运作情况、公司财务情况、关联交易、重大决策、股</w:t>
      </w:r>
      <w:r>
        <w:rPr>
          <w:spacing w:val="-86"/>
        </w:rPr>
        <w:t> </w:t>
      </w:r>
      <w:r>
        <w:rPr>
          <w:spacing w:val="-86"/>
        </w:rPr>
      </w:r>
      <w:r>
        <w:rPr/>
        <w:t>权激励等事项进行认真监督检查，发表独立意见如下：</w:t>
      </w:r>
    </w:p>
    <w:p>
      <w:pPr>
        <w:spacing w:after="0" w:line="357" w:lineRule="auto"/>
        <w:jc w:val="left"/>
        <w:sectPr>
          <w:headerReference w:type="default" r:id="rId46"/>
          <w:pgSz w:w="11910" w:h="16840"/>
          <w:pgMar w:header="884" w:footer="1173" w:top="1100" w:bottom="1360" w:left="900" w:right="880"/>
        </w:sectPr>
      </w:pPr>
    </w:p>
    <w:p>
      <w:pPr>
        <w:spacing w:line="240" w:lineRule="auto" w:before="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5"/>
          <w:szCs w:val="5"/>
        </w:rPr>
      </w:pPr>
    </w:p>
    <w:p>
      <w:pPr>
        <w:pStyle w:val="Heading4"/>
        <w:spacing w:line="240" w:lineRule="auto" w:before="14"/>
        <w:ind w:left="705" w:right="0"/>
        <w:jc w:val="left"/>
        <w:rPr>
          <w:b w:val="0"/>
          <w:bCs w:val="0"/>
        </w:rPr>
      </w:pPr>
      <w:bookmarkStart w:name="_TOC_250007" w:id="81"/>
      <w:r>
        <w:rPr/>
        <w:t>（一）公司依法运作情况</w:t>
      </w:r>
      <w:bookmarkEnd w:id="81"/>
      <w:r>
        <w:rPr>
          <w:b w:val="0"/>
          <w:bCs w:val="0"/>
        </w:rPr>
      </w:r>
    </w:p>
    <w:p>
      <w:pPr>
        <w:spacing w:line="240" w:lineRule="auto" w:before="12"/>
        <w:rPr>
          <w:rFonts w:ascii="宋体" w:hAnsi="宋体" w:cs="宋体" w:eastAsia="宋体" w:hint="default"/>
          <w:b/>
          <w:bCs/>
          <w:sz w:val="35"/>
          <w:szCs w:val="35"/>
        </w:rPr>
      </w:pPr>
    </w:p>
    <w:p>
      <w:pPr>
        <w:pStyle w:val="BodyText"/>
        <w:spacing w:line="240" w:lineRule="auto"/>
        <w:ind w:left="753"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0"/>
        </w:rPr>
        <w:t>1</w:t>
      </w:r>
      <w:r>
        <w:rPr>
          <w:rFonts w:ascii="Times New Roman" w:hAnsi="Times New Roman" w:cs="Times New Roman" w:eastAsia="Times New Roman" w:hint="default"/>
        </w:rPr>
        <w:t>1 </w:t>
      </w:r>
      <w:r>
        <w:rPr>
          <w:rFonts w:ascii="Times New Roman" w:hAnsi="Times New Roman" w:cs="Times New Roman" w:eastAsia="Times New Roman" w:hint="default"/>
          <w:spacing w:val="2"/>
        </w:rPr>
        <w:t> </w:t>
      </w:r>
      <w:r>
        <w:rPr>
          <w:spacing w:val="2"/>
        </w:rPr>
        <w:t>年度</w:t>
      </w:r>
      <w:r>
        <w:rPr/>
        <w:t>，</w:t>
      </w:r>
      <w:r>
        <w:rPr>
          <w:spacing w:val="2"/>
        </w:rPr>
        <w:t>监</w:t>
      </w:r>
      <w:r>
        <w:rPr/>
        <w:t>事</w:t>
      </w:r>
      <w:r>
        <w:rPr>
          <w:spacing w:val="2"/>
        </w:rPr>
        <w:t>会</w:t>
      </w:r>
      <w:r>
        <w:rPr/>
        <w:t>成</w:t>
      </w:r>
      <w:r>
        <w:rPr>
          <w:spacing w:val="2"/>
        </w:rPr>
        <w:t>员列</w:t>
      </w:r>
      <w:r>
        <w:rPr/>
        <w:t>席</w:t>
      </w:r>
      <w:r>
        <w:rPr>
          <w:spacing w:val="2"/>
        </w:rPr>
        <w:t>了</w:t>
      </w:r>
      <w:r>
        <w:rPr/>
        <w:t>公</w:t>
      </w:r>
      <w:r>
        <w:rPr>
          <w:spacing w:val="2"/>
        </w:rPr>
        <w:t>司</w:t>
      </w:r>
      <w:r>
        <w:rPr/>
        <w:t>召</w:t>
      </w:r>
      <w:r>
        <w:rPr>
          <w:spacing w:val="2"/>
        </w:rPr>
        <w:t>开的</w:t>
      </w:r>
      <w:r>
        <w:rPr/>
        <w:t>所</w:t>
      </w:r>
      <w:r>
        <w:rPr>
          <w:spacing w:val="2"/>
        </w:rPr>
        <w:t>有董</w:t>
      </w:r>
      <w:r>
        <w:rPr/>
        <w:t>事</w:t>
      </w:r>
      <w:r>
        <w:rPr>
          <w:spacing w:val="2"/>
        </w:rPr>
        <w:t>会</w:t>
      </w:r>
      <w:r>
        <w:rPr/>
        <w:t>以</w:t>
      </w:r>
      <w:r>
        <w:rPr>
          <w:spacing w:val="2"/>
        </w:rPr>
        <w:t>及</w:t>
      </w:r>
      <w:r>
        <w:rPr/>
        <w:t>股</w:t>
      </w:r>
      <w:r>
        <w:rPr>
          <w:spacing w:val="2"/>
        </w:rPr>
        <w:t>东大</w:t>
      </w:r>
      <w:r>
        <w:rPr/>
        <w:t>会</w:t>
      </w:r>
      <w:r>
        <w:rPr>
          <w:spacing w:val="2"/>
        </w:rPr>
        <w:t>，根</w:t>
      </w:r>
      <w:r>
        <w:rPr/>
        <w:t>据</w:t>
      </w:r>
      <w:r>
        <w:rPr>
          <w:spacing w:val="2"/>
        </w:rPr>
        <w:t>《</w:t>
      </w:r>
      <w:r>
        <w:rPr/>
        <w:t>公</w:t>
      </w:r>
      <w:r>
        <w:rPr>
          <w:spacing w:val="2"/>
        </w:rPr>
        <w:t>司</w:t>
      </w:r>
      <w:r>
        <w:rPr/>
        <w:t>法</w:t>
      </w:r>
      <w:r>
        <w:rPr>
          <w:spacing w:val="-118"/>
        </w:rPr>
        <w:t>》</w:t>
      </w:r>
      <w:r>
        <w:rPr/>
        <w:t>、</w:t>
      </w:r>
    </w:p>
    <w:p>
      <w:pPr>
        <w:pStyle w:val="BodyText"/>
        <w:spacing w:line="357" w:lineRule="auto" w:before="135"/>
        <w:ind w:left="152" w:right="233"/>
        <w:jc w:val="both"/>
      </w:pPr>
      <w:r>
        <w:rPr/>
        <w:t>《监事会议事规则》等有关规定对相关会议的召开召集程序、决策程序、决议事项以及决议</w:t>
      </w:r>
      <w:r>
        <w:rPr>
          <w:spacing w:val="-91"/>
        </w:rPr>
        <w:t> </w:t>
      </w:r>
      <w:r>
        <w:rPr>
          <w:spacing w:val="-91"/>
        </w:rPr>
      </w:r>
      <w:r>
        <w:rPr/>
        <w:t>的执行进行了严格监督，并对董事、高级管理人员执行公司职务的行为进行了监督检查。监</w:t>
      </w:r>
      <w:r>
        <w:rPr>
          <w:spacing w:val="-86"/>
        </w:rPr>
        <w:t> </w:t>
      </w:r>
      <w:r>
        <w:rPr>
          <w:spacing w:val="-86"/>
        </w:rPr>
      </w:r>
      <w:r>
        <w:rPr/>
        <w:t>事会认为：公司的决策程序严格遵循了《公司法》、《证券法》、《上市规则》等法律法规</w:t>
      </w:r>
      <w:r>
        <w:rPr>
          <w:spacing w:val="-86"/>
        </w:rPr>
        <w:t> </w:t>
      </w:r>
      <w:r>
        <w:rPr>
          <w:spacing w:val="-86"/>
        </w:rPr>
      </w:r>
      <w:r>
        <w:rPr/>
        <w:t>以及《公司章程》的规定，公司进一步健全了内部控制制度及相关流程。信息披露及时、准</w:t>
      </w:r>
      <w:r>
        <w:rPr>
          <w:spacing w:val="-89"/>
        </w:rPr>
        <w:t> </w:t>
      </w:r>
      <w:r>
        <w:rPr>
          <w:spacing w:val="-89"/>
        </w:rPr>
      </w:r>
      <w:r>
        <w:rPr>
          <w:spacing w:val="-6"/>
        </w:rPr>
        <w:t>确。公司董事、高级管理人员在执行公司职务时不存在违反法律、法规、《公司章程》或有损</w:t>
      </w:r>
      <w:r>
        <w:rPr>
          <w:spacing w:val="-83"/>
        </w:rPr>
        <w:t> </w:t>
      </w:r>
      <w:r>
        <w:rPr>
          <w:spacing w:val="-83"/>
        </w:rPr>
      </w:r>
      <w:r>
        <w:rPr/>
        <w:t>于公司和股东利益的行为。</w:t>
      </w:r>
    </w:p>
    <w:p>
      <w:pPr>
        <w:spacing w:line="240" w:lineRule="auto" w:before="5"/>
        <w:rPr>
          <w:rFonts w:ascii="宋体" w:hAnsi="宋体" w:cs="宋体" w:eastAsia="宋体" w:hint="default"/>
          <w:sz w:val="26"/>
          <w:szCs w:val="26"/>
        </w:rPr>
      </w:pPr>
    </w:p>
    <w:p>
      <w:pPr>
        <w:pStyle w:val="Heading4"/>
        <w:spacing w:line="240" w:lineRule="auto"/>
        <w:ind w:left="705" w:right="0"/>
        <w:jc w:val="left"/>
        <w:rPr>
          <w:b w:val="0"/>
          <w:bCs w:val="0"/>
        </w:rPr>
      </w:pPr>
      <w:bookmarkStart w:name="_TOC_250006" w:id="82"/>
      <w:r>
        <w:rPr/>
        <w:t>（二）公司财务情况</w:t>
      </w:r>
      <w:bookmarkEnd w:id="82"/>
      <w:r>
        <w:rPr>
          <w:b w:val="0"/>
          <w:bCs w:val="0"/>
        </w:rPr>
      </w:r>
    </w:p>
    <w:p>
      <w:pPr>
        <w:spacing w:line="240" w:lineRule="auto" w:before="12"/>
        <w:rPr>
          <w:rFonts w:ascii="宋体" w:hAnsi="宋体" w:cs="宋体" w:eastAsia="宋体" w:hint="default"/>
          <w:b/>
          <w:bCs/>
          <w:sz w:val="35"/>
          <w:szCs w:val="35"/>
        </w:rPr>
      </w:pPr>
    </w:p>
    <w:p>
      <w:pPr>
        <w:pStyle w:val="BodyText"/>
        <w:spacing w:line="348" w:lineRule="auto"/>
        <w:ind w:left="152" w:right="228"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1"/>
        </w:rPr>
        <w:t> </w:t>
      </w:r>
      <w:r>
        <w:rPr/>
        <w:t>年度，监事会对公司的财务状况、财务管理以及公司经营成果进行了认真检查。主 要方式是：查阅公司财务报表、审计机构出具的审计报告、公司内部审计部门出具的内审报</w:t>
      </w:r>
      <w:r>
        <w:rPr>
          <w:spacing w:val="-91"/>
        </w:rPr>
        <w:t> </w:t>
      </w:r>
      <w:r>
        <w:rPr>
          <w:spacing w:val="-91"/>
        </w:rPr>
      </w:r>
      <w:r>
        <w:rPr/>
        <w:t>告，质询财务负责人等。经检查和审核，监事会认为：公司财务制度比较健全、财务运作规</w:t>
      </w:r>
      <w:r>
        <w:rPr>
          <w:spacing w:val="-87"/>
        </w:rPr>
        <w:t> </w:t>
      </w:r>
      <w:r>
        <w:rPr>
          <w:spacing w:val="-87"/>
        </w:rPr>
      </w:r>
      <w:r>
        <w:rPr>
          <w:spacing w:val="-3"/>
        </w:rPr>
        <w:t>范、财务状况良好。财务报告真实、公允地反映了公司</w:t>
      </w:r>
      <w:r>
        <w:rPr>
          <w:spacing w:val="-6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年度的财务状况和经营成果，不 存在任何虚假记载、误导性陈述或者重大遗漏。</w:t>
      </w:r>
    </w:p>
    <w:p>
      <w:pPr>
        <w:spacing w:line="240" w:lineRule="auto" w:before="1"/>
        <w:rPr>
          <w:rFonts w:ascii="宋体" w:hAnsi="宋体" w:cs="宋体" w:eastAsia="宋体" w:hint="default"/>
          <w:sz w:val="27"/>
          <w:szCs w:val="27"/>
        </w:rPr>
      </w:pPr>
    </w:p>
    <w:p>
      <w:pPr>
        <w:pStyle w:val="Heading4"/>
        <w:spacing w:line="240" w:lineRule="auto"/>
        <w:ind w:left="566" w:right="0"/>
        <w:jc w:val="left"/>
        <w:rPr>
          <w:b w:val="0"/>
          <w:bCs w:val="0"/>
        </w:rPr>
      </w:pPr>
      <w:bookmarkStart w:name="_TOC_250005" w:id="83"/>
      <w:r>
        <w:rPr/>
        <w:t>（三）公司关联交易、对外担保及实际控制人和大股东占用资金情况</w:t>
      </w:r>
      <w:bookmarkEnd w:id="83"/>
      <w:r>
        <w:rPr>
          <w:b w:val="0"/>
          <w:bCs w:val="0"/>
        </w:rPr>
      </w:r>
    </w:p>
    <w:p>
      <w:pPr>
        <w:spacing w:line="240" w:lineRule="auto" w:before="10"/>
        <w:rPr>
          <w:rFonts w:ascii="宋体" w:hAnsi="宋体" w:cs="宋体" w:eastAsia="宋体" w:hint="default"/>
          <w:b/>
          <w:bCs/>
          <w:sz w:val="35"/>
          <w:szCs w:val="35"/>
        </w:rPr>
      </w:pPr>
    </w:p>
    <w:p>
      <w:pPr>
        <w:pStyle w:val="BodyText"/>
        <w:spacing w:line="348" w:lineRule="auto"/>
        <w:ind w:left="152" w:right="232" w:firstLine="480"/>
        <w:jc w:val="both"/>
      </w:pPr>
      <w:r>
        <w:rPr/>
        <w:t>公司</w:t>
      </w:r>
      <w:r>
        <w:rPr>
          <w:spacing w:val="-52"/>
        </w:rPr>
        <w:t>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spacing w:val="-3"/>
        </w:rPr>
        <w:t>年度未发生重大关联交易行为，发生的关联交易决策程序符合有关法律、法规</w:t>
      </w:r>
      <w:r>
        <w:rPr/>
        <w:t> 及《公司章程》的规定，定价公允，属于与日常经营相关的持续性往来，符合公司实际生产</w:t>
      </w:r>
      <w:r>
        <w:rPr>
          <w:spacing w:val="-91"/>
        </w:rPr>
        <w:t> </w:t>
      </w:r>
      <w:r>
        <w:rPr>
          <w:spacing w:val="-91"/>
        </w:rPr>
      </w:r>
      <w:r>
        <w:rPr/>
        <w:t>经营需要，不存在任何内部交易，不存在损害公司和所有股东利益的行为。</w:t>
      </w:r>
    </w:p>
    <w:p>
      <w:pPr>
        <w:pStyle w:val="BodyText"/>
        <w:spacing w:line="338" w:lineRule="auto" w:before="46"/>
        <w:ind w:left="152" w:right="232" w:firstLine="48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2"/>
        </w:rPr>
        <w:t> </w:t>
      </w:r>
      <w:r>
        <w:rPr/>
        <w:t>年度公司未发生对外担保，未发生债务重组、非货币性交易事项及资产置换，也未 发生其他损害公司股东利益或造成公司资产流失的情况。</w:t>
      </w:r>
    </w:p>
    <w:p>
      <w:pPr>
        <w:pStyle w:val="BodyText"/>
        <w:spacing w:line="240" w:lineRule="auto" w:before="55"/>
        <w:ind w:left="63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年度公司未发生实际控制人或大股东占用公司资金的情况。</w:t>
      </w:r>
    </w:p>
    <w:p>
      <w:pPr>
        <w:spacing w:line="240" w:lineRule="auto" w:before="12"/>
        <w:rPr>
          <w:rFonts w:ascii="宋体" w:hAnsi="宋体" w:cs="宋体" w:eastAsia="宋体" w:hint="default"/>
          <w:sz w:val="33"/>
          <w:szCs w:val="33"/>
        </w:rPr>
      </w:pPr>
    </w:p>
    <w:p>
      <w:pPr>
        <w:pStyle w:val="Heading4"/>
        <w:spacing w:line="240" w:lineRule="auto"/>
        <w:ind w:left="566" w:right="0"/>
        <w:jc w:val="left"/>
        <w:rPr>
          <w:b w:val="0"/>
          <w:bCs w:val="0"/>
        </w:rPr>
      </w:pPr>
      <w:bookmarkStart w:name="_TOC_250004" w:id="84"/>
      <w:r>
        <w:rPr/>
        <w:t>（四）公司募集资金使用和管理情况</w:t>
      </w:r>
      <w:bookmarkEnd w:id="84"/>
      <w:r>
        <w:rPr>
          <w:b w:val="0"/>
          <w:bCs w:val="0"/>
        </w:rPr>
      </w:r>
    </w:p>
    <w:p>
      <w:pPr>
        <w:spacing w:line="240" w:lineRule="auto" w:before="12"/>
        <w:rPr>
          <w:rFonts w:ascii="宋体" w:hAnsi="宋体" w:cs="宋体" w:eastAsia="宋体" w:hint="default"/>
          <w:b/>
          <w:bCs/>
          <w:sz w:val="35"/>
          <w:szCs w:val="35"/>
        </w:rPr>
      </w:pPr>
    </w:p>
    <w:p>
      <w:pPr>
        <w:pStyle w:val="BodyText"/>
        <w:spacing w:line="357" w:lineRule="auto"/>
        <w:ind w:left="152" w:right="236" w:firstLine="480"/>
        <w:jc w:val="both"/>
      </w:pPr>
      <w:r>
        <w:rPr/>
        <w:t>报告期内，公司募集资金的使用符合募投项目的综合需要以及中国证监会、深圳证券交 易所关于募集资金使用的相关规定，公司不存在违规使用募集资金的行为，不存在改变募集</w:t>
      </w:r>
      <w:r>
        <w:rPr>
          <w:spacing w:val="-90"/>
        </w:rPr>
        <w:t> </w:t>
      </w:r>
      <w:r>
        <w:rPr>
          <w:spacing w:val="-90"/>
        </w:rPr>
      </w:r>
      <w:r>
        <w:rPr/>
        <w:t>资金使用计划和损害股东利益的情形。募投项目依计划进行，未发生变更募投项目的情况。</w:t>
      </w:r>
    </w:p>
    <w:p>
      <w:pPr>
        <w:spacing w:after="0" w:line="357" w:lineRule="auto"/>
        <w:jc w:val="both"/>
        <w:sectPr>
          <w:footerReference w:type="default" r:id="rId47"/>
          <w:pgSz w:w="11910" w:h="16840"/>
          <w:pgMar w:footer="1173" w:header="884" w:top="1100" w:bottom="1360" w:left="980" w:right="900"/>
          <w:pgNumType w:start="97"/>
        </w:sectPr>
      </w:pPr>
    </w:p>
    <w:p>
      <w:pPr>
        <w:spacing w:line="240" w:lineRule="auto" w:before="0"/>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48" w:lineRule="auto" w:before="33"/>
        <w:ind w:left="152" w:right="151" w:firstLine="480"/>
        <w:jc w:val="both"/>
      </w:pPr>
      <w:r>
        <w:rPr/>
        <w:t>报告期内，公司超募资金的使用符合《创业板信息披露业务备忘录第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号—超募资金使 用（修订）》等相关法律法规的规定，超募资金的使用方向符合公司的战略规划及市场发展</w:t>
      </w:r>
      <w:r>
        <w:rPr>
          <w:spacing w:val="-90"/>
        </w:rPr>
        <w:t> </w:t>
      </w:r>
      <w:r>
        <w:rPr>
          <w:spacing w:val="-90"/>
        </w:rPr>
      </w:r>
      <w:r>
        <w:rPr/>
        <w:t>的需要且不影响公司募投项目的正常进行。</w:t>
      </w:r>
    </w:p>
    <w:p>
      <w:pPr>
        <w:pStyle w:val="BodyText"/>
        <w:spacing w:line="357" w:lineRule="auto" w:before="46"/>
        <w:ind w:left="152" w:right="158" w:firstLine="480"/>
        <w:jc w:val="both"/>
      </w:pPr>
      <w:r>
        <w:rPr/>
        <w:t>报告期内，公司进一步加强了募集资金台帐管理，进一步完善了募集资金管理制度及相 关流程，总体而言，募集资金的存储安全、管理有效。</w:t>
      </w:r>
    </w:p>
    <w:p>
      <w:pPr>
        <w:spacing w:line="240" w:lineRule="auto" w:before="5"/>
        <w:rPr>
          <w:rFonts w:ascii="宋体" w:hAnsi="宋体" w:cs="宋体" w:eastAsia="宋体" w:hint="default"/>
          <w:sz w:val="26"/>
          <w:szCs w:val="26"/>
        </w:rPr>
      </w:pPr>
    </w:p>
    <w:p>
      <w:pPr>
        <w:pStyle w:val="Heading4"/>
        <w:spacing w:line="240" w:lineRule="auto"/>
        <w:ind w:left="566" w:right="0"/>
        <w:jc w:val="left"/>
        <w:rPr>
          <w:b w:val="0"/>
          <w:bCs w:val="0"/>
        </w:rPr>
      </w:pPr>
      <w:bookmarkStart w:name="_TOC_250003" w:id="85"/>
      <w:r>
        <w:rPr/>
        <w:t>（五）公司内控建设情况</w:t>
      </w:r>
      <w:bookmarkEnd w:id="85"/>
      <w:r>
        <w:rPr>
          <w:b w:val="0"/>
          <w:bCs w:val="0"/>
        </w:rPr>
      </w:r>
    </w:p>
    <w:p>
      <w:pPr>
        <w:spacing w:line="240" w:lineRule="auto" w:before="10"/>
        <w:rPr>
          <w:rFonts w:ascii="宋体" w:hAnsi="宋体" w:cs="宋体" w:eastAsia="宋体" w:hint="default"/>
          <w:b/>
          <w:bCs/>
          <w:sz w:val="35"/>
          <w:szCs w:val="35"/>
        </w:rPr>
      </w:pPr>
    </w:p>
    <w:p>
      <w:pPr>
        <w:pStyle w:val="BodyText"/>
        <w:spacing w:line="348" w:lineRule="auto"/>
        <w:ind w:left="152" w:right="151" w:firstLine="480"/>
        <w:jc w:val="both"/>
      </w:pPr>
      <w:r>
        <w:rPr/>
        <w:t>经审阅公司的内部控制自我评价报告，监事会认为</w:t>
      </w:r>
      <w:r>
        <w:rPr>
          <w:spacing w:val="-7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4"/>
        </w:rPr>
        <w:t> </w:t>
      </w:r>
      <w:r>
        <w:rPr>
          <w:spacing w:val="-3"/>
        </w:rPr>
        <w:t>年度，公司进一步健全了内部控</w:t>
      </w:r>
      <w:r>
        <w:rPr/>
        <w:t> 制制度，进一步细化、优化了相关控制流程，公司的内部控制体系也建立，内部控制组织机</w:t>
      </w:r>
      <w:r>
        <w:rPr>
          <w:spacing w:val="-91"/>
        </w:rPr>
        <w:t> </w:t>
      </w:r>
      <w:r>
        <w:rPr>
          <w:spacing w:val="-91"/>
        </w:rPr>
      </w:r>
      <w:r>
        <w:rPr/>
        <w:t>构完整，内部控制重点活动执行及监督充分有效。</w:t>
      </w:r>
    </w:p>
    <w:p>
      <w:pPr>
        <w:spacing w:line="240" w:lineRule="auto" w:before="1"/>
        <w:rPr>
          <w:rFonts w:ascii="宋体" w:hAnsi="宋体" w:cs="宋体" w:eastAsia="宋体" w:hint="default"/>
          <w:sz w:val="27"/>
          <w:szCs w:val="27"/>
        </w:rPr>
      </w:pPr>
    </w:p>
    <w:p>
      <w:pPr>
        <w:pStyle w:val="Heading4"/>
        <w:spacing w:line="240" w:lineRule="auto"/>
        <w:ind w:left="566" w:right="0"/>
        <w:jc w:val="left"/>
        <w:rPr>
          <w:b w:val="0"/>
          <w:bCs w:val="0"/>
        </w:rPr>
      </w:pPr>
      <w:bookmarkStart w:name="_TOC_250002" w:id="86"/>
      <w:r>
        <w:rPr/>
        <w:t>（六）公司股权激励情况</w:t>
      </w:r>
      <w:bookmarkEnd w:id="86"/>
      <w:r>
        <w:rPr>
          <w:b w:val="0"/>
          <w:bCs w:val="0"/>
        </w:rPr>
      </w:r>
    </w:p>
    <w:p>
      <w:pPr>
        <w:spacing w:line="240" w:lineRule="auto" w:before="12"/>
        <w:rPr>
          <w:rFonts w:ascii="宋体" w:hAnsi="宋体" w:cs="宋体" w:eastAsia="宋体" w:hint="default"/>
          <w:b/>
          <w:bCs/>
          <w:sz w:val="35"/>
          <w:szCs w:val="35"/>
        </w:rPr>
      </w:pPr>
    </w:p>
    <w:p>
      <w:pPr>
        <w:pStyle w:val="BodyText"/>
        <w:spacing w:line="355" w:lineRule="auto"/>
        <w:ind w:left="152" w:right="153" w:firstLine="480"/>
        <w:jc w:val="both"/>
      </w:pPr>
      <w:r>
        <w:rPr/>
        <w:t>监事会对公司的股权激励相关方案、股权激励对象及其调整、股票期权的授予均进行了 认真审核，认为本次股权激励符合公司的发展需要，有利于完善公司的激励制度，有利于激</w:t>
      </w:r>
      <w:r>
        <w:rPr>
          <w:spacing w:val="-89"/>
        </w:rPr>
        <w:t> </w:t>
      </w:r>
      <w:r>
        <w:rPr>
          <w:spacing w:val="-89"/>
        </w:rPr>
      </w:r>
      <w:r>
        <w:rPr/>
        <w:t>发相关人员的创造性和积极性，认为本次股票期权激励计划中确定的激励对象包括公司高级</w:t>
      </w:r>
      <w:r>
        <w:rPr>
          <w:spacing w:val="-89"/>
        </w:rPr>
        <w:t> </w:t>
      </w:r>
      <w:r>
        <w:rPr>
          <w:spacing w:val="-89"/>
        </w:rPr>
      </w:r>
      <w:r>
        <w:rPr/>
        <w:t>管理人员与中层管理人员、核心技术及业务人员，其具备《中华人民共和国公司法》、《公</w:t>
      </w:r>
      <w:r>
        <w:rPr>
          <w:spacing w:val="-88"/>
        </w:rPr>
        <w:t> </w:t>
      </w:r>
      <w:r>
        <w:rPr>
          <w:spacing w:val="-88"/>
        </w:rPr>
      </w:r>
      <w:r>
        <w:rPr/>
        <w:t>司章程》等法律、法规和规范性文件规定的任职资格，不存在最近三年内被证券交易所公开</w:t>
      </w:r>
      <w:r>
        <w:rPr>
          <w:spacing w:val="-91"/>
        </w:rPr>
        <w:t> </w:t>
      </w:r>
      <w:r>
        <w:rPr>
          <w:spacing w:val="-91"/>
        </w:rPr>
      </w:r>
      <w:r>
        <w:rPr/>
        <w:t>谴责或宣布为不适当人选的，不存在最近三年内因重大违法违规行为被中国证监会予以行政</w:t>
      </w:r>
      <w:r>
        <w:rPr>
          <w:spacing w:val="-91"/>
        </w:rPr>
        <w:t> </w:t>
      </w:r>
      <w:r>
        <w:rPr>
          <w:spacing w:val="-91"/>
        </w:rPr>
      </w:r>
      <w:r>
        <w:rPr/>
        <w:t>处罚的，该名单人员符合《上市公司股权激励管理办法（试行）》、《股权激励有关事项备</w:t>
      </w:r>
      <w:r>
        <w:rPr>
          <w:spacing w:val="-91"/>
        </w:rPr>
        <w:t> </w:t>
      </w:r>
      <w:r>
        <w:rPr>
          <w:spacing w:val="-91"/>
        </w:rPr>
      </w:r>
      <w:r>
        <w:rPr/>
        <w:t>忘录 </w:t>
      </w:r>
      <w:r>
        <w:rPr>
          <w:rFonts w:ascii="Times New Roman" w:hAnsi="Times New Roman" w:cs="Times New Roman" w:eastAsia="Times New Roman" w:hint="default"/>
        </w:rPr>
        <w:t>1-3</w:t>
      </w:r>
      <w:r>
        <w:rPr>
          <w:rFonts w:ascii="Times New Roman" w:hAnsi="Times New Roman" w:cs="Times New Roman" w:eastAsia="Times New Roman" w:hint="default"/>
          <w:spacing w:val="16"/>
        </w:rPr>
        <w:t> </w:t>
      </w:r>
      <w:r>
        <w:rPr/>
        <w:t>号》规定的激励对象条件，其作为公司股权激励计划激励对象的主体资格合法、有 效，且满足《激励计划》规定的获授权条件。</w:t>
      </w:r>
    </w:p>
    <w:p>
      <w:pPr>
        <w:spacing w:after="0" w:line="355" w:lineRule="auto"/>
        <w:jc w:val="both"/>
        <w:sectPr>
          <w:pgSz w:w="11910" w:h="16840"/>
          <w:pgMar w:header="884" w:footer="1173" w:top="1100" w:bottom="13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tabs>
          <w:tab w:pos="4904" w:val="left" w:leader="none"/>
        </w:tabs>
        <w:spacing w:line="460" w:lineRule="exact"/>
        <w:ind w:left="3457" w:right="0"/>
        <w:jc w:val="left"/>
        <w:rPr>
          <w:b w:val="0"/>
          <w:bCs w:val="0"/>
        </w:rPr>
      </w:pPr>
      <w:bookmarkStart w:name="_TOC_250001" w:id="87"/>
      <w:r>
        <w:rPr>
          <w:w w:val="95"/>
        </w:rPr>
        <w:t>第十节</w:t>
        <w:tab/>
      </w:r>
      <w:r>
        <w:rPr/>
        <w:t>财务报告</w:t>
      </w:r>
      <w:bookmarkEnd w:id="87"/>
      <w:r>
        <w:rPr>
          <w:b w:val="0"/>
          <w:bCs w:val="0"/>
        </w:rPr>
      </w:r>
    </w:p>
    <w:p>
      <w:pPr>
        <w:spacing w:line="240" w:lineRule="auto" w:before="1"/>
        <w:rPr>
          <w:rFonts w:ascii="宋体" w:hAnsi="宋体" w:cs="宋体" w:eastAsia="宋体" w:hint="default"/>
          <w:b/>
          <w:bCs/>
          <w:sz w:val="10"/>
          <w:szCs w:val="10"/>
        </w:rPr>
      </w:pPr>
    </w:p>
    <w:tbl>
      <w:tblPr>
        <w:tblW w:w="0" w:type="auto"/>
        <w:jc w:val="left"/>
        <w:tblInd w:w="435" w:type="dxa"/>
        <w:tblLayout w:type="fixed"/>
        <w:tblCellMar>
          <w:top w:w="0" w:type="dxa"/>
          <w:left w:w="0" w:type="dxa"/>
          <w:bottom w:w="0" w:type="dxa"/>
          <w:right w:w="0" w:type="dxa"/>
        </w:tblCellMar>
        <w:tblLook w:val="01E0"/>
      </w:tblPr>
      <w:tblGrid>
        <w:gridCol w:w="1243"/>
        <w:gridCol w:w="7281"/>
      </w:tblGrid>
      <w:tr>
        <w:trPr>
          <w:trHeight w:val="497" w:hRule="exact"/>
        </w:trPr>
        <w:tc>
          <w:tcPr>
            <w:tcW w:w="1243" w:type="dxa"/>
            <w:tcBorders>
              <w:top w:val="single" w:sz="12" w:space="0" w:color="000000"/>
              <w:left w:val="single" w:sz="12" w:space="0" w:color="000000"/>
              <w:bottom w:val="single" w:sz="12" w:space="0" w:color="000000"/>
              <w:right w:val="single" w:sz="6" w:space="0" w:color="000000"/>
            </w:tcBorders>
          </w:tcPr>
          <w:p>
            <w:pPr/>
          </w:p>
        </w:tc>
        <w:tc>
          <w:tcPr>
            <w:tcW w:w="728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9"/>
              <w:ind w:left="562" w:right="0"/>
              <w:jc w:val="center"/>
              <w:rPr>
                <w:rFonts w:ascii="宋体" w:hAnsi="宋体" w:cs="宋体" w:eastAsia="宋体" w:hint="default"/>
                <w:sz w:val="24"/>
                <w:szCs w:val="24"/>
              </w:rPr>
            </w:pPr>
            <w:r>
              <w:rPr>
                <w:rFonts w:ascii="宋体" w:hAnsi="宋体" w:cs="宋体" w:eastAsia="宋体" w:hint="default"/>
                <w:b/>
                <w:bCs/>
                <w:sz w:val="24"/>
                <w:szCs w:val="24"/>
              </w:rPr>
              <w:t>目录</w:t>
            </w:r>
            <w:r>
              <w:rPr>
                <w:rFonts w:ascii="宋体" w:hAnsi="宋体" w:cs="宋体" w:eastAsia="宋体" w:hint="default"/>
                <w:sz w:val="24"/>
                <w:szCs w:val="24"/>
              </w:rPr>
            </w:r>
          </w:p>
        </w:tc>
      </w:tr>
      <w:tr>
        <w:trPr>
          <w:trHeight w:val="492" w:hRule="exact"/>
        </w:trPr>
        <w:tc>
          <w:tcPr>
            <w:tcW w:w="124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1"/>
              <w:ind w:right="326"/>
              <w:jc w:val="right"/>
              <w:rPr>
                <w:rFonts w:ascii="宋体" w:hAnsi="宋体" w:cs="宋体" w:eastAsia="宋体" w:hint="default"/>
                <w:sz w:val="24"/>
                <w:szCs w:val="24"/>
              </w:rPr>
            </w:pPr>
            <w:r>
              <w:rPr>
                <w:rFonts w:ascii="宋体" w:hAnsi="宋体" w:cs="宋体" w:eastAsia="宋体" w:hint="default"/>
                <w:b/>
                <w:bCs/>
                <w:w w:val="99"/>
                <w:sz w:val="24"/>
                <w:szCs w:val="24"/>
              </w:rPr>
              <w:t>一</w:t>
            </w:r>
            <w:r>
              <w:rPr>
                <w:rFonts w:ascii="宋体" w:hAnsi="宋体" w:cs="宋体" w:eastAsia="宋体" w:hint="default"/>
                <w:sz w:val="24"/>
                <w:szCs w:val="24"/>
              </w:rPr>
            </w:r>
          </w:p>
        </w:tc>
        <w:tc>
          <w:tcPr>
            <w:tcW w:w="728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1"/>
              <w:ind w:left="657" w:right="0"/>
              <w:jc w:val="left"/>
              <w:rPr>
                <w:rFonts w:ascii="宋体" w:hAnsi="宋体" w:cs="宋体" w:eastAsia="宋体" w:hint="default"/>
                <w:sz w:val="24"/>
                <w:szCs w:val="24"/>
              </w:rPr>
            </w:pPr>
            <w:r>
              <w:rPr>
                <w:rFonts w:ascii="宋体" w:hAnsi="宋体" w:cs="宋体" w:eastAsia="宋体" w:hint="default"/>
                <w:sz w:val="24"/>
                <w:szCs w:val="24"/>
              </w:rPr>
              <w:t>审计意见</w:t>
            </w:r>
          </w:p>
        </w:tc>
      </w:tr>
      <w:tr>
        <w:trPr>
          <w:trHeight w:val="482" w:hRule="exact"/>
        </w:trPr>
        <w:tc>
          <w:tcPr>
            <w:tcW w:w="124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9"/>
              <w:ind w:right="326"/>
              <w:jc w:val="right"/>
              <w:rPr>
                <w:rFonts w:ascii="宋体" w:hAnsi="宋体" w:cs="宋体" w:eastAsia="宋体" w:hint="default"/>
                <w:sz w:val="24"/>
                <w:szCs w:val="24"/>
              </w:rPr>
            </w:pPr>
            <w:r>
              <w:rPr>
                <w:rFonts w:ascii="宋体" w:hAnsi="宋体" w:cs="宋体" w:eastAsia="宋体" w:hint="default"/>
                <w:sz w:val="24"/>
                <w:szCs w:val="24"/>
              </w:rPr>
              <w:t>二</w:t>
            </w:r>
          </w:p>
        </w:tc>
        <w:tc>
          <w:tcPr>
            <w:tcW w:w="7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657" w:right="0"/>
              <w:jc w:val="left"/>
              <w:rPr>
                <w:rFonts w:ascii="宋体" w:hAnsi="宋体" w:cs="宋体" w:eastAsia="宋体" w:hint="default"/>
                <w:sz w:val="24"/>
                <w:szCs w:val="24"/>
              </w:rPr>
            </w:pPr>
            <w:r>
              <w:rPr>
                <w:rFonts w:ascii="宋体" w:hAnsi="宋体" w:cs="宋体" w:eastAsia="宋体" w:hint="default"/>
                <w:sz w:val="24"/>
                <w:szCs w:val="24"/>
              </w:rPr>
              <w:t>财务报表</w:t>
            </w:r>
          </w:p>
        </w:tc>
      </w:tr>
      <w:tr>
        <w:trPr>
          <w:trHeight w:val="482" w:hRule="exact"/>
        </w:trPr>
        <w:tc>
          <w:tcPr>
            <w:tcW w:w="1243" w:type="dxa"/>
            <w:tcBorders>
              <w:top w:val="single" w:sz="6" w:space="0" w:color="000000"/>
              <w:left w:val="single" w:sz="12" w:space="0" w:color="000000"/>
              <w:bottom w:val="single" w:sz="6" w:space="0" w:color="000000"/>
              <w:right w:val="single" w:sz="6" w:space="0" w:color="000000"/>
            </w:tcBorders>
          </w:tcPr>
          <w:p>
            <w:pPr/>
          </w:p>
        </w:tc>
        <w:tc>
          <w:tcPr>
            <w:tcW w:w="7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657" w:right="0"/>
              <w:jc w:val="left"/>
              <w:rPr>
                <w:rFonts w:ascii="宋体" w:hAnsi="宋体" w:cs="宋体" w:eastAsia="宋体" w:hint="default"/>
                <w:sz w:val="24"/>
                <w:szCs w:val="24"/>
              </w:rPr>
            </w:pPr>
            <w:r>
              <w:rPr>
                <w:rFonts w:ascii="宋体" w:hAnsi="宋体" w:cs="宋体" w:eastAsia="宋体" w:hint="default"/>
                <w:sz w:val="24"/>
                <w:szCs w:val="24"/>
              </w:rPr>
              <w:t>资产负债表</w:t>
            </w:r>
          </w:p>
        </w:tc>
      </w:tr>
      <w:tr>
        <w:trPr>
          <w:trHeight w:val="483" w:hRule="exact"/>
        </w:trPr>
        <w:tc>
          <w:tcPr>
            <w:tcW w:w="1243" w:type="dxa"/>
            <w:tcBorders>
              <w:top w:val="single" w:sz="6" w:space="0" w:color="000000"/>
              <w:left w:val="single" w:sz="12" w:space="0" w:color="000000"/>
              <w:bottom w:val="single" w:sz="6" w:space="0" w:color="000000"/>
              <w:right w:val="single" w:sz="6" w:space="0" w:color="000000"/>
            </w:tcBorders>
          </w:tcPr>
          <w:p>
            <w:pPr/>
          </w:p>
        </w:tc>
        <w:tc>
          <w:tcPr>
            <w:tcW w:w="7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657" w:right="0"/>
              <w:jc w:val="left"/>
              <w:rPr>
                <w:rFonts w:ascii="宋体" w:hAnsi="宋体" w:cs="宋体" w:eastAsia="宋体" w:hint="default"/>
                <w:sz w:val="24"/>
                <w:szCs w:val="24"/>
              </w:rPr>
            </w:pPr>
            <w:r>
              <w:rPr>
                <w:rFonts w:ascii="宋体" w:hAnsi="宋体" w:cs="宋体" w:eastAsia="宋体" w:hint="default"/>
                <w:sz w:val="24"/>
                <w:szCs w:val="24"/>
              </w:rPr>
              <w:t>利润表</w:t>
            </w:r>
          </w:p>
        </w:tc>
      </w:tr>
      <w:tr>
        <w:trPr>
          <w:trHeight w:val="485" w:hRule="exact"/>
        </w:trPr>
        <w:tc>
          <w:tcPr>
            <w:tcW w:w="1243" w:type="dxa"/>
            <w:tcBorders>
              <w:top w:val="single" w:sz="6" w:space="0" w:color="000000"/>
              <w:left w:val="single" w:sz="12" w:space="0" w:color="000000"/>
              <w:bottom w:val="single" w:sz="6" w:space="0" w:color="000000"/>
              <w:right w:val="single" w:sz="6" w:space="0" w:color="000000"/>
            </w:tcBorders>
          </w:tcPr>
          <w:p>
            <w:pPr/>
          </w:p>
        </w:tc>
        <w:tc>
          <w:tcPr>
            <w:tcW w:w="7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657" w:right="0"/>
              <w:jc w:val="left"/>
              <w:rPr>
                <w:rFonts w:ascii="宋体" w:hAnsi="宋体" w:cs="宋体" w:eastAsia="宋体" w:hint="default"/>
                <w:sz w:val="24"/>
                <w:szCs w:val="24"/>
              </w:rPr>
            </w:pPr>
            <w:r>
              <w:rPr>
                <w:rFonts w:ascii="宋体" w:hAnsi="宋体" w:cs="宋体" w:eastAsia="宋体" w:hint="default"/>
                <w:sz w:val="24"/>
                <w:szCs w:val="24"/>
              </w:rPr>
              <w:t>现金流量表</w:t>
            </w:r>
          </w:p>
        </w:tc>
      </w:tr>
      <w:tr>
        <w:trPr>
          <w:trHeight w:val="482" w:hRule="exact"/>
        </w:trPr>
        <w:tc>
          <w:tcPr>
            <w:tcW w:w="1243" w:type="dxa"/>
            <w:tcBorders>
              <w:top w:val="single" w:sz="6" w:space="0" w:color="000000"/>
              <w:left w:val="single" w:sz="12" w:space="0" w:color="000000"/>
              <w:bottom w:val="single" w:sz="6" w:space="0" w:color="000000"/>
              <w:right w:val="single" w:sz="6" w:space="0" w:color="000000"/>
            </w:tcBorders>
          </w:tcPr>
          <w:p>
            <w:pPr/>
          </w:p>
        </w:tc>
        <w:tc>
          <w:tcPr>
            <w:tcW w:w="728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9"/>
              <w:ind w:left="657" w:right="0"/>
              <w:jc w:val="left"/>
              <w:rPr>
                <w:rFonts w:ascii="宋体" w:hAnsi="宋体" w:cs="宋体" w:eastAsia="宋体" w:hint="default"/>
                <w:sz w:val="24"/>
                <w:szCs w:val="24"/>
              </w:rPr>
            </w:pPr>
            <w:r>
              <w:rPr>
                <w:rFonts w:ascii="宋体" w:hAnsi="宋体" w:cs="宋体" w:eastAsia="宋体" w:hint="default"/>
                <w:sz w:val="24"/>
                <w:szCs w:val="24"/>
              </w:rPr>
              <w:t>所有者权益变动表和合并所有者权益变动表</w:t>
            </w:r>
          </w:p>
        </w:tc>
      </w:tr>
      <w:tr>
        <w:trPr>
          <w:trHeight w:val="492" w:hRule="exact"/>
        </w:trPr>
        <w:tc>
          <w:tcPr>
            <w:tcW w:w="124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39"/>
              <w:ind w:right="326"/>
              <w:jc w:val="right"/>
              <w:rPr>
                <w:rFonts w:ascii="宋体" w:hAnsi="宋体" w:cs="宋体" w:eastAsia="宋体" w:hint="default"/>
                <w:sz w:val="24"/>
                <w:szCs w:val="24"/>
              </w:rPr>
            </w:pPr>
            <w:r>
              <w:rPr>
                <w:rFonts w:ascii="宋体" w:hAnsi="宋体" w:cs="宋体" w:eastAsia="宋体" w:hint="default"/>
                <w:sz w:val="24"/>
                <w:szCs w:val="24"/>
              </w:rPr>
              <w:t>三</w:t>
            </w:r>
          </w:p>
        </w:tc>
        <w:tc>
          <w:tcPr>
            <w:tcW w:w="728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39"/>
              <w:ind w:left="657" w:right="0"/>
              <w:jc w:val="left"/>
              <w:rPr>
                <w:rFonts w:ascii="宋体" w:hAnsi="宋体" w:cs="宋体" w:eastAsia="宋体" w:hint="default"/>
                <w:sz w:val="24"/>
                <w:szCs w:val="24"/>
              </w:rPr>
            </w:pPr>
            <w:r>
              <w:rPr>
                <w:rFonts w:ascii="宋体" w:hAnsi="宋体" w:cs="宋体" w:eastAsia="宋体" w:hint="default"/>
                <w:sz w:val="24"/>
                <w:szCs w:val="24"/>
              </w:rPr>
              <w:t>财务报表附注</w:t>
            </w:r>
          </w:p>
        </w:tc>
      </w:tr>
    </w:tbl>
    <w:p>
      <w:pPr>
        <w:spacing w:after="0" w:line="240" w:lineRule="auto"/>
        <w:jc w:val="left"/>
        <w:rPr>
          <w:rFonts w:ascii="宋体" w:hAnsi="宋体" w:cs="宋体" w:eastAsia="宋体" w:hint="default"/>
          <w:sz w:val="24"/>
          <w:szCs w:val="24"/>
        </w:rPr>
        <w:sectPr>
          <w:headerReference w:type="default" r:id="rId48"/>
          <w:pgSz w:w="11910" w:h="16840"/>
          <w:pgMar w:header="884" w:footer="1173" w:top="1160" w:bottom="1360" w:left="124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tbl>
      <w:tblPr>
        <w:tblW w:w="0" w:type="auto"/>
        <w:jc w:val="left"/>
        <w:tblInd w:w="358" w:type="dxa"/>
        <w:tblLayout w:type="fixed"/>
        <w:tblCellMar>
          <w:top w:w="0" w:type="dxa"/>
          <w:left w:w="0" w:type="dxa"/>
          <w:bottom w:w="0" w:type="dxa"/>
          <w:right w:w="0" w:type="dxa"/>
        </w:tblCellMar>
        <w:tblLook w:val="01E0"/>
      </w:tblPr>
      <w:tblGrid>
        <w:gridCol w:w="8903"/>
      </w:tblGrid>
      <w:tr>
        <w:trPr>
          <w:trHeight w:val="568"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81" w:lineRule="exact"/>
              <w:ind w:right="107"/>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tc>
      </w:tr>
      <w:tr>
        <w:trPr>
          <w:trHeight w:val="923"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5132" w:right="0"/>
              <w:jc w:val="left"/>
              <w:rPr>
                <w:rFonts w:ascii="宋体" w:hAnsi="宋体" w:cs="宋体" w:eastAsia="宋体" w:hint="default"/>
                <w:sz w:val="24"/>
                <w:szCs w:val="24"/>
              </w:rPr>
            </w:pPr>
            <w:r>
              <w:rPr>
                <w:rFonts w:ascii="宋体" w:hAnsi="宋体" w:cs="宋体" w:eastAsia="宋体" w:hint="default"/>
                <w:spacing w:val="3"/>
                <w:sz w:val="24"/>
                <w:szCs w:val="24"/>
              </w:rPr>
              <w:t>京都天华审字（</w:t>
            </w:r>
            <w:r>
              <w:rPr>
                <w:rFonts w:ascii="Arial Narrow" w:hAnsi="Arial Narrow" w:cs="Arial Narrow" w:eastAsia="Arial Narrow" w:hint="default"/>
                <w:spacing w:val="3"/>
                <w:sz w:val="24"/>
                <w:szCs w:val="24"/>
              </w:rPr>
              <w:t>2012</w:t>
            </w:r>
            <w:r>
              <w:rPr>
                <w:rFonts w:ascii="宋体" w:hAnsi="宋体" w:cs="宋体" w:eastAsia="宋体" w:hint="default"/>
                <w:spacing w:val="3"/>
                <w:sz w:val="24"/>
                <w:szCs w:val="24"/>
              </w:rPr>
              <w:t>）第</w:t>
            </w:r>
            <w:r>
              <w:rPr>
                <w:rFonts w:ascii="宋体" w:hAnsi="宋体" w:cs="宋体" w:eastAsia="宋体" w:hint="default"/>
                <w:spacing w:val="-49"/>
                <w:sz w:val="24"/>
                <w:szCs w:val="24"/>
              </w:rPr>
              <w:t> </w:t>
            </w:r>
            <w:r>
              <w:rPr>
                <w:rFonts w:ascii="Arial Narrow" w:hAnsi="Arial Narrow" w:cs="Arial Narrow" w:eastAsia="Arial Narrow" w:hint="default"/>
                <w:sz w:val="24"/>
                <w:szCs w:val="24"/>
              </w:rPr>
              <w:t>0601</w:t>
            </w:r>
            <w:r>
              <w:rPr>
                <w:rFonts w:ascii="Arial Narrow" w:hAnsi="Arial Narrow" w:cs="Arial Narrow" w:eastAsia="Arial Narrow" w:hint="default"/>
                <w:spacing w:val="2"/>
                <w:sz w:val="24"/>
                <w:szCs w:val="24"/>
              </w:rPr>
              <w:t> </w:t>
            </w:r>
            <w:r>
              <w:rPr>
                <w:rFonts w:ascii="宋体" w:hAnsi="宋体" w:cs="宋体" w:eastAsia="宋体" w:hint="default"/>
                <w:sz w:val="24"/>
                <w:szCs w:val="24"/>
              </w:rPr>
              <w:t>号</w:t>
            </w:r>
          </w:p>
        </w:tc>
      </w:tr>
      <w:tr>
        <w:trPr>
          <w:trHeight w:val="845"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7"/>
                <w:szCs w:val="27"/>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b/>
                <w:bCs/>
                <w:spacing w:val="7"/>
                <w:sz w:val="24"/>
                <w:szCs w:val="24"/>
              </w:rPr>
              <w:t>北京超图软件股份有限公司全体股东：</w:t>
            </w:r>
            <w:r>
              <w:rPr>
                <w:rFonts w:ascii="宋体" w:hAnsi="宋体" w:cs="宋体" w:eastAsia="宋体" w:hint="default"/>
                <w:spacing w:val="7"/>
                <w:sz w:val="24"/>
                <w:szCs w:val="24"/>
              </w:rPr>
            </w:r>
          </w:p>
        </w:tc>
      </w:tr>
      <w:tr>
        <w:trPr>
          <w:trHeight w:val="1699"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54" w:lineRule="auto" w:before="146"/>
              <w:ind w:left="200" w:right="283" w:firstLine="496"/>
              <w:jc w:val="both"/>
              <w:rPr>
                <w:rFonts w:ascii="宋体" w:hAnsi="宋体" w:cs="宋体" w:eastAsia="宋体" w:hint="default"/>
                <w:sz w:val="24"/>
                <w:szCs w:val="24"/>
              </w:rPr>
            </w:pPr>
            <w:r>
              <w:rPr>
                <w:rFonts w:ascii="宋体" w:hAnsi="宋体" w:cs="宋体" w:eastAsia="宋体" w:hint="default"/>
                <w:spacing w:val="6"/>
                <w:sz w:val="24"/>
                <w:szCs w:val="24"/>
              </w:rPr>
              <w:t>我们审计了后附的北京超图软件股份有限公司（以下简称超图软件公司）</w:t>
            </w:r>
            <w:r>
              <w:rPr>
                <w:rFonts w:ascii="宋体" w:hAnsi="宋体" w:cs="宋体" w:eastAsia="宋体" w:hint="default"/>
                <w:sz w:val="24"/>
                <w:szCs w:val="24"/>
              </w:rPr>
              <w:t> 财务报表，包括</w:t>
            </w:r>
            <w:r>
              <w:rPr>
                <w:rFonts w:ascii="宋体" w:hAnsi="宋体" w:cs="宋体" w:eastAsia="宋体" w:hint="default"/>
                <w:spacing w:val="-49"/>
                <w:sz w:val="24"/>
                <w:szCs w:val="24"/>
              </w:rPr>
              <w:t> </w:t>
            </w:r>
            <w:r>
              <w:rPr>
                <w:rFonts w:ascii="Arial Narrow" w:hAnsi="Arial Narrow" w:cs="Arial Narrow" w:eastAsia="Arial Narrow" w:hint="default"/>
                <w:sz w:val="24"/>
                <w:szCs w:val="24"/>
              </w:rPr>
              <w:t>2011</w:t>
            </w:r>
            <w:r>
              <w:rPr>
                <w:rFonts w:ascii="Arial Narrow" w:hAnsi="Arial Narrow" w:cs="Arial Narrow" w:eastAsia="Arial Narrow"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50"/>
                <w:sz w:val="24"/>
                <w:szCs w:val="24"/>
              </w:rPr>
              <w:t> </w:t>
            </w:r>
            <w:r>
              <w:rPr>
                <w:rFonts w:ascii="Arial Narrow" w:hAnsi="Arial Narrow" w:cs="Arial Narrow" w:eastAsia="Arial Narrow" w:hint="default"/>
                <w:spacing w:val="2"/>
                <w:sz w:val="24"/>
                <w:szCs w:val="24"/>
              </w:rPr>
              <w:t>12</w:t>
            </w:r>
            <w:r>
              <w:rPr>
                <w:rFonts w:ascii="Arial Narrow" w:hAnsi="Arial Narrow" w:cs="Arial Narrow" w:eastAsia="Arial Narrow"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50"/>
                <w:sz w:val="24"/>
                <w:szCs w:val="24"/>
              </w:rPr>
              <w:t> </w:t>
            </w:r>
            <w:r>
              <w:rPr>
                <w:rFonts w:ascii="Arial Narrow" w:hAnsi="Arial Narrow" w:cs="Arial Narrow" w:eastAsia="Arial Narrow" w:hint="default"/>
                <w:sz w:val="24"/>
                <w:szCs w:val="24"/>
              </w:rPr>
              <w:t>31</w:t>
            </w:r>
            <w:r>
              <w:rPr>
                <w:rFonts w:ascii="Arial Narrow" w:hAnsi="Arial Narrow" w:cs="Arial Narrow" w:eastAsia="Arial Narrow" w:hint="default"/>
                <w:spacing w:val="12"/>
                <w:sz w:val="24"/>
                <w:szCs w:val="24"/>
              </w:rPr>
              <w:t> </w:t>
            </w:r>
            <w:r>
              <w:rPr>
                <w:rFonts w:ascii="宋体" w:hAnsi="宋体" w:cs="宋体" w:eastAsia="宋体" w:hint="default"/>
                <w:spacing w:val="3"/>
                <w:sz w:val="24"/>
                <w:szCs w:val="24"/>
              </w:rPr>
              <w:t>日的合并及公司资产负债表，</w:t>
            </w:r>
            <w:r>
              <w:rPr>
                <w:rFonts w:ascii="Arial Narrow" w:hAnsi="Arial Narrow" w:cs="Arial Narrow" w:eastAsia="Arial Narrow" w:hint="default"/>
                <w:spacing w:val="3"/>
                <w:sz w:val="24"/>
                <w:szCs w:val="24"/>
              </w:rPr>
              <w:t>2011</w:t>
            </w:r>
            <w:r>
              <w:rPr>
                <w:rFonts w:ascii="Arial Narrow" w:hAnsi="Arial Narrow" w:cs="Arial Narrow" w:eastAsia="Arial Narrow" w:hint="default"/>
                <w:spacing w:val="13"/>
                <w:sz w:val="24"/>
                <w:szCs w:val="24"/>
              </w:rPr>
              <w:t> </w:t>
            </w:r>
            <w:r>
              <w:rPr>
                <w:rFonts w:ascii="宋体" w:hAnsi="宋体" w:cs="宋体" w:eastAsia="宋体" w:hint="default"/>
                <w:spacing w:val="6"/>
                <w:sz w:val="24"/>
                <w:szCs w:val="24"/>
              </w:rPr>
              <w:t>年度的合并</w:t>
            </w:r>
            <w:r>
              <w:rPr>
                <w:rFonts w:ascii="宋体" w:hAnsi="宋体" w:cs="宋体" w:eastAsia="宋体" w:hint="default"/>
                <w:sz w:val="24"/>
                <w:szCs w:val="24"/>
              </w:rPr>
              <w:t> </w:t>
            </w:r>
            <w:r>
              <w:rPr>
                <w:rFonts w:ascii="宋体" w:hAnsi="宋体" w:cs="宋体" w:eastAsia="宋体" w:hint="default"/>
                <w:spacing w:val="5"/>
                <w:sz w:val="24"/>
                <w:szCs w:val="24"/>
              </w:rPr>
              <w:t>及公司利润表、合并及公司现金流量表、合并及公司股东权益变动表以及财务</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6"/>
                <w:sz w:val="24"/>
                <w:szCs w:val="24"/>
              </w:rPr>
              <w:t>报表附注。</w:t>
            </w:r>
          </w:p>
        </w:tc>
      </w:tr>
      <w:tr>
        <w:trPr>
          <w:trHeight w:val="510"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682" w:right="0"/>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sz w:val="24"/>
                <w:szCs w:val="24"/>
              </w:rPr>
            </w:r>
          </w:p>
        </w:tc>
      </w:tr>
      <w:tr>
        <w:trPr>
          <w:trHeight w:val="1530"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90" w:lineRule="exact"/>
              <w:ind w:left="696" w:right="0"/>
              <w:jc w:val="left"/>
              <w:rPr>
                <w:rFonts w:ascii="宋体" w:hAnsi="宋体" w:cs="宋体" w:eastAsia="宋体" w:hint="default"/>
                <w:sz w:val="24"/>
                <w:szCs w:val="24"/>
              </w:rPr>
            </w:pPr>
            <w:r>
              <w:rPr>
                <w:rFonts w:ascii="宋体" w:hAnsi="宋体" w:cs="宋体" w:eastAsia="宋体" w:hint="default"/>
                <w:spacing w:val="9"/>
                <w:sz w:val="24"/>
                <w:szCs w:val="24"/>
              </w:rPr>
              <w:t>编制和公允列报财务报表是超图软件公司管理层的责任，这种责任包括：</w:t>
            </w:r>
          </w:p>
          <w:p>
            <w:pPr>
              <w:pStyle w:val="TableParagraph"/>
              <w:spacing w:line="252" w:lineRule="auto" w:before="26"/>
              <w:ind w:left="200" w:right="304"/>
              <w:jc w:val="both"/>
              <w:rPr>
                <w:rFonts w:ascii="宋体" w:hAnsi="宋体" w:cs="宋体" w:eastAsia="宋体" w:hint="default"/>
                <w:sz w:val="24"/>
                <w:szCs w:val="24"/>
              </w:rPr>
            </w:pPr>
            <w:r>
              <w:rPr>
                <w:rFonts w:ascii="宋体" w:hAnsi="宋体" w:cs="宋体" w:eastAsia="宋体" w:hint="default"/>
                <w:spacing w:val="6"/>
                <w:sz w:val="24"/>
                <w:szCs w:val="24"/>
              </w:rPr>
              <w:t>（</w:t>
            </w:r>
            <w:r>
              <w:rPr>
                <w:rFonts w:ascii="Arial Narrow" w:hAnsi="Arial Narrow" w:cs="Arial Narrow" w:eastAsia="Arial Narrow" w:hint="default"/>
                <w:spacing w:val="6"/>
                <w:sz w:val="24"/>
                <w:szCs w:val="24"/>
              </w:rPr>
              <w:t>1</w:t>
            </w:r>
            <w:r>
              <w:rPr>
                <w:rFonts w:ascii="宋体" w:hAnsi="宋体" w:cs="宋体" w:eastAsia="宋体" w:hint="default"/>
                <w:spacing w:val="6"/>
                <w:sz w:val="24"/>
                <w:szCs w:val="24"/>
              </w:rPr>
              <w:t>）按照企业会计准则的规定编制财务报表，并使其实现公允反映；（</w:t>
            </w:r>
            <w:r>
              <w:rPr>
                <w:rFonts w:ascii="Arial Narrow" w:hAnsi="Arial Narrow" w:cs="Arial Narrow" w:eastAsia="Arial Narrow" w:hint="default"/>
                <w:spacing w:val="6"/>
                <w:sz w:val="24"/>
                <w:szCs w:val="24"/>
              </w:rPr>
              <w:t>2</w:t>
            </w:r>
            <w:r>
              <w:rPr>
                <w:rFonts w:ascii="宋体" w:hAnsi="宋体" w:cs="宋体" w:eastAsia="宋体" w:hint="default"/>
                <w:spacing w:val="6"/>
                <w:sz w:val="24"/>
                <w:szCs w:val="24"/>
              </w:rPr>
              <w:t>）设</w:t>
            </w:r>
            <w:r>
              <w:rPr>
                <w:rFonts w:ascii="宋体" w:hAnsi="宋体" w:cs="宋体" w:eastAsia="宋体" w:hint="default"/>
                <w:spacing w:val="-93"/>
                <w:sz w:val="24"/>
                <w:szCs w:val="24"/>
              </w:rPr>
              <w:t> </w:t>
            </w:r>
            <w:r>
              <w:rPr>
                <w:rFonts w:ascii="宋体" w:hAnsi="宋体" w:cs="宋体" w:eastAsia="宋体" w:hint="default"/>
                <w:spacing w:val="5"/>
                <w:sz w:val="24"/>
                <w:szCs w:val="24"/>
              </w:rPr>
              <w:t>计、执行和维护必要的内部控制，以使财务报表不存在由于舞弊或错误导致的</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6"/>
                <w:sz w:val="24"/>
                <w:szCs w:val="24"/>
              </w:rPr>
              <w:t>重大错报。</w:t>
            </w:r>
          </w:p>
        </w:tc>
      </w:tr>
      <w:tr>
        <w:trPr>
          <w:trHeight w:val="510"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682" w:right="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sz w:val="24"/>
                <w:szCs w:val="24"/>
              </w:rPr>
            </w:r>
          </w:p>
        </w:tc>
      </w:tr>
      <w:tr>
        <w:trPr>
          <w:trHeight w:val="1361"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90" w:lineRule="exact"/>
              <w:ind w:left="200" w:right="0" w:firstLine="496"/>
              <w:jc w:val="left"/>
              <w:rPr>
                <w:rFonts w:ascii="宋体" w:hAnsi="宋体" w:cs="宋体" w:eastAsia="宋体" w:hint="default"/>
                <w:sz w:val="24"/>
                <w:szCs w:val="24"/>
              </w:rPr>
            </w:pPr>
            <w:r>
              <w:rPr>
                <w:rFonts w:ascii="宋体" w:hAnsi="宋体" w:cs="宋体" w:eastAsia="宋体" w:hint="default"/>
                <w:spacing w:val="5"/>
                <w:sz w:val="24"/>
                <w:szCs w:val="24"/>
              </w:rPr>
              <w:t>我们的责任是在执行审计工作的基础上对财务报表发表审计意见。我们按</w:t>
            </w:r>
          </w:p>
          <w:p>
            <w:pPr>
              <w:pStyle w:val="TableParagraph"/>
              <w:spacing w:line="259" w:lineRule="auto" w:before="26"/>
              <w:ind w:left="200" w:right="322"/>
              <w:jc w:val="both"/>
              <w:rPr>
                <w:rFonts w:ascii="宋体" w:hAnsi="宋体" w:cs="宋体" w:eastAsia="宋体" w:hint="default"/>
                <w:sz w:val="24"/>
                <w:szCs w:val="24"/>
              </w:rPr>
            </w:pPr>
            <w:r>
              <w:rPr>
                <w:rFonts w:ascii="宋体" w:hAnsi="宋体" w:cs="宋体" w:eastAsia="宋体" w:hint="default"/>
                <w:spacing w:val="5"/>
                <w:sz w:val="24"/>
                <w:szCs w:val="24"/>
              </w:rPr>
              <w:t>照中国注册会计师审计准则的规定执行了审计工作。中国注册会计师审计准则</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5"/>
                <w:sz w:val="24"/>
                <w:szCs w:val="24"/>
              </w:rPr>
              <w:t>要求我们遵守中国注册会计师职业道德守则，计划和执行审计工作以对财务报</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6"/>
                <w:sz w:val="24"/>
                <w:szCs w:val="24"/>
              </w:rPr>
              <w:t>表是否不存在重大错报获取合理保证。</w:t>
            </w:r>
          </w:p>
        </w:tc>
      </w:tr>
      <w:tr>
        <w:trPr>
          <w:trHeight w:val="2041"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90" w:lineRule="exact"/>
              <w:ind w:left="200" w:right="0" w:firstLine="496"/>
              <w:jc w:val="left"/>
              <w:rPr>
                <w:rFonts w:ascii="宋体" w:hAnsi="宋体" w:cs="宋体" w:eastAsia="宋体" w:hint="default"/>
                <w:sz w:val="24"/>
                <w:szCs w:val="24"/>
              </w:rPr>
            </w:pPr>
            <w:r>
              <w:rPr>
                <w:rFonts w:ascii="宋体" w:hAnsi="宋体" w:cs="宋体" w:eastAsia="宋体" w:hint="default"/>
                <w:spacing w:val="14"/>
                <w:sz w:val="24"/>
                <w:szCs w:val="24"/>
              </w:rPr>
              <w:t>审计工作涉及实施审计程序，以获取有关财务报表金额和披露的审计证</w:t>
            </w:r>
          </w:p>
          <w:p>
            <w:pPr>
              <w:pStyle w:val="TableParagraph"/>
              <w:spacing w:line="259" w:lineRule="auto" w:before="24"/>
              <w:ind w:left="200" w:right="315"/>
              <w:jc w:val="both"/>
              <w:rPr>
                <w:rFonts w:ascii="宋体" w:hAnsi="宋体" w:cs="宋体" w:eastAsia="宋体" w:hint="default"/>
                <w:sz w:val="24"/>
                <w:szCs w:val="24"/>
              </w:rPr>
            </w:pPr>
            <w:r>
              <w:rPr>
                <w:rFonts w:ascii="宋体" w:hAnsi="宋体" w:cs="宋体" w:eastAsia="宋体" w:hint="default"/>
                <w:spacing w:val="5"/>
                <w:sz w:val="24"/>
                <w:szCs w:val="24"/>
              </w:rPr>
              <w:t>据。选择的审计程序取决于注册会计师的判断，包括对由于舞弊或错误导致的</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5"/>
                <w:sz w:val="24"/>
                <w:szCs w:val="24"/>
              </w:rPr>
              <w:t>财务报表重大错报风险的评估。在进行风险评估时，注册会计师考虑与财务报</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5"/>
                <w:sz w:val="24"/>
                <w:szCs w:val="24"/>
              </w:rPr>
              <w:t>表编制和公允列报相关的内部控制，以设计恰当的审计程序，但目的并非对内</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5"/>
                <w:sz w:val="24"/>
                <w:szCs w:val="24"/>
              </w:rPr>
              <w:t>部控制的有效性发表意见。审计工作还包括评价管理层选用会计政策的恰当性</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6"/>
                <w:sz w:val="24"/>
                <w:szCs w:val="24"/>
              </w:rPr>
              <w:t>和作出会计估计的合理性，以及评价财务报表的总体列报。</w:t>
            </w:r>
          </w:p>
        </w:tc>
      </w:tr>
      <w:tr>
        <w:trPr>
          <w:trHeight w:val="629" w:hRule="exact"/>
        </w:trPr>
        <w:tc>
          <w:tcPr>
            <w:tcW w:w="8903" w:type="dxa"/>
            <w:tcBorders>
              <w:top w:val="nil" w:sz="6" w:space="0" w:color="auto"/>
              <w:left w:val="nil" w:sz="6" w:space="0" w:color="auto"/>
              <w:bottom w:val="nil" w:sz="6" w:space="0" w:color="auto"/>
              <w:right w:val="nil" w:sz="6" w:space="0" w:color="auto"/>
            </w:tcBorders>
          </w:tcPr>
          <w:p>
            <w:pPr>
              <w:pStyle w:val="TableParagraph"/>
              <w:spacing w:line="290" w:lineRule="exact"/>
              <w:ind w:left="696" w:right="0"/>
              <w:jc w:val="left"/>
              <w:rPr>
                <w:rFonts w:ascii="宋体" w:hAnsi="宋体" w:cs="宋体" w:eastAsia="宋体" w:hint="default"/>
                <w:sz w:val="24"/>
                <w:szCs w:val="24"/>
              </w:rPr>
            </w:pPr>
            <w:r>
              <w:rPr>
                <w:rFonts w:ascii="宋体" w:hAnsi="宋体" w:cs="宋体" w:eastAsia="宋体" w:hint="default"/>
                <w:spacing w:val="5"/>
                <w:sz w:val="24"/>
                <w:szCs w:val="24"/>
              </w:rPr>
              <w:t>我们相信，我们获取的审计证据是充分、适当的，为发表审计意见提供了</w:t>
            </w:r>
          </w:p>
          <w:p>
            <w:pPr>
              <w:pStyle w:val="TableParagraph"/>
              <w:spacing w:line="240" w:lineRule="auto" w:before="24"/>
              <w:ind w:left="200" w:right="0"/>
              <w:jc w:val="left"/>
              <w:rPr>
                <w:rFonts w:ascii="宋体" w:hAnsi="宋体" w:cs="宋体" w:eastAsia="宋体" w:hint="default"/>
                <w:sz w:val="24"/>
                <w:szCs w:val="24"/>
              </w:rPr>
            </w:pPr>
            <w:r>
              <w:rPr>
                <w:rFonts w:ascii="宋体" w:hAnsi="宋体" w:cs="宋体" w:eastAsia="宋体" w:hint="default"/>
                <w:spacing w:val="5"/>
                <w:sz w:val="24"/>
                <w:szCs w:val="24"/>
              </w:rPr>
              <w:t>基础。</w:t>
            </w:r>
          </w:p>
        </w:tc>
      </w:tr>
    </w:tbl>
    <w:p>
      <w:pPr>
        <w:spacing w:after="0" w:line="240" w:lineRule="auto"/>
        <w:jc w:val="left"/>
        <w:rPr>
          <w:rFonts w:ascii="宋体" w:hAnsi="宋体" w:cs="宋体" w:eastAsia="宋体" w:hint="default"/>
          <w:sz w:val="24"/>
          <w:szCs w:val="24"/>
        </w:rPr>
        <w:sectPr>
          <w:footerReference w:type="default" r:id="rId49"/>
          <w:pgSz w:w="11910" w:h="16840"/>
          <w:pgMar w:footer="1173" w:header="884" w:top="1160" w:bottom="1360" w:left="124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5"/>
          <w:szCs w:val="15"/>
        </w:rPr>
      </w:pPr>
    </w:p>
    <w:tbl>
      <w:tblPr>
        <w:tblW w:w="0" w:type="auto"/>
        <w:jc w:val="left"/>
        <w:tblInd w:w="324" w:type="dxa"/>
        <w:tblLayout w:type="fixed"/>
        <w:tblCellMar>
          <w:top w:w="0" w:type="dxa"/>
          <w:left w:w="0" w:type="dxa"/>
          <w:bottom w:w="0" w:type="dxa"/>
          <w:right w:w="0" w:type="dxa"/>
        </w:tblCellMar>
        <w:tblLook w:val="01E0"/>
      </w:tblPr>
      <w:tblGrid>
        <w:gridCol w:w="3572"/>
        <w:gridCol w:w="3231"/>
        <w:gridCol w:w="2344"/>
      </w:tblGrid>
      <w:tr>
        <w:trPr>
          <w:trHeight w:val="290"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240" w:lineRule="exact"/>
              <w:ind w:left="682" w:right="0"/>
              <w:jc w:val="left"/>
              <w:rPr>
                <w:rFonts w:ascii="宋体" w:hAnsi="宋体" w:cs="宋体" w:eastAsia="宋体" w:hint="default"/>
                <w:sz w:val="24"/>
                <w:szCs w:val="24"/>
              </w:rPr>
            </w:pPr>
            <w:r>
              <w:rPr>
                <w:rFonts w:ascii="宋体" w:hAnsi="宋体" w:cs="宋体" w:eastAsia="宋体" w:hint="default"/>
                <w:b/>
                <w:bCs/>
                <w:sz w:val="24"/>
                <w:szCs w:val="24"/>
              </w:rPr>
              <w:t>三、审计意见</w:t>
            </w:r>
            <w:r>
              <w:rPr>
                <w:rFonts w:ascii="宋体" w:hAnsi="宋体" w:cs="宋体" w:eastAsia="宋体" w:hint="default"/>
                <w:sz w:val="24"/>
                <w:szCs w:val="24"/>
              </w:rPr>
            </w:r>
          </w:p>
        </w:tc>
        <w:tc>
          <w:tcPr>
            <w:tcW w:w="3231" w:type="dxa"/>
            <w:tcBorders>
              <w:top w:val="nil" w:sz="6" w:space="0" w:color="auto"/>
              <w:left w:val="nil" w:sz="6" w:space="0" w:color="auto"/>
              <w:bottom w:val="nil" w:sz="6" w:space="0" w:color="auto"/>
              <w:right w:val="nil" w:sz="6" w:space="0" w:color="auto"/>
            </w:tcBorders>
          </w:tcPr>
          <w:p>
            <w:pPr/>
          </w:p>
        </w:tc>
        <w:tc>
          <w:tcPr>
            <w:tcW w:w="2344" w:type="dxa"/>
            <w:tcBorders>
              <w:top w:val="nil" w:sz="6" w:space="0" w:color="auto"/>
              <w:left w:val="nil" w:sz="6" w:space="0" w:color="auto"/>
              <w:bottom w:val="nil" w:sz="6" w:space="0" w:color="auto"/>
              <w:right w:val="nil" w:sz="6" w:space="0" w:color="auto"/>
            </w:tcBorders>
          </w:tcPr>
          <w:p>
            <w:pPr/>
          </w:p>
        </w:tc>
      </w:tr>
      <w:tr>
        <w:trPr>
          <w:trHeight w:val="2211" w:hRule="exact"/>
        </w:trPr>
        <w:tc>
          <w:tcPr>
            <w:tcW w:w="9147" w:type="dxa"/>
            <w:gridSpan w:val="3"/>
            <w:tcBorders>
              <w:top w:val="nil" w:sz="6" w:space="0" w:color="auto"/>
              <w:left w:val="nil" w:sz="6" w:space="0" w:color="auto"/>
              <w:bottom w:val="nil" w:sz="6" w:space="0" w:color="auto"/>
              <w:right w:val="nil" w:sz="6" w:space="0" w:color="auto"/>
            </w:tcBorders>
          </w:tcPr>
          <w:p>
            <w:pPr>
              <w:pStyle w:val="TableParagraph"/>
              <w:spacing w:line="290" w:lineRule="exact"/>
              <w:ind w:left="200" w:right="0" w:firstLine="496"/>
              <w:jc w:val="left"/>
              <w:rPr>
                <w:rFonts w:ascii="宋体" w:hAnsi="宋体" w:cs="宋体" w:eastAsia="宋体" w:hint="default"/>
                <w:sz w:val="24"/>
                <w:szCs w:val="24"/>
              </w:rPr>
            </w:pPr>
            <w:r>
              <w:rPr>
                <w:rFonts w:ascii="宋体" w:hAnsi="宋体" w:cs="宋体" w:eastAsia="宋体" w:hint="default"/>
                <w:spacing w:val="9"/>
                <w:sz w:val="24"/>
                <w:szCs w:val="24"/>
              </w:rPr>
              <w:t>我们认为，超图软件公司财务报表在所有重大方面按照企业会计准则的规定</w:t>
            </w:r>
          </w:p>
          <w:p>
            <w:pPr>
              <w:pStyle w:val="TableParagraph"/>
              <w:spacing w:line="240" w:lineRule="auto" w:before="26"/>
              <w:ind w:left="200" w:right="0"/>
              <w:jc w:val="left"/>
              <w:rPr>
                <w:rFonts w:ascii="Arial Narrow" w:hAnsi="Arial Narrow" w:cs="Arial Narrow" w:eastAsia="Arial Narrow" w:hint="default"/>
                <w:sz w:val="24"/>
                <w:szCs w:val="24"/>
              </w:rPr>
            </w:pPr>
            <w:r>
              <w:rPr>
                <w:rFonts w:ascii="宋体" w:hAnsi="宋体" w:cs="宋体" w:eastAsia="宋体" w:hint="default"/>
                <w:spacing w:val="9"/>
                <w:sz w:val="24"/>
                <w:szCs w:val="24"/>
              </w:rPr>
              <w:t>编</w:t>
            </w:r>
            <w:r>
              <w:rPr>
                <w:rFonts w:ascii="宋体" w:hAnsi="宋体" w:cs="宋体" w:eastAsia="宋体" w:hint="default"/>
                <w:spacing w:val="6"/>
                <w:sz w:val="24"/>
                <w:szCs w:val="24"/>
              </w:rPr>
              <w:t>制</w:t>
            </w:r>
            <w:r>
              <w:rPr>
                <w:rFonts w:ascii="宋体" w:hAnsi="宋体" w:cs="宋体" w:eastAsia="宋体" w:hint="default"/>
                <w:spacing w:val="-116"/>
                <w:sz w:val="24"/>
                <w:szCs w:val="24"/>
              </w:rPr>
              <w:t>，</w:t>
            </w:r>
            <w:r>
              <w:rPr>
                <w:rFonts w:ascii="宋体" w:hAnsi="宋体" w:cs="宋体" w:eastAsia="宋体" w:hint="default"/>
                <w:spacing w:val="6"/>
                <w:sz w:val="24"/>
                <w:szCs w:val="24"/>
              </w:rPr>
              <w:t>公允</w:t>
            </w:r>
            <w:r>
              <w:rPr>
                <w:rFonts w:ascii="宋体" w:hAnsi="宋体" w:cs="宋体" w:eastAsia="宋体" w:hint="default"/>
                <w:spacing w:val="9"/>
                <w:sz w:val="24"/>
                <w:szCs w:val="24"/>
              </w:rPr>
              <w:t>反</w:t>
            </w:r>
            <w:r>
              <w:rPr>
                <w:rFonts w:ascii="宋体" w:hAnsi="宋体" w:cs="宋体" w:eastAsia="宋体" w:hint="default"/>
                <w:spacing w:val="6"/>
                <w:sz w:val="24"/>
                <w:szCs w:val="24"/>
              </w:rPr>
              <w:t>映了</w:t>
            </w:r>
            <w:r>
              <w:rPr>
                <w:rFonts w:ascii="宋体" w:hAnsi="宋体" w:cs="宋体" w:eastAsia="宋体" w:hint="default"/>
                <w:spacing w:val="9"/>
                <w:sz w:val="24"/>
                <w:szCs w:val="24"/>
              </w:rPr>
              <w:t>超</w:t>
            </w:r>
            <w:r>
              <w:rPr>
                <w:rFonts w:ascii="宋体" w:hAnsi="宋体" w:cs="宋体" w:eastAsia="宋体" w:hint="default"/>
                <w:spacing w:val="6"/>
                <w:sz w:val="24"/>
                <w:szCs w:val="24"/>
              </w:rPr>
              <w:t>图</w:t>
            </w:r>
            <w:r>
              <w:rPr>
                <w:rFonts w:ascii="宋体" w:hAnsi="宋体" w:cs="宋体" w:eastAsia="宋体" w:hint="default"/>
                <w:spacing w:val="9"/>
                <w:sz w:val="24"/>
                <w:szCs w:val="24"/>
              </w:rPr>
              <w:t>软</w:t>
            </w:r>
            <w:r>
              <w:rPr>
                <w:rFonts w:ascii="宋体" w:hAnsi="宋体" w:cs="宋体" w:eastAsia="宋体" w:hint="default"/>
                <w:spacing w:val="6"/>
                <w:sz w:val="24"/>
                <w:szCs w:val="24"/>
              </w:rPr>
              <w:t>件</w:t>
            </w:r>
            <w:r>
              <w:rPr>
                <w:rFonts w:ascii="宋体" w:hAnsi="宋体" w:cs="宋体" w:eastAsia="宋体" w:hint="default"/>
                <w:spacing w:val="9"/>
                <w:sz w:val="24"/>
                <w:szCs w:val="24"/>
              </w:rPr>
              <w:t>公</w:t>
            </w:r>
            <w:r>
              <w:rPr>
                <w:rFonts w:ascii="宋体" w:hAnsi="宋体" w:cs="宋体" w:eastAsia="宋体" w:hint="default"/>
                <w:sz w:val="24"/>
                <w:szCs w:val="24"/>
              </w:rPr>
              <w:t>司</w:t>
            </w:r>
            <w:r>
              <w:rPr>
                <w:rFonts w:ascii="宋体" w:hAnsi="宋体" w:cs="宋体" w:eastAsia="宋体" w:hint="default"/>
                <w:spacing w:val="-59"/>
                <w:sz w:val="24"/>
                <w:szCs w:val="24"/>
              </w:rPr>
              <w:t> </w:t>
            </w:r>
            <w:r>
              <w:rPr>
                <w:rFonts w:ascii="Arial Narrow" w:hAnsi="Arial Narrow" w:cs="Arial Narrow" w:eastAsia="Arial Narrow" w:hint="default"/>
                <w:spacing w:val="3"/>
                <w:sz w:val="24"/>
                <w:szCs w:val="24"/>
              </w:rPr>
              <w:t>2</w:t>
            </w:r>
            <w:r>
              <w:rPr>
                <w:rFonts w:ascii="Arial Narrow" w:hAnsi="Arial Narrow" w:cs="Arial Narrow" w:eastAsia="Arial Narrow" w:hint="default"/>
                <w:spacing w:val="5"/>
                <w:sz w:val="24"/>
                <w:szCs w:val="24"/>
              </w:rPr>
              <w:t>0</w:t>
            </w:r>
            <w:r>
              <w:rPr>
                <w:rFonts w:ascii="Arial Narrow" w:hAnsi="Arial Narrow" w:cs="Arial Narrow" w:eastAsia="Arial Narrow" w:hint="default"/>
                <w:spacing w:val="-12"/>
                <w:sz w:val="24"/>
                <w:szCs w:val="24"/>
              </w:rPr>
              <w:t>1</w:t>
            </w:r>
            <w:r>
              <w:rPr>
                <w:rFonts w:ascii="Arial Narrow" w:hAnsi="Arial Narrow" w:cs="Arial Narrow" w:eastAsia="Arial Narrow" w:hint="default"/>
                <w:sz w:val="24"/>
                <w:szCs w:val="24"/>
              </w:rPr>
              <w:t>1</w:t>
            </w:r>
            <w:r>
              <w:rPr>
                <w:rFonts w:ascii="Arial Narrow" w:hAnsi="Arial Narrow" w:cs="Arial Narrow" w:eastAsia="Arial Narrow"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Narrow" w:hAnsi="Arial Narrow" w:cs="Arial Narrow" w:eastAsia="Arial Narrow" w:hint="default"/>
                <w:spacing w:val="5"/>
                <w:sz w:val="24"/>
                <w:szCs w:val="24"/>
              </w:rPr>
              <w:t>1</w:t>
            </w:r>
            <w:r>
              <w:rPr>
                <w:rFonts w:ascii="Arial Narrow" w:hAnsi="Arial Narrow" w:cs="Arial Narrow" w:eastAsia="Arial Narrow" w:hint="default"/>
                <w:sz w:val="24"/>
                <w:szCs w:val="24"/>
              </w:rPr>
              <w:t>2</w:t>
            </w:r>
            <w:r>
              <w:rPr>
                <w:rFonts w:ascii="Arial Narrow" w:hAnsi="Arial Narrow" w:cs="Arial Narrow" w:eastAsia="Arial Narrow"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Narrow" w:hAnsi="Arial Narrow" w:cs="Arial Narrow" w:eastAsia="Arial Narrow" w:hint="default"/>
                <w:spacing w:val="5"/>
                <w:sz w:val="24"/>
                <w:szCs w:val="24"/>
              </w:rPr>
              <w:t>3</w:t>
            </w:r>
            <w:r>
              <w:rPr>
                <w:rFonts w:ascii="Arial Narrow" w:hAnsi="Arial Narrow" w:cs="Arial Narrow" w:eastAsia="Arial Narrow" w:hint="default"/>
                <w:sz w:val="24"/>
                <w:szCs w:val="24"/>
              </w:rPr>
              <w:t>1</w:t>
            </w:r>
            <w:r>
              <w:rPr>
                <w:rFonts w:ascii="Arial Narrow" w:hAnsi="Arial Narrow" w:cs="Arial Narrow" w:eastAsia="Arial Narrow" w:hint="default"/>
                <w:spacing w:val="-1"/>
                <w:sz w:val="24"/>
                <w:szCs w:val="24"/>
              </w:rPr>
              <w:t> </w:t>
            </w:r>
            <w:r>
              <w:rPr>
                <w:rFonts w:ascii="宋体" w:hAnsi="宋体" w:cs="宋体" w:eastAsia="宋体" w:hint="default"/>
                <w:spacing w:val="9"/>
                <w:sz w:val="24"/>
                <w:szCs w:val="24"/>
              </w:rPr>
              <w:t>日</w:t>
            </w:r>
            <w:r>
              <w:rPr>
                <w:rFonts w:ascii="宋体" w:hAnsi="宋体" w:cs="宋体" w:eastAsia="宋体" w:hint="default"/>
                <w:spacing w:val="6"/>
                <w:sz w:val="24"/>
                <w:szCs w:val="24"/>
              </w:rPr>
              <w:t>的合</w:t>
            </w:r>
            <w:r>
              <w:rPr>
                <w:rFonts w:ascii="宋体" w:hAnsi="宋体" w:cs="宋体" w:eastAsia="宋体" w:hint="default"/>
                <w:spacing w:val="9"/>
                <w:sz w:val="24"/>
                <w:szCs w:val="24"/>
              </w:rPr>
              <w:t>并</w:t>
            </w:r>
            <w:r>
              <w:rPr>
                <w:rFonts w:ascii="宋体" w:hAnsi="宋体" w:cs="宋体" w:eastAsia="宋体" w:hint="default"/>
                <w:spacing w:val="6"/>
                <w:sz w:val="24"/>
                <w:szCs w:val="24"/>
              </w:rPr>
              <w:t>及公</w:t>
            </w:r>
            <w:r>
              <w:rPr>
                <w:rFonts w:ascii="宋体" w:hAnsi="宋体" w:cs="宋体" w:eastAsia="宋体" w:hint="default"/>
                <w:spacing w:val="9"/>
                <w:sz w:val="24"/>
                <w:szCs w:val="24"/>
              </w:rPr>
              <w:t>司</w:t>
            </w:r>
            <w:r>
              <w:rPr>
                <w:rFonts w:ascii="宋体" w:hAnsi="宋体" w:cs="宋体" w:eastAsia="宋体" w:hint="default"/>
                <w:spacing w:val="6"/>
                <w:sz w:val="24"/>
                <w:szCs w:val="24"/>
              </w:rPr>
              <w:t>财</w:t>
            </w:r>
            <w:r>
              <w:rPr>
                <w:rFonts w:ascii="宋体" w:hAnsi="宋体" w:cs="宋体" w:eastAsia="宋体" w:hint="default"/>
                <w:spacing w:val="9"/>
                <w:sz w:val="24"/>
                <w:szCs w:val="24"/>
              </w:rPr>
              <w:t>务</w:t>
            </w:r>
            <w:r>
              <w:rPr>
                <w:rFonts w:ascii="宋体" w:hAnsi="宋体" w:cs="宋体" w:eastAsia="宋体" w:hint="default"/>
                <w:spacing w:val="6"/>
                <w:sz w:val="24"/>
                <w:szCs w:val="24"/>
              </w:rPr>
              <w:t>状况</w:t>
            </w:r>
            <w:r>
              <w:rPr>
                <w:rFonts w:ascii="宋体" w:hAnsi="宋体" w:cs="宋体" w:eastAsia="宋体" w:hint="default"/>
                <w:spacing w:val="9"/>
                <w:sz w:val="24"/>
                <w:szCs w:val="24"/>
              </w:rPr>
              <w:t>以</w:t>
            </w:r>
            <w:r>
              <w:rPr>
                <w:rFonts w:ascii="宋体" w:hAnsi="宋体" w:cs="宋体" w:eastAsia="宋体" w:hint="default"/>
                <w:sz w:val="24"/>
                <w:szCs w:val="24"/>
              </w:rPr>
              <w:t>及</w:t>
            </w:r>
            <w:r>
              <w:rPr>
                <w:rFonts w:ascii="宋体" w:hAnsi="宋体" w:cs="宋体" w:eastAsia="宋体" w:hint="default"/>
                <w:spacing w:val="-59"/>
                <w:sz w:val="24"/>
                <w:szCs w:val="24"/>
              </w:rPr>
              <w:t> </w:t>
            </w:r>
            <w:r>
              <w:rPr>
                <w:rFonts w:ascii="Arial Narrow" w:hAnsi="Arial Narrow" w:cs="Arial Narrow" w:eastAsia="Arial Narrow" w:hint="default"/>
                <w:spacing w:val="5"/>
                <w:sz w:val="24"/>
                <w:szCs w:val="24"/>
              </w:rPr>
              <w:t>2</w:t>
            </w:r>
            <w:r>
              <w:rPr>
                <w:rFonts w:ascii="Arial Narrow" w:hAnsi="Arial Narrow" w:cs="Arial Narrow" w:eastAsia="Arial Narrow" w:hint="default"/>
                <w:spacing w:val="3"/>
                <w:sz w:val="24"/>
                <w:szCs w:val="24"/>
              </w:rPr>
              <w:t>0</w:t>
            </w:r>
            <w:r>
              <w:rPr>
                <w:rFonts w:ascii="Arial Narrow" w:hAnsi="Arial Narrow" w:cs="Arial Narrow" w:eastAsia="Arial Narrow" w:hint="default"/>
                <w:spacing w:val="-12"/>
                <w:sz w:val="24"/>
                <w:szCs w:val="24"/>
              </w:rPr>
              <w:t>11</w:t>
            </w:r>
            <w:r>
              <w:rPr>
                <w:rFonts w:ascii="Arial Narrow" w:hAnsi="Arial Narrow" w:cs="Arial Narrow" w:eastAsia="Arial Narrow" w:hint="default"/>
                <w:sz w:val="24"/>
                <w:szCs w:val="24"/>
              </w:rPr>
            </w:r>
          </w:p>
          <w:p>
            <w:pPr>
              <w:pStyle w:val="TableParagraph"/>
              <w:spacing w:line="240" w:lineRule="auto" w:before="7"/>
              <w:ind w:left="200" w:right="0"/>
              <w:jc w:val="left"/>
              <w:rPr>
                <w:rFonts w:ascii="宋体" w:hAnsi="宋体" w:cs="宋体" w:eastAsia="宋体" w:hint="default"/>
                <w:sz w:val="24"/>
                <w:szCs w:val="24"/>
              </w:rPr>
            </w:pPr>
            <w:r>
              <w:rPr>
                <w:rFonts w:ascii="宋体" w:hAnsi="宋体" w:cs="宋体" w:eastAsia="宋体" w:hint="default"/>
                <w:spacing w:val="6"/>
                <w:sz w:val="24"/>
                <w:szCs w:val="24"/>
              </w:rPr>
              <w:t>年度的合并及公司经营成果和合并及公司现金流量。</w:t>
            </w:r>
          </w:p>
        </w:tc>
      </w:tr>
      <w:tr>
        <w:trPr>
          <w:trHeight w:val="2891"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59" w:lineRule="auto"/>
              <w:ind w:left="200" w:right="900"/>
              <w:jc w:val="left"/>
              <w:rPr>
                <w:rFonts w:ascii="宋体" w:hAnsi="宋体" w:cs="宋体" w:eastAsia="宋体" w:hint="default"/>
                <w:sz w:val="24"/>
                <w:szCs w:val="24"/>
              </w:rPr>
            </w:pPr>
            <w:r>
              <w:rPr>
                <w:rFonts w:ascii="宋体" w:hAnsi="宋体" w:cs="宋体" w:eastAsia="宋体" w:hint="default"/>
                <w:spacing w:val="5"/>
                <w:sz w:val="24"/>
                <w:szCs w:val="24"/>
              </w:rPr>
              <w:t>京都天华</w:t>
            </w:r>
            <w:r>
              <w:rPr>
                <w:rFonts w:ascii="宋体" w:hAnsi="宋体" w:cs="宋体" w:eastAsia="宋体" w:hint="default"/>
                <w:sz w:val="24"/>
                <w:szCs w:val="24"/>
              </w:rPr>
              <w:t> </w:t>
            </w:r>
            <w:r>
              <w:rPr>
                <w:rFonts w:ascii="宋体" w:hAnsi="宋体" w:cs="宋体" w:eastAsia="宋体" w:hint="default"/>
                <w:spacing w:val="6"/>
                <w:sz w:val="24"/>
                <w:szCs w:val="24"/>
              </w:rPr>
              <w:t>会计师事务所有限公司</w:t>
            </w:r>
          </w:p>
        </w:tc>
        <w:tc>
          <w:tcPr>
            <w:tcW w:w="32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902" w:right="0"/>
              <w:jc w:val="left"/>
              <w:rPr>
                <w:rFonts w:ascii="宋体" w:hAnsi="宋体" w:cs="宋体" w:eastAsia="宋体" w:hint="default"/>
                <w:sz w:val="24"/>
                <w:szCs w:val="24"/>
              </w:rPr>
            </w:pPr>
            <w:r>
              <w:rPr>
                <w:rFonts w:ascii="宋体" w:hAnsi="宋体" w:cs="宋体" w:eastAsia="宋体" w:hint="default"/>
                <w:sz w:val="24"/>
                <w:szCs w:val="24"/>
              </w:rPr>
              <w:t>中国注册会计师：</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4"/>
              <w:ind w:left="1142" w:right="0"/>
              <w:jc w:val="left"/>
              <w:rPr>
                <w:rFonts w:ascii="宋体" w:hAnsi="宋体" w:cs="宋体" w:eastAsia="宋体" w:hint="default"/>
                <w:sz w:val="24"/>
                <w:szCs w:val="24"/>
              </w:rPr>
            </w:pPr>
            <w:r>
              <w:rPr>
                <w:rFonts w:ascii="宋体" w:hAnsi="宋体" w:cs="宋体" w:eastAsia="宋体" w:hint="default"/>
                <w:sz w:val="24"/>
                <w:szCs w:val="24"/>
              </w:rPr>
              <w:t>中国注册会计师：</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930" w:lineRule="atLeast"/>
              <w:ind w:left="168" w:right="1453"/>
              <w:jc w:val="left"/>
              <w:rPr>
                <w:rFonts w:ascii="宋体" w:hAnsi="宋体" w:cs="宋体" w:eastAsia="宋体" w:hint="default"/>
                <w:sz w:val="24"/>
                <w:szCs w:val="24"/>
              </w:rPr>
            </w:pPr>
            <w:r>
              <w:rPr>
                <w:rFonts w:ascii="宋体" w:hAnsi="宋体" w:cs="宋体" w:eastAsia="宋体" w:hint="default"/>
                <w:sz w:val="24"/>
                <w:szCs w:val="24"/>
              </w:rPr>
              <w:t>郑建彪 王涛</w:t>
            </w:r>
          </w:p>
        </w:tc>
      </w:tr>
      <w:tr>
        <w:trPr>
          <w:trHeight w:val="641" w:hRule="exact"/>
        </w:trPr>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200" w:right="0"/>
              <w:jc w:val="left"/>
              <w:rPr>
                <w:rFonts w:ascii="宋体" w:hAnsi="宋体" w:cs="宋体" w:eastAsia="宋体" w:hint="default"/>
                <w:sz w:val="24"/>
                <w:szCs w:val="24"/>
              </w:rPr>
            </w:pPr>
            <w:r>
              <w:rPr>
                <w:rFonts w:ascii="宋体" w:hAnsi="宋体" w:cs="宋体" w:eastAsia="宋体" w:hint="default"/>
                <w:sz w:val="24"/>
                <w:szCs w:val="24"/>
              </w:rPr>
              <w:t>中国</w:t>
            </w:r>
            <w:r>
              <w:rPr>
                <w:rFonts w:ascii="Arial Narrow" w:hAnsi="Arial Narrow" w:cs="Arial Narrow" w:eastAsia="Arial Narrow" w:hint="default"/>
                <w:sz w:val="24"/>
                <w:szCs w:val="24"/>
              </w:rPr>
              <w:t>·</w:t>
            </w:r>
            <w:r>
              <w:rPr>
                <w:rFonts w:ascii="宋体" w:hAnsi="宋体" w:cs="宋体" w:eastAsia="宋体" w:hint="default"/>
                <w:sz w:val="24"/>
                <w:szCs w:val="24"/>
              </w:rPr>
              <w:t>北京</w:t>
            </w:r>
          </w:p>
        </w:tc>
        <w:tc>
          <w:tcPr>
            <w:tcW w:w="55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7"/>
                <w:szCs w:val="27"/>
              </w:rPr>
            </w:pPr>
          </w:p>
          <w:p>
            <w:pPr>
              <w:pStyle w:val="TableParagraph"/>
              <w:spacing w:line="240" w:lineRule="auto"/>
              <w:ind w:left="1056" w:right="0"/>
              <w:jc w:val="left"/>
              <w:rPr>
                <w:rFonts w:ascii="宋体" w:hAnsi="宋体" w:cs="宋体" w:eastAsia="宋体" w:hint="default"/>
                <w:sz w:val="24"/>
                <w:szCs w:val="24"/>
              </w:rPr>
            </w:pPr>
            <w:r>
              <w:rPr>
                <w:rFonts w:ascii="宋体" w:hAnsi="宋体" w:cs="宋体" w:eastAsia="宋体" w:hint="default"/>
                <w:sz w:val="24"/>
                <w:szCs w:val="24"/>
              </w:rPr>
              <w:t>二</w:t>
            </w:r>
            <w:r>
              <w:rPr>
                <w:rFonts w:ascii="Arial Narrow" w:hAnsi="Arial Narrow" w:cs="Arial Narrow" w:eastAsia="Arial Narrow" w:hint="default"/>
                <w:sz w:val="24"/>
                <w:szCs w:val="24"/>
              </w:rPr>
              <w:t>○</w:t>
            </w:r>
            <w:r>
              <w:rPr>
                <w:rFonts w:ascii="宋体" w:hAnsi="宋体" w:cs="宋体" w:eastAsia="宋体" w:hint="default"/>
                <w:sz w:val="24"/>
                <w:szCs w:val="24"/>
              </w:rPr>
              <w:t>一二年 三</w:t>
            </w:r>
            <w:r>
              <w:rPr>
                <w:rFonts w:ascii="宋体" w:hAnsi="宋体" w:cs="宋体" w:eastAsia="宋体" w:hint="default"/>
                <w:spacing w:val="-1"/>
                <w:sz w:val="24"/>
                <w:szCs w:val="24"/>
              </w:rPr>
              <w:t> </w:t>
            </w:r>
            <w:r>
              <w:rPr>
                <w:rFonts w:ascii="宋体" w:hAnsi="宋体" w:cs="宋体" w:eastAsia="宋体" w:hint="default"/>
                <w:sz w:val="24"/>
                <w:szCs w:val="24"/>
              </w:rPr>
              <w:t>月九日</w:t>
            </w:r>
          </w:p>
        </w:tc>
      </w:tr>
    </w:tbl>
    <w:p>
      <w:pPr>
        <w:spacing w:after="0" w:line="240" w:lineRule="auto"/>
        <w:jc w:val="left"/>
        <w:rPr>
          <w:rFonts w:ascii="宋体" w:hAnsi="宋体" w:cs="宋体" w:eastAsia="宋体" w:hint="default"/>
          <w:sz w:val="24"/>
          <w:szCs w:val="24"/>
        </w:rPr>
        <w:sectPr>
          <w:footerReference w:type="default" r:id="rId50"/>
          <w:pgSz w:w="11910" w:h="16840"/>
          <w:pgMar w:footer="1173" w:header="884" w:top="1160" w:bottom="1360" w:left="1240" w:right="108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5"/>
        <w:spacing w:line="240" w:lineRule="auto" w:before="186"/>
        <w:ind w:left="81" w:right="0"/>
        <w:jc w:val="center"/>
        <w:rPr>
          <w:b w:val="0"/>
          <w:bCs w:val="0"/>
        </w:rPr>
      </w:pPr>
      <w:r>
        <w:rPr/>
        <w:t>合并及公司资产负债表</w:t>
      </w:r>
      <w:r>
        <w:rPr>
          <w:b w:val="0"/>
          <w:bCs w:val="0"/>
        </w:rPr>
      </w:r>
    </w:p>
    <w:p>
      <w:pPr>
        <w:spacing w:before="186"/>
        <w:ind w:left="85"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tabs>
          <w:tab w:pos="6750" w:val="left" w:leader="none"/>
        </w:tabs>
        <w:spacing w:before="153"/>
        <w:ind w:left="85" w:right="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单位：人民币元</w:t>
      </w:r>
    </w:p>
    <w:p>
      <w:pPr>
        <w:spacing w:line="240" w:lineRule="auto" w:before="3"/>
        <w:rPr>
          <w:rFonts w:ascii="宋体" w:hAnsi="宋体" w:cs="宋体" w:eastAsia="宋体" w:hint="default"/>
          <w:sz w:val="10"/>
          <w:szCs w:val="10"/>
        </w:rPr>
      </w:pPr>
    </w:p>
    <w:tbl>
      <w:tblPr>
        <w:tblW w:w="0" w:type="auto"/>
        <w:jc w:val="left"/>
        <w:tblInd w:w="543" w:type="dxa"/>
        <w:tblLayout w:type="fixed"/>
        <w:tblCellMar>
          <w:top w:w="0" w:type="dxa"/>
          <w:left w:w="0" w:type="dxa"/>
          <w:bottom w:w="0" w:type="dxa"/>
          <w:right w:w="0" w:type="dxa"/>
        </w:tblCellMar>
        <w:tblLook w:val="01E0"/>
      </w:tblPr>
      <w:tblGrid>
        <w:gridCol w:w="1858"/>
        <w:gridCol w:w="853"/>
        <w:gridCol w:w="1416"/>
        <w:gridCol w:w="1414"/>
        <w:gridCol w:w="1414"/>
        <w:gridCol w:w="1414"/>
      </w:tblGrid>
      <w:tr>
        <w:trPr>
          <w:trHeight w:val="430" w:hRule="exact"/>
        </w:trPr>
        <w:tc>
          <w:tcPr>
            <w:tcW w:w="1858"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0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8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828"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3"/>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30" w:hRule="exact"/>
        </w:trPr>
        <w:tc>
          <w:tcPr>
            <w:tcW w:w="1858" w:type="dxa"/>
            <w:vMerge/>
            <w:tcBorders>
              <w:left w:val="nil" w:sz="6" w:space="0" w:color="auto"/>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b/>
                <w:bCs/>
                <w:sz w:val="21"/>
                <w:szCs w:val="21"/>
              </w:rPr>
              <w:t>公司</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4"/>
              <w:jc w:val="center"/>
              <w:rPr>
                <w:rFonts w:ascii="宋体" w:hAnsi="宋体" w:cs="宋体" w:eastAsia="宋体" w:hint="default"/>
                <w:sz w:val="21"/>
                <w:szCs w:val="21"/>
              </w:rPr>
            </w:pPr>
            <w:r>
              <w:rPr>
                <w:rFonts w:ascii="宋体" w:hAnsi="宋体" w:cs="宋体" w:eastAsia="宋体" w:hint="default"/>
                <w:b/>
                <w:bCs/>
                <w:sz w:val="21"/>
                <w:szCs w:val="21"/>
              </w:rPr>
              <w:t>公司</w:t>
            </w:r>
            <w:r>
              <w:rPr>
                <w:rFonts w:ascii="宋体" w:hAnsi="宋体" w:cs="宋体" w:eastAsia="宋体" w:hint="default"/>
                <w:sz w:val="21"/>
                <w:szCs w:val="21"/>
              </w:rPr>
            </w:r>
          </w:p>
        </w:tc>
      </w:tr>
      <w:tr>
        <w:trPr>
          <w:trHeight w:val="318" w:hRule="exact"/>
        </w:trPr>
        <w:tc>
          <w:tcPr>
            <w:tcW w:w="1858"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853"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4" w:type="dxa"/>
            <w:tcBorders>
              <w:top w:val="single" w:sz="4" w:space="0" w:color="000000"/>
              <w:left w:val="single" w:sz="4" w:space="0" w:color="000000"/>
              <w:bottom w:val="nil" w:sz="6" w:space="0" w:color="auto"/>
              <w:right w:val="single" w:sz="4" w:space="0" w:color="000000"/>
            </w:tcBorders>
          </w:tcPr>
          <w:p>
            <w:pPr/>
          </w:p>
        </w:tc>
        <w:tc>
          <w:tcPr>
            <w:tcW w:w="1414" w:type="dxa"/>
            <w:tcBorders>
              <w:top w:val="single" w:sz="4" w:space="0" w:color="000000"/>
              <w:left w:val="single" w:sz="4" w:space="0" w:color="000000"/>
              <w:bottom w:val="nil" w:sz="6" w:space="0" w:color="auto"/>
              <w:right w:val="single" w:sz="4" w:space="0" w:color="000000"/>
            </w:tcBorders>
          </w:tcPr>
          <w:p>
            <w:pPr/>
          </w:p>
        </w:tc>
        <w:tc>
          <w:tcPr>
            <w:tcW w:w="1414" w:type="dxa"/>
            <w:tcBorders>
              <w:top w:val="single" w:sz="4" w:space="0" w:color="000000"/>
              <w:left w:val="single" w:sz="4" w:space="0" w:color="000000"/>
              <w:bottom w:val="nil" w:sz="6" w:space="0" w:color="auto"/>
              <w:right w:val="nil" w:sz="6" w:space="0" w:color="auto"/>
            </w:tcBorders>
          </w:tcPr>
          <w:p>
            <w:pPr/>
          </w:p>
        </w:tc>
      </w:tr>
      <w:tr>
        <w:trPr>
          <w:trHeight w:val="31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Arial Narrow" w:hAnsi="Arial Narrow" w:cs="Arial Narrow" w:eastAsia="Arial Narrow" w:hint="default"/>
                <w:sz w:val="21"/>
                <w:szCs w:val="21"/>
              </w:rPr>
            </w:pPr>
            <w:r>
              <w:rPr>
                <w:rFonts w:ascii="Arial Narrow"/>
                <w:spacing w:val="-1"/>
                <w:sz w:val="21"/>
              </w:rPr>
              <w:t>378,824,821.80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358,837,815.38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390,378,639.43</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4"/>
              <w:jc w:val="right"/>
              <w:rPr>
                <w:rFonts w:ascii="Arial Narrow" w:hAnsi="Arial Narrow" w:cs="Arial Narrow" w:eastAsia="Arial Narrow" w:hint="default"/>
                <w:sz w:val="21"/>
                <w:szCs w:val="21"/>
              </w:rPr>
            </w:pPr>
            <w:r>
              <w:rPr>
                <w:rFonts w:ascii="Arial Narrow"/>
                <w:spacing w:val="-1"/>
                <w:sz w:val="21"/>
              </w:rPr>
              <w:t>369,219,010.45</w:t>
            </w:r>
            <w:r>
              <w:rPr>
                <w:rFonts w:ascii="Arial Narrow"/>
                <w:sz w:val="21"/>
              </w:rPr>
            </w:r>
          </w:p>
        </w:tc>
      </w:tr>
      <w:tr>
        <w:trPr>
          <w:trHeight w:val="310"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5"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w:t>
            </w: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300,200.00</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300,200.00</w:t>
            </w:r>
            <w:r>
              <w:rPr>
                <w:rFonts w:ascii="Arial Narrow"/>
                <w:sz w:val="21"/>
              </w:rPr>
            </w: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131,159,064.30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120,838,555.13</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86,233,970.36</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85,474,691.99</w:t>
            </w:r>
            <w:r>
              <w:rPr>
                <w:rFonts w:ascii="Arial Narrow"/>
                <w:sz w:val="21"/>
              </w:rPr>
            </w: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55,523,569.92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28,500,158.72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35,564,297.87</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10,905,938.32</w:t>
            </w:r>
            <w:r>
              <w:rPr>
                <w:rFonts w:ascii="Arial Narrow"/>
                <w:sz w:val="21"/>
              </w:rPr>
            </w: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5</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5,387,412.10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5,387,412.10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5,552,666.98</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5,552,666.98</w:t>
            </w:r>
            <w:r>
              <w:rPr>
                <w:rFonts w:ascii="Arial Narrow"/>
                <w:sz w:val="21"/>
              </w:rPr>
            </w:r>
          </w:p>
        </w:tc>
      </w:tr>
      <w:tr>
        <w:trPr>
          <w:trHeight w:val="310"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4"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12,226,506.55</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16,218,402.79</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11,497,265.17</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15,345,945.44</w:t>
            </w:r>
            <w:r>
              <w:rPr>
                <w:rFonts w:ascii="Arial Narrow"/>
                <w:sz w:val="21"/>
              </w:rPr>
            </w: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7</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4,961,897.12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5,412,719.01</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
        </w:tc>
      </w:tr>
      <w:tr>
        <w:trPr>
          <w:trHeight w:val="61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一年内到期的非</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6"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流动资产合计</w:t>
            </w:r>
            <w:r>
              <w:rPr>
                <w:rFonts w:ascii="宋体" w:hAnsi="宋体" w:cs="宋体" w:eastAsia="宋体" w:hint="default"/>
                <w:sz w:val="21"/>
                <w:szCs w:val="21"/>
              </w:rPr>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588,083,271.79</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529,782,344.12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534,939,758.82</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4"/>
              <w:jc w:val="right"/>
              <w:rPr>
                <w:rFonts w:ascii="Arial Narrow" w:hAnsi="Arial Narrow" w:cs="Arial Narrow" w:eastAsia="Arial Narrow" w:hint="default"/>
                <w:sz w:val="21"/>
                <w:szCs w:val="21"/>
              </w:rPr>
            </w:pPr>
            <w:r>
              <w:rPr>
                <w:rFonts w:ascii="Arial Narrow"/>
                <w:spacing w:val="-1"/>
                <w:sz w:val="21"/>
              </w:rPr>
              <w:t>486,798,453.18</w:t>
            </w:r>
            <w:r>
              <w:rPr>
                <w:rFonts w:ascii="Arial Narrow"/>
                <w:sz w:val="21"/>
              </w:rPr>
            </w:r>
          </w:p>
        </w:tc>
      </w:tr>
      <w:tr>
        <w:trPr>
          <w:trHeight w:val="309"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624"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可供出售金融资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5"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4"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55"/>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8</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26,081,936.97</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24,945,516.08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1,110,339.89</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13,760,827.00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39,145,757.45</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12,187,580.48</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37,581,432.26</w:t>
            </w:r>
            <w:r>
              <w:rPr>
                <w:rFonts w:ascii="Arial Narrow"/>
                <w:sz w:val="21"/>
              </w:rPr>
            </w: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11</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6,892,162.69</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6,892,162.69</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12</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61,936,594.61</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8"/>
              <w:jc w:val="right"/>
              <w:rPr>
                <w:rFonts w:ascii="Arial Narrow" w:hAnsi="Arial Narrow" w:cs="Arial Narrow" w:eastAsia="Arial Narrow" w:hint="default"/>
                <w:sz w:val="21"/>
                <w:szCs w:val="21"/>
              </w:rPr>
            </w:pPr>
            <w:r>
              <w:rPr>
                <w:rFonts w:ascii="Arial Narrow"/>
                <w:spacing w:val="-1"/>
                <w:sz w:val="21"/>
              </w:rPr>
              <w:t>61,546,553.44</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69,685,529.20</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69,196,796.92</w:t>
            </w:r>
            <w:r>
              <w:rPr>
                <w:rFonts w:ascii="Arial Narrow"/>
                <w:sz w:val="21"/>
              </w:rPr>
            </w:r>
          </w:p>
        </w:tc>
      </w:tr>
      <w:tr>
        <w:trPr>
          <w:trHeight w:val="310"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4"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13</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21,393,364.51</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546,478.64</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20,518,500.45</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278,708.50</w:t>
            </w:r>
            <w:r>
              <w:rPr>
                <w:rFonts w:ascii="Arial Narrow"/>
                <w:sz w:val="21"/>
              </w:rPr>
            </w:r>
          </w:p>
        </w:tc>
      </w:tr>
      <w:tr>
        <w:trPr>
          <w:trHeight w:val="310"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4"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4" w:lineRule="exact"/>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14</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1,312,138.80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1,312,138.80</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15</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0"/>
              <w:jc w:val="right"/>
              <w:rPr>
                <w:rFonts w:ascii="Arial Narrow" w:hAnsi="Arial Narrow" w:cs="Arial Narrow" w:eastAsia="Arial Narrow" w:hint="default"/>
                <w:sz w:val="21"/>
                <w:szCs w:val="21"/>
              </w:rPr>
            </w:pPr>
            <w:r>
              <w:rPr>
                <w:rFonts w:ascii="Arial Narrow"/>
                <w:spacing w:val="-1"/>
                <w:sz w:val="21"/>
              </w:rPr>
              <w:t>1,382,991.90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1,373,768.06</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0"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01"/>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3,957,007.23</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3,428,712.44</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2,415,748.79</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2,412,038.31</w:t>
            </w:r>
            <w:r>
              <w:rPr>
                <w:rFonts w:ascii="Arial Narrow"/>
                <w:sz w:val="21"/>
              </w:rPr>
            </w: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非流动资产合计</w:t>
            </w:r>
            <w:r>
              <w:rPr>
                <w:rFonts w:ascii="宋体" w:hAnsi="宋体" w:cs="宋体" w:eastAsia="宋体" w:hint="default"/>
                <w:sz w:val="21"/>
                <w:szCs w:val="21"/>
              </w:rPr>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136,717,023.71</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137,878,948.80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107,229,837.61</w:t>
            </w:r>
            <w:r>
              <w:rPr>
                <w:rFonts w:ascii="Arial Narrow"/>
                <w:sz w:val="21"/>
              </w:rPr>
            </w:r>
          </w:p>
        </w:tc>
        <w:tc>
          <w:tcPr>
            <w:tcW w:w="141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4"/>
              <w:jc w:val="right"/>
              <w:rPr>
                <w:rFonts w:ascii="Arial Narrow" w:hAnsi="Arial Narrow" w:cs="Arial Narrow" w:eastAsia="Arial Narrow" w:hint="default"/>
                <w:sz w:val="21"/>
                <w:szCs w:val="21"/>
              </w:rPr>
            </w:pPr>
            <w:r>
              <w:rPr>
                <w:rFonts w:ascii="Arial Narrow"/>
                <w:spacing w:val="-1"/>
                <w:sz w:val="21"/>
              </w:rPr>
              <w:t>109,468,975.99</w:t>
            </w:r>
            <w:r>
              <w:rPr>
                <w:rFonts w:ascii="Arial Narrow"/>
                <w:sz w:val="21"/>
              </w:rPr>
            </w:r>
          </w:p>
        </w:tc>
      </w:tr>
      <w:tr>
        <w:trPr>
          <w:trHeight w:val="313" w:hRule="exact"/>
        </w:trPr>
        <w:tc>
          <w:tcPr>
            <w:tcW w:w="1858" w:type="dxa"/>
            <w:tcBorders>
              <w:top w:val="nil" w:sz="6" w:space="0" w:color="auto"/>
              <w:left w:val="nil" w:sz="6" w:space="0" w:color="auto"/>
              <w:bottom w:val="single" w:sz="4" w:space="0" w:color="000000"/>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853"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724,800,295.50</w:t>
            </w:r>
            <w:r>
              <w:rPr>
                <w:rFonts w:ascii="Arial Narrow"/>
                <w:sz w:val="21"/>
              </w:rPr>
            </w:r>
          </w:p>
        </w:tc>
        <w:tc>
          <w:tcPr>
            <w:tcW w:w="14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667,661,292.92</w:t>
            </w:r>
            <w:r>
              <w:rPr>
                <w:rFonts w:ascii="Arial Narrow"/>
                <w:sz w:val="21"/>
              </w:rPr>
            </w:r>
          </w:p>
        </w:tc>
        <w:tc>
          <w:tcPr>
            <w:tcW w:w="14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642,169,596.43</w:t>
            </w:r>
            <w:r>
              <w:rPr>
                <w:rFonts w:ascii="Arial Narrow"/>
                <w:sz w:val="21"/>
              </w:rPr>
            </w:r>
          </w:p>
        </w:tc>
        <w:tc>
          <w:tcPr>
            <w:tcW w:w="1414" w:type="dxa"/>
            <w:tcBorders>
              <w:top w:val="nil" w:sz="6" w:space="0" w:color="auto"/>
              <w:left w:val="single" w:sz="4" w:space="0" w:color="000000"/>
              <w:bottom w:val="single" w:sz="4" w:space="0" w:color="000000"/>
              <w:right w:val="nil" w:sz="6" w:space="0" w:color="auto"/>
            </w:tcBorders>
          </w:tcPr>
          <w:p>
            <w:pPr>
              <w:pStyle w:val="TableParagraph"/>
              <w:spacing w:line="240" w:lineRule="auto" w:before="29"/>
              <w:ind w:right="104"/>
              <w:jc w:val="right"/>
              <w:rPr>
                <w:rFonts w:ascii="Arial Narrow" w:hAnsi="Arial Narrow" w:cs="Arial Narrow" w:eastAsia="Arial Narrow" w:hint="default"/>
                <w:sz w:val="21"/>
                <w:szCs w:val="21"/>
              </w:rPr>
            </w:pPr>
            <w:r>
              <w:rPr>
                <w:rFonts w:ascii="Arial Narrow"/>
                <w:spacing w:val="-1"/>
                <w:sz w:val="21"/>
              </w:rPr>
              <w:t>596,267,429.17</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1173" w:top="1160" w:bottom="1360" w:left="1240" w:right="12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5"/>
        <w:spacing w:line="240" w:lineRule="auto" w:before="26"/>
        <w:ind w:left="3081" w:right="3133"/>
        <w:jc w:val="center"/>
        <w:rPr>
          <w:b w:val="0"/>
          <w:bCs w:val="0"/>
        </w:rPr>
      </w:pPr>
      <w:r>
        <w:rPr/>
        <w:t>合并及公司资产负债表（续）</w:t>
      </w:r>
      <w:r>
        <w:rPr>
          <w:b w:val="0"/>
          <w:bCs w:val="0"/>
        </w:rPr>
      </w:r>
    </w:p>
    <w:p>
      <w:pPr>
        <w:spacing w:before="66"/>
        <w:ind w:left="3081" w:right="3127"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line="240" w:lineRule="auto" w:before="8"/>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285"/>
        <w:gridCol w:w="853"/>
        <w:gridCol w:w="1416"/>
        <w:gridCol w:w="1419"/>
        <w:gridCol w:w="1414"/>
        <w:gridCol w:w="1704"/>
      </w:tblGrid>
      <w:tr>
        <w:trPr>
          <w:trHeight w:val="324" w:hRule="exact"/>
        </w:trPr>
        <w:tc>
          <w:tcPr>
            <w:tcW w:w="2285" w:type="dxa"/>
            <w:vMerge w:val="restart"/>
            <w:tcBorders>
              <w:top w:val="single" w:sz="4" w:space="0" w:color="000000"/>
              <w:left w:val="nil" w:sz="6" w:space="0" w:color="auto"/>
              <w:right w:val="single" w:sz="4" w:space="0" w:color="000000"/>
            </w:tcBorders>
          </w:tcPr>
          <w:p>
            <w:pPr>
              <w:pStyle w:val="TableParagraph"/>
              <w:spacing w:line="240" w:lineRule="auto" w:before="150"/>
              <w:ind w:left="1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150"/>
              <w:ind w:left="20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8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118" w:type="dxa"/>
            <w:gridSpan w:val="2"/>
            <w:tcBorders>
              <w:top w:val="single" w:sz="4" w:space="0" w:color="000000"/>
              <w:left w:val="single" w:sz="4" w:space="0" w:color="000000"/>
              <w:bottom w:val="single" w:sz="4" w:space="0" w:color="000000"/>
              <w:right w:val="nil" w:sz="6" w:space="0" w:color="auto"/>
            </w:tcBorders>
          </w:tcPr>
          <w:p>
            <w:pPr>
              <w:pStyle w:val="TableParagraph"/>
              <w:spacing w:line="265" w:lineRule="exact"/>
              <w:ind w:right="1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2285" w:type="dxa"/>
            <w:vMerge/>
            <w:tcBorders>
              <w:left w:val="nil" w:sz="6" w:space="0" w:color="auto"/>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公司</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704"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公司</w:t>
            </w:r>
            <w:r>
              <w:rPr>
                <w:rFonts w:ascii="宋体" w:hAnsi="宋体" w:cs="宋体" w:eastAsia="宋体" w:hint="default"/>
                <w:sz w:val="21"/>
                <w:szCs w:val="21"/>
              </w:rPr>
            </w:r>
          </w:p>
        </w:tc>
      </w:tr>
      <w:tr>
        <w:trPr>
          <w:trHeight w:val="318" w:hRule="exact"/>
        </w:trPr>
        <w:tc>
          <w:tcPr>
            <w:tcW w:w="2285"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853"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419" w:type="dxa"/>
            <w:tcBorders>
              <w:top w:val="single" w:sz="4" w:space="0" w:color="000000"/>
              <w:left w:val="single" w:sz="4" w:space="0" w:color="000000"/>
              <w:bottom w:val="nil" w:sz="6" w:space="0" w:color="auto"/>
              <w:right w:val="single" w:sz="4" w:space="0" w:color="000000"/>
            </w:tcBorders>
          </w:tcPr>
          <w:p>
            <w:pPr/>
          </w:p>
        </w:tc>
        <w:tc>
          <w:tcPr>
            <w:tcW w:w="1414" w:type="dxa"/>
            <w:tcBorders>
              <w:top w:val="single" w:sz="4" w:space="0" w:color="000000"/>
              <w:left w:val="single" w:sz="4" w:space="0" w:color="000000"/>
              <w:bottom w:val="nil" w:sz="6" w:space="0" w:color="auto"/>
              <w:right w:val="single" w:sz="4" w:space="0" w:color="000000"/>
            </w:tcBorders>
          </w:tcPr>
          <w:p>
            <w:pPr/>
          </w:p>
        </w:tc>
        <w:tc>
          <w:tcPr>
            <w:tcW w:w="1704" w:type="dxa"/>
            <w:tcBorders>
              <w:top w:val="single" w:sz="4" w:space="0" w:color="000000"/>
              <w:left w:val="single" w:sz="4" w:space="0" w:color="000000"/>
              <w:bottom w:val="nil" w:sz="6" w:space="0" w:color="auto"/>
              <w:right w:val="nil" w:sz="6" w:space="0" w:color="auto"/>
            </w:tcBorders>
          </w:tcPr>
          <w:p>
            <w:pPr/>
          </w:p>
        </w:tc>
      </w:tr>
      <w:tr>
        <w:trPr>
          <w:trHeight w:val="318"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19</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Arial Narrow" w:hAnsi="Arial Narrow" w:cs="Arial Narrow" w:eastAsia="Arial Narrow" w:hint="default"/>
                <w:sz w:val="21"/>
                <w:szCs w:val="21"/>
              </w:rPr>
            </w:pPr>
            <w:r>
              <w:rPr>
                <w:rFonts w:ascii="Arial Narrow"/>
                <w:spacing w:val="-1"/>
                <w:sz w:val="21"/>
              </w:rPr>
              <w:t>5,952,960.20</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Arial Narrow" w:hAnsi="Arial Narrow" w:cs="Arial Narrow" w:eastAsia="Arial Narrow" w:hint="default"/>
                <w:sz w:val="21"/>
                <w:szCs w:val="21"/>
              </w:rPr>
            </w:pPr>
            <w:r>
              <w:rPr>
                <w:rFonts w:ascii="Arial Narrow"/>
                <w:spacing w:val="-1"/>
                <w:sz w:val="21"/>
              </w:rPr>
              <w:t>1,218,900.00</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
        </w:tc>
      </w:tr>
      <w:tr>
        <w:trPr>
          <w:trHeight w:val="31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5"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48,182,565.57</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46,670,882.05</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24,457,435.65</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23,592,772.17</w:t>
            </w:r>
            <w:r>
              <w:rPr>
                <w:rFonts w:ascii="Arial Narrow"/>
                <w:sz w:val="21"/>
              </w:rPr>
            </w: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21</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43,568,410.34</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38,492,884.07</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40,149,892.36</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34,277,833.24</w:t>
            </w:r>
            <w:r>
              <w:rPr>
                <w:rFonts w:ascii="Arial Narrow"/>
                <w:sz w:val="21"/>
              </w:rPr>
            </w: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22</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14,938,693.57</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14,420,502.36</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12,071,066.28</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10,769,730.28</w:t>
            </w:r>
            <w:r>
              <w:rPr>
                <w:rFonts w:ascii="Arial Narrow"/>
                <w:sz w:val="21"/>
              </w:rPr>
            </w: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23</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16,347,361.67</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14,816,517.48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12,000,590.56</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11,469,977.31</w:t>
            </w:r>
            <w:r>
              <w:rPr>
                <w:rFonts w:ascii="Arial Narrow"/>
                <w:sz w:val="21"/>
              </w:rPr>
            </w: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24</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3,806.00</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4"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25</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12,570,622.94</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12,442,223.61</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6,708,062.49</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5,989,120.38</w:t>
            </w:r>
            <w:r>
              <w:rPr>
                <w:rFonts w:ascii="Arial Narrow"/>
                <w:sz w:val="21"/>
              </w:rPr>
            </w:r>
          </w:p>
        </w:tc>
      </w:tr>
      <w:tr>
        <w:trPr>
          <w:trHeight w:val="618"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26</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3,785,806.94</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4,773,131.14</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27</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Arial Narrow" w:hAnsi="Arial Narrow" w:cs="Arial Narrow" w:eastAsia="Arial Narrow" w:hint="default"/>
                <w:sz w:val="21"/>
                <w:szCs w:val="21"/>
              </w:rPr>
            </w:pPr>
            <w:r>
              <w:rPr>
                <w:rFonts w:ascii="Arial Narrow"/>
                <w:spacing w:val="-1"/>
                <w:sz w:val="21"/>
              </w:rPr>
              <w:t>986,111.11</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986,111.11</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Arial Narrow" w:hAnsi="Arial Narrow" w:cs="Arial Narrow" w:eastAsia="Arial Narrow" w:hint="default"/>
                <w:sz w:val="21"/>
                <w:szCs w:val="21"/>
              </w:rPr>
            </w:pPr>
            <w:r>
              <w:rPr>
                <w:rFonts w:ascii="Arial Narrow"/>
                <w:spacing w:val="-1"/>
                <w:sz w:val="21"/>
              </w:rPr>
              <w:t>557,295.56</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3"/>
              <w:jc w:val="right"/>
              <w:rPr>
                <w:rFonts w:ascii="Arial Narrow" w:hAnsi="Arial Narrow" w:cs="Arial Narrow" w:eastAsia="Arial Narrow" w:hint="default"/>
                <w:sz w:val="21"/>
                <w:szCs w:val="21"/>
              </w:rPr>
            </w:pPr>
            <w:r>
              <w:rPr>
                <w:rFonts w:ascii="Arial Narrow"/>
                <w:spacing w:val="-1"/>
                <w:sz w:val="21"/>
              </w:rPr>
              <w:t>557,295.56</w:t>
            </w:r>
            <w:r>
              <w:rPr>
                <w:rFonts w:ascii="Arial Narrow"/>
                <w:sz w:val="21"/>
              </w:rPr>
            </w:r>
          </w:p>
        </w:tc>
      </w:tr>
      <w:tr>
        <w:trPr>
          <w:trHeight w:val="31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流动负债合计</w:t>
            </w:r>
            <w:r>
              <w:rPr>
                <w:rFonts w:ascii="宋体" w:hAnsi="宋体" w:cs="宋体" w:eastAsia="宋体" w:hint="default"/>
                <w:sz w:val="21"/>
                <w:szCs w:val="21"/>
              </w:rPr>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146,336,338.34</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127,829,120.68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101,936,374.04</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86,656,728.94</w:t>
            </w:r>
            <w:r>
              <w:rPr>
                <w:rFonts w:ascii="Arial Narrow"/>
                <w:sz w:val="21"/>
              </w:rPr>
            </w:r>
          </w:p>
        </w:tc>
      </w:tr>
      <w:tr>
        <w:trPr>
          <w:trHeight w:val="309"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28</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11,218,111.24</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8,452,735.24</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
        </w:tc>
      </w:tr>
      <w:tr>
        <w:trPr>
          <w:trHeight w:val="31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非流动负债合计</w:t>
            </w:r>
            <w:r>
              <w:rPr>
                <w:rFonts w:ascii="宋体" w:hAnsi="宋体" w:cs="宋体" w:eastAsia="宋体" w:hint="default"/>
                <w:sz w:val="21"/>
                <w:szCs w:val="21"/>
              </w:rPr>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11,218,111.24</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8,452,735.24</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负债合计</w:t>
            </w:r>
            <w:r>
              <w:rPr>
                <w:rFonts w:ascii="宋体" w:hAnsi="宋体" w:cs="宋体" w:eastAsia="宋体" w:hint="default"/>
                <w:sz w:val="21"/>
                <w:szCs w:val="21"/>
              </w:rPr>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157,554,449.58</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127,829,120.68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110,389,109.28</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86,656,728.94</w:t>
            </w:r>
            <w:r>
              <w:rPr>
                <w:rFonts w:ascii="Arial Narrow"/>
                <w:sz w:val="21"/>
              </w:rPr>
            </w:r>
          </w:p>
        </w:tc>
      </w:tr>
      <w:tr>
        <w:trPr>
          <w:trHeight w:val="315"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29</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120,000,000.00</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120,000,000.00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75,000,000.00</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75,000,000.00</w:t>
            </w:r>
            <w:r>
              <w:rPr>
                <w:rFonts w:ascii="Arial Narrow"/>
                <w:sz w:val="21"/>
              </w:rPr>
            </w: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30</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312,880,834.12</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312,880,834.12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354,438,695.83</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354,438,695.83</w:t>
            </w:r>
            <w:r>
              <w:rPr>
                <w:rFonts w:ascii="Arial Narrow"/>
                <w:sz w:val="21"/>
              </w:rPr>
            </w:r>
          </w:p>
        </w:tc>
      </w:tr>
      <w:tr>
        <w:trPr>
          <w:trHeight w:val="31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704" w:type="dxa"/>
            <w:tcBorders>
              <w:top w:val="nil" w:sz="6" w:space="0" w:color="auto"/>
              <w:left w:val="single" w:sz="4" w:space="0" w:color="000000"/>
              <w:bottom w:val="nil" w:sz="6" w:space="0" w:color="auto"/>
              <w:right w:val="nil" w:sz="6" w:space="0" w:color="auto"/>
            </w:tcBorders>
          </w:tcPr>
          <w:p>
            <w:pPr/>
          </w:p>
        </w:tc>
      </w:tr>
      <w:tr>
        <w:trPr>
          <w:trHeight w:val="314"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31</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13,695,133.81</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13,695,133.81</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9,517,200.44</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9,517,200.44</w:t>
            </w:r>
            <w:r>
              <w:rPr>
                <w:rFonts w:ascii="Arial Narrow"/>
                <w:sz w:val="21"/>
              </w:rPr>
            </w:r>
          </w:p>
        </w:tc>
      </w:tr>
      <w:tr>
        <w:trPr>
          <w:trHeight w:val="310"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2"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32</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100,593,534.60</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93,256,204.31</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101"/>
              <w:jc w:val="right"/>
              <w:rPr>
                <w:rFonts w:ascii="Arial Narrow" w:hAnsi="Arial Narrow" w:cs="Arial Narrow" w:eastAsia="Arial Narrow" w:hint="default"/>
                <w:sz w:val="21"/>
                <w:szCs w:val="21"/>
              </w:rPr>
            </w:pPr>
            <w:r>
              <w:rPr>
                <w:rFonts w:ascii="Arial Narrow"/>
                <w:spacing w:val="-1"/>
                <w:sz w:val="21"/>
              </w:rPr>
              <w:t>73,010,379.51</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70,654,803.96</w:t>
            </w:r>
            <w:r>
              <w:rPr>
                <w:rFonts w:ascii="Arial Narrow"/>
                <w:sz w:val="21"/>
              </w:rPr>
            </w: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-641,799.83</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-482,710.27</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
        </w:tc>
      </w:tr>
      <w:tr>
        <w:trPr>
          <w:trHeight w:val="621"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归属于母公司股东权</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益合计</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546,527,702.70</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539,832,172.24</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511,483,565.51</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509,610,700.23</w:t>
            </w:r>
            <w:r>
              <w:rPr>
                <w:rFonts w:ascii="Arial Narrow"/>
                <w:sz w:val="21"/>
              </w:rPr>
            </w:r>
          </w:p>
        </w:tc>
      </w:tr>
      <w:tr>
        <w:trPr>
          <w:trHeight w:val="315"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Arial Narrow" w:hAnsi="Arial Narrow" w:cs="Arial Narrow" w:eastAsia="Arial Narrow" w:hint="default"/>
                <w:sz w:val="21"/>
                <w:szCs w:val="21"/>
              </w:rPr>
            </w:pPr>
            <w:r>
              <w:rPr>
                <w:rFonts w:ascii="Arial Narrow"/>
                <w:spacing w:val="-1"/>
                <w:sz w:val="21"/>
              </w:rPr>
              <w:t>20,718,143.22</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Arial Narrow" w:hAnsi="Arial Narrow" w:cs="Arial Narrow" w:eastAsia="Arial Narrow" w:hint="default"/>
                <w:sz w:val="21"/>
                <w:szCs w:val="21"/>
              </w:rPr>
            </w:pPr>
            <w:r>
              <w:rPr>
                <w:rFonts w:ascii="Arial Narrow"/>
                <w:spacing w:val="-1"/>
                <w:sz w:val="21"/>
              </w:rPr>
              <w:t>20,296,921.64</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5"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c>
          <w:tcPr>
            <w:tcW w:w="853" w:type="dxa"/>
            <w:tcBorders>
              <w:top w:val="nil" w:sz="6" w:space="0" w:color="auto"/>
              <w:left w:val="single" w:sz="4" w:space="0" w:color="000000"/>
              <w:bottom w:val="nil" w:sz="6" w:space="0" w:color="auto"/>
              <w:right w:val="single" w:sz="4" w:space="0" w:color="000000"/>
            </w:tcBorders>
          </w:tcPr>
          <w:p>
            <w:pP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567,245,845.92</w:t>
            </w:r>
            <w:r>
              <w:rPr>
                <w:rFonts w:ascii="Arial Narrow"/>
                <w:sz w:val="21"/>
              </w:rPr>
            </w:r>
          </w:p>
        </w:tc>
        <w:tc>
          <w:tcPr>
            <w:tcW w:w="1419"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539,832,172.24</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531,780,487.15</w:t>
            </w:r>
            <w:r>
              <w:rPr>
                <w:rFonts w:ascii="Arial Narrow"/>
                <w:sz w:val="21"/>
              </w:rPr>
            </w:r>
          </w:p>
        </w:tc>
        <w:tc>
          <w:tcPr>
            <w:tcW w:w="1704"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509,610,700.23</w:t>
            </w:r>
            <w:r>
              <w:rPr>
                <w:rFonts w:ascii="Arial Narrow"/>
                <w:sz w:val="21"/>
              </w:rPr>
            </w:r>
          </w:p>
        </w:tc>
      </w:tr>
      <w:tr>
        <w:trPr>
          <w:trHeight w:val="312" w:hRule="exact"/>
        </w:trPr>
        <w:tc>
          <w:tcPr>
            <w:tcW w:w="2285" w:type="dxa"/>
            <w:tcBorders>
              <w:top w:val="nil" w:sz="6" w:space="0" w:color="auto"/>
              <w:left w:val="nil" w:sz="6" w:space="0" w:color="auto"/>
              <w:bottom w:val="single" w:sz="4" w:space="0" w:color="000000"/>
              <w:right w:val="single" w:sz="4" w:space="0" w:color="000000"/>
            </w:tcBorders>
          </w:tcPr>
          <w:p>
            <w:pPr>
              <w:pStyle w:val="TableParagraph"/>
              <w:spacing w:line="258" w:lineRule="exact"/>
              <w:ind w:left="199" w:right="0"/>
              <w:jc w:val="left"/>
              <w:rPr>
                <w:rFonts w:ascii="宋体" w:hAnsi="宋体" w:cs="宋体" w:eastAsia="宋体" w:hint="default"/>
                <w:sz w:val="21"/>
                <w:szCs w:val="21"/>
              </w:rPr>
            </w:pPr>
            <w:r>
              <w:rPr>
                <w:rFonts w:ascii="宋体" w:hAnsi="宋体" w:cs="宋体" w:eastAsia="宋体" w:hint="default"/>
                <w:b/>
                <w:bCs/>
                <w:sz w:val="21"/>
                <w:szCs w:val="21"/>
              </w:rPr>
              <w:t>负债和股东权益总计</w:t>
            </w:r>
            <w:r>
              <w:rPr>
                <w:rFonts w:ascii="宋体" w:hAnsi="宋体" w:cs="宋体" w:eastAsia="宋体" w:hint="default"/>
                <w:sz w:val="21"/>
                <w:szCs w:val="21"/>
              </w:rPr>
            </w:r>
          </w:p>
        </w:tc>
        <w:tc>
          <w:tcPr>
            <w:tcW w:w="853"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724,800,295.50</w:t>
            </w:r>
            <w:r>
              <w:rPr>
                <w:rFonts w:ascii="Arial Narrow"/>
                <w:sz w:val="21"/>
              </w:rPr>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98"/>
              <w:jc w:val="right"/>
              <w:rPr>
                <w:rFonts w:ascii="Arial Narrow" w:hAnsi="Arial Narrow" w:cs="Arial Narrow" w:eastAsia="Arial Narrow" w:hint="default"/>
                <w:sz w:val="21"/>
                <w:szCs w:val="21"/>
              </w:rPr>
            </w:pPr>
            <w:r>
              <w:rPr>
                <w:rFonts w:ascii="Arial Narrow"/>
                <w:spacing w:val="-2"/>
                <w:sz w:val="21"/>
              </w:rPr>
              <w:t>667,661,292.92</w:t>
            </w:r>
            <w:r>
              <w:rPr>
                <w:rFonts w:ascii="Arial Narrow"/>
                <w:sz w:val="21"/>
              </w:rPr>
            </w:r>
          </w:p>
        </w:tc>
        <w:tc>
          <w:tcPr>
            <w:tcW w:w="14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spacing w:val="-1"/>
                <w:sz w:val="21"/>
              </w:rPr>
              <w:t>642,169,596.43</w:t>
            </w:r>
            <w:r>
              <w:rPr>
                <w:rFonts w:ascii="Arial Narrow"/>
                <w:sz w:val="21"/>
              </w:rPr>
            </w:r>
          </w:p>
        </w:tc>
        <w:tc>
          <w:tcPr>
            <w:tcW w:w="1704" w:type="dxa"/>
            <w:tcBorders>
              <w:top w:val="nil" w:sz="6" w:space="0" w:color="auto"/>
              <w:left w:val="single" w:sz="4" w:space="0" w:color="000000"/>
              <w:bottom w:val="single" w:sz="4" w:space="0" w:color="000000"/>
              <w:right w:val="nil" w:sz="6" w:space="0" w:color="auto"/>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spacing w:val="-1"/>
                <w:sz w:val="21"/>
              </w:rPr>
              <w:t>596,267,429.17</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1173" w:top="1160" w:bottom="1360" w:left="1240" w:right="12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Heading5"/>
        <w:spacing w:line="240" w:lineRule="auto" w:before="26"/>
        <w:ind w:left="440" w:right="0"/>
        <w:jc w:val="center"/>
        <w:rPr>
          <w:b w:val="0"/>
          <w:bCs w:val="0"/>
        </w:rPr>
      </w:pPr>
      <w:r>
        <w:rPr/>
        <w:t>合并及公司利润表</w:t>
      </w:r>
      <w:r>
        <w:rPr>
          <w:b w:val="0"/>
          <w:bCs w:val="0"/>
        </w:rPr>
      </w:r>
    </w:p>
    <w:p>
      <w:pPr>
        <w:spacing w:before="124"/>
        <w:ind w:left="1094"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p>
      <w:pPr>
        <w:tabs>
          <w:tab w:pos="7688" w:val="left" w:leader="none"/>
        </w:tabs>
        <w:spacing w:before="21"/>
        <w:ind w:left="444" w:right="0"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3"/>
          <w:szCs w:val="3"/>
        </w:rPr>
      </w:pPr>
    </w:p>
    <w:tbl>
      <w:tblPr>
        <w:tblW w:w="0" w:type="auto"/>
        <w:jc w:val="left"/>
        <w:tblInd w:w="543" w:type="dxa"/>
        <w:tblLayout w:type="fixed"/>
        <w:tblCellMar>
          <w:top w:w="0" w:type="dxa"/>
          <w:left w:w="0" w:type="dxa"/>
          <w:bottom w:w="0" w:type="dxa"/>
          <w:right w:w="0" w:type="dxa"/>
        </w:tblCellMar>
        <w:tblLook w:val="01E0"/>
      </w:tblPr>
      <w:tblGrid>
        <w:gridCol w:w="2283"/>
        <w:gridCol w:w="994"/>
        <w:gridCol w:w="1414"/>
        <w:gridCol w:w="1414"/>
        <w:gridCol w:w="1414"/>
        <w:gridCol w:w="1428"/>
      </w:tblGrid>
      <w:tr>
        <w:trPr>
          <w:trHeight w:val="372" w:hRule="exact"/>
        </w:trPr>
        <w:tc>
          <w:tcPr>
            <w:tcW w:w="2283" w:type="dxa"/>
            <w:vMerge w:val="restart"/>
            <w:tcBorders>
              <w:top w:val="single" w:sz="4" w:space="0" w:color="000000"/>
              <w:left w:val="nil" w:sz="6" w:space="0" w:color="auto"/>
              <w:right w:val="single" w:sz="4" w:space="0" w:color="000000"/>
            </w:tcBorders>
          </w:tcPr>
          <w:p>
            <w:pPr>
              <w:pStyle w:val="TableParagraph"/>
              <w:spacing w:line="240" w:lineRule="auto" w:before="174"/>
              <w:ind w:left="1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74"/>
              <w:ind w:left="28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42"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4" w:hRule="exact"/>
        </w:trPr>
        <w:tc>
          <w:tcPr>
            <w:tcW w:w="2283" w:type="dxa"/>
            <w:vMerge/>
            <w:tcBorders>
              <w:left w:val="nil" w:sz="6" w:space="0" w:color="auto"/>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428"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公司</w:t>
            </w:r>
            <w:r>
              <w:rPr>
                <w:rFonts w:ascii="宋体" w:hAnsi="宋体" w:cs="宋体" w:eastAsia="宋体" w:hint="default"/>
                <w:sz w:val="21"/>
                <w:szCs w:val="21"/>
              </w:rPr>
            </w:r>
          </w:p>
        </w:tc>
      </w:tr>
      <w:tr>
        <w:trPr>
          <w:trHeight w:val="323" w:hRule="exact"/>
        </w:trPr>
        <w:tc>
          <w:tcPr>
            <w:tcW w:w="2283"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一、营业收入</w:t>
            </w:r>
            <w:r>
              <w:rPr>
                <w:rFonts w:ascii="宋体" w:hAnsi="宋体" w:cs="宋体" w:eastAsia="宋体" w:hint="default"/>
                <w:sz w:val="21"/>
                <w:szCs w:val="21"/>
              </w:rPr>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78"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w:t>
            </w:r>
          </w:p>
        </w:tc>
        <w:tc>
          <w:tcPr>
            <w:tcW w:w="14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293,109,270.08</w:t>
            </w:r>
            <w:r>
              <w:rPr>
                <w:rFonts w:ascii="Arial Narrow"/>
                <w:sz w:val="21"/>
              </w:rPr>
            </w:r>
          </w:p>
        </w:tc>
        <w:tc>
          <w:tcPr>
            <w:tcW w:w="14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262,299,507.47</w:t>
            </w:r>
            <w:r>
              <w:rPr>
                <w:rFonts w:ascii="Arial Narrow"/>
                <w:sz w:val="21"/>
              </w:rPr>
            </w:r>
          </w:p>
        </w:tc>
        <w:tc>
          <w:tcPr>
            <w:tcW w:w="14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202,537,982.90</w:t>
            </w:r>
            <w:r>
              <w:rPr>
                <w:rFonts w:ascii="Arial Narrow"/>
                <w:sz w:val="21"/>
              </w:rPr>
            </w:r>
          </w:p>
        </w:tc>
        <w:tc>
          <w:tcPr>
            <w:tcW w:w="1428" w:type="dxa"/>
            <w:tcBorders>
              <w:top w:val="single" w:sz="4" w:space="0" w:color="000000"/>
              <w:left w:val="single" w:sz="4" w:space="0" w:color="000000"/>
              <w:bottom w:val="nil" w:sz="6" w:space="0" w:color="auto"/>
              <w:right w:val="nil" w:sz="6" w:space="0" w:color="auto"/>
            </w:tcBorders>
          </w:tcPr>
          <w:p>
            <w:pPr>
              <w:pStyle w:val="TableParagraph"/>
              <w:spacing w:line="240" w:lineRule="auto" w:before="33"/>
              <w:ind w:right="104"/>
              <w:jc w:val="right"/>
              <w:rPr>
                <w:rFonts w:ascii="Arial Narrow" w:hAnsi="Arial Narrow" w:cs="Arial Narrow" w:eastAsia="Arial Narrow" w:hint="default"/>
                <w:sz w:val="21"/>
                <w:szCs w:val="21"/>
              </w:rPr>
            </w:pPr>
            <w:r>
              <w:rPr>
                <w:rFonts w:ascii="Arial Narrow"/>
                <w:spacing w:val="-1"/>
                <w:sz w:val="21"/>
              </w:rPr>
              <w:t>176,192,811.43</w:t>
            </w:r>
            <w:r>
              <w:rPr>
                <w:rFonts w:ascii="Arial Narrow"/>
                <w:sz w:val="21"/>
              </w:rPr>
            </w: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78,394,991.50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64,585,381.78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64,205,977.99</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46,692,075.11</w:t>
            </w:r>
            <w:r>
              <w:rPr>
                <w:rFonts w:ascii="Arial Narrow"/>
                <w:sz w:val="21"/>
              </w:rPr>
            </w: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34</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6,755,387.93</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6,313,359.85</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4,269,328.86</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4"/>
              <w:jc w:val="right"/>
              <w:rPr>
                <w:rFonts w:ascii="Arial Narrow" w:hAnsi="Arial Narrow" w:cs="Arial Narrow" w:eastAsia="Arial Narrow" w:hint="default"/>
                <w:sz w:val="21"/>
                <w:szCs w:val="21"/>
              </w:rPr>
            </w:pPr>
            <w:r>
              <w:rPr>
                <w:rFonts w:ascii="Arial Narrow"/>
                <w:spacing w:val="-1"/>
                <w:sz w:val="21"/>
              </w:rPr>
              <w:t>4,170,682.81</w:t>
            </w:r>
            <w:r>
              <w:rPr>
                <w:rFonts w:ascii="Arial Narrow"/>
                <w:sz w:val="21"/>
              </w:rPr>
            </w: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35</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56,964,243.07</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54,681,102.98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34,823,370.90</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4"/>
              <w:jc w:val="right"/>
              <w:rPr>
                <w:rFonts w:ascii="Arial Narrow" w:hAnsi="Arial Narrow" w:cs="Arial Narrow" w:eastAsia="Arial Narrow" w:hint="default"/>
                <w:sz w:val="21"/>
                <w:szCs w:val="21"/>
              </w:rPr>
            </w:pPr>
            <w:r>
              <w:rPr>
                <w:rFonts w:ascii="Arial Narrow"/>
                <w:spacing w:val="-1"/>
                <w:sz w:val="21"/>
              </w:rPr>
              <w:t>31,594,990.52</w:t>
            </w:r>
            <w:r>
              <w:rPr>
                <w:rFonts w:ascii="Arial Narrow"/>
                <w:sz w:val="21"/>
              </w:rPr>
            </w: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36</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108,286,196.63</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100,561,567.04</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73,840,714.55</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4"/>
              <w:jc w:val="right"/>
              <w:rPr>
                <w:rFonts w:ascii="Arial Narrow" w:hAnsi="Arial Narrow" w:cs="Arial Narrow" w:eastAsia="Arial Narrow" w:hint="default"/>
                <w:sz w:val="21"/>
                <w:szCs w:val="21"/>
              </w:rPr>
            </w:pPr>
            <w:r>
              <w:rPr>
                <w:rFonts w:ascii="Arial Narrow"/>
                <w:spacing w:val="-1"/>
                <w:sz w:val="21"/>
              </w:rPr>
              <w:t>68,289,049.12</w:t>
            </w:r>
            <w:r>
              <w:rPr>
                <w:rFonts w:ascii="Arial Narrow"/>
                <w:sz w:val="21"/>
              </w:rPr>
            </w: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37</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-7,121,997.43</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-7,448,691.97</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-6,385,666.28</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4"/>
              <w:jc w:val="right"/>
              <w:rPr>
                <w:rFonts w:ascii="Arial Narrow" w:hAnsi="Arial Narrow" w:cs="Arial Narrow" w:eastAsia="Arial Narrow" w:hint="default"/>
                <w:sz w:val="21"/>
                <w:szCs w:val="21"/>
              </w:rPr>
            </w:pPr>
            <w:r>
              <w:rPr>
                <w:rFonts w:ascii="Arial Narrow"/>
                <w:spacing w:val="-1"/>
                <w:sz w:val="21"/>
              </w:rPr>
              <w:t>-6,462,242.42</w:t>
            </w:r>
            <w:r>
              <w:rPr>
                <w:rFonts w:ascii="Arial Narrow"/>
                <w:sz w:val="21"/>
              </w:rPr>
            </w: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38</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10,527,710.77</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10,166,741.27</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9,182,275.42</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4"/>
              <w:jc w:val="right"/>
              <w:rPr>
                <w:rFonts w:ascii="Arial Narrow" w:hAnsi="Arial Narrow" w:cs="Arial Narrow" w:eastAsia="Arial Narrow" w:hint="default"/>
                <w:sz w:val="21"/>
                <w:szCs w:val="21"/>
              </w:rPr>
            </w:pPr>
            <w:r>
              <w:rPr>
                <w:rFonts w:ascii="Arial Narrow"/>
                <w:spacing w:val="-1"/>
                <w:sz w:val="21"/>
              </w:rPr>
              <w:t>8,868,058.11</w:t>
            </w:r>
            <w:r>
              <w:rPr>
                <w:rFonts w:ascii="Arial Narrow"/>
                <w:sz w:val="21"/>
              </w:rPr>
            </w:r>
          </w:p>
        </w:tc>
      </w:tr>
      <w:tr>
        <w:trPr>
          <w:trHeight w:val="624"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w:t>
            </w:r>
          </w:p>
          <w:p>
            <w:pPr>
              <w:pStyle w:val="TableParagraph"/>
              <w:spacing w:line="240" w:lineRule="auto" w:before="37"/>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nil" w:sz="6" w:space="0" w:color="auto"/>
            </w:tcBorders>
          </w:tcPr>
          <w:p>
            <w:pPr/>
          </w:p>
        </w:tc>
      </w:tr>
      <w:tr>
        <w:trPr>
          <w:trHeight w:val="618"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72" w:lineRule="exact"/>
              <w:ind w:left="3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投资收益</w:t>
            </w:r>
            <w:r>
              <w:rPr>
                <w:rFonts w:ascii="Times New Roman" w:hAnsi="Times New Roman" w:cs="Times New Roman" w:eastAsia="Times New Roman" w:hint="default"/>
                <w:sz w:val="21"/>
                <w:szCs w:val="21"/>
              </w:rPr>
              <w:t>(</w:t>
            </w: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w:t>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39</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1,382,890.12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1,382,565.19</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5,513,912.14</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2,102,847.19</w:t>
            </w:r>
            <w:r>
              <w:rPr>
                <w:rFonts w:ascii="Arial Narrow"/>
                <w:sz w:val="21"/>
              </w:rPr>
            </w:r>
          </w:p>
        </w:tc>
      </w:tr>
      <w:tr>
        <w:trPr>
          <w:trHeight w:val="936"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61" w:lineRule="exact"/>
              <w:ind w:left="753" w:right="0"/>
              <w:jc w:val="left"/>
              <w:rPr>
                <w:rFonts w:ascii="宋体" w:hAnsi="宋体" w:cs="宋体" w:eastAsia="宋体" w:hint="default"/>
                <w:sz w:val="21"/>
                <w:szCs w:val="21"/>
              </w:rPr>
            </w:pPr>
            <w:r>
              <w:rPr>
                <w:rFonts w:ascii="宋体" w:hAnsi="宋体" w:cs="宋体" w:eastAsia="宋体" w:hint="default"/>
                <w:spacing w:val="-9"/>
                <w:sz w:val="21"/>
                <w:szCs w:val="21"/>
              </w:rPr>
              <w:t>其中：对联营企</w:t>
            </w:r>
          </w:p>
          <w:p>
            <w:pPr>
              <w:pStyle w:val="TableParagraph"/>
              <w:spacing w:line="273" w:lineRule="auto" w:before="37"/>
              <w:ind w:left="122" w:right="259"/>
              <w:jc w:val="left"/>
              <w:rPr>
                <w:rFonts w:ascii="宋体" w:hAnsi="宋体" w:cs="宋体" w:eastAsia="宋体" w:hint="default"/>
                <w:sz w:val="21"/>
                <w:szCs w:val="21"/>
              </w:rPr>
            </w:pPr>
            <w:r>
              <w:rPr>
                <w:rFonts w:ascii="宋体" w:hAnsi="宋体" w:cs="宋体" w:eastAsia="宋体" w:hint="default"/>
                <w:spacing w:val="-1"/>
                <w:sz w:val="21"/>
                <w:szCs w:val="21"/>
              </w:rPr>
              <w:t>业和合营企业的投资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收益</w:t>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1,382,565.19</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1,382,565.19</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2,079,789.43</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2,067,304.16</w:t>
            </w:r>
            <w:r>
              <w:rPr>
                <w:rFonts w:ascii="Arial Narrow"/>
                <w:sz w:val="21"/>
              </w:rPr>
            </w:r>
          </w:p>
        </w:tc>
      </w:tr>
      <w:tr>
        <w:trPr>
          <w:trHeight w:val="630"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7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二、营业利润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损失以</w:t>
            </w:r>
            <w:r>
              <w:rPr>
                <w:rFonts w:ascii="宋体" w:hAnsi="宋体" w:cs="宋体" w:eastAsia="宋体" w:hint="default"/>
                <w:sz w:val="21"/>
                <w:szCs w:val="21"/>
              </w:rPr>
            </w:r>
          </w:p>
          <w:p>
            <w:pPr>
              <w:pStyle w:val="TableParagraph"/>
              <w:spacing w:line="240" w:lineRule="auto" w:before="21"/>
              <w:ind w:left="1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40,685,627.73</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34,822,611.71</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28,115,893.60</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25,143,045.37</w:t>
            </w:r>
            <w:r>
              <w:rPr>
                <w:rFonts w:ascii="Arial Narrow"/>
                <w:sz w:val="21"/>
              </w:rPr>
            </w: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40</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13,642,757.11</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13,339,751.63</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20,503,951.58</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4"/>
              <w:jc w:val="right"/>
              <w:rPr>
                <w:rFonts w:ascii="Arial Narrow" w:hAnsi="Arial Narrow" w:cs="Arial Narrow" w:eastAsia="Arial Narrow" w:hint="default"/>
                <w:sz w:val="21"/>
                <w:szCs w:val="21"/>
              </w:rPr>
            </w:pPr>
            <w:r>
              <w:rPr>
                <w:rFonts w:ascii="Arial Narrow"/>
                <w:spacing w:val="-1"/>
                <w:sz w:val="21"/>
              </w:rPr>
              <w:t>20,433,238.82</w:t>
            </w:r>
            <w:r>
              <w:rPr>
                <w:rFonts w:ascii="Arial Narrow"/>
                <w:sz w:val="21"/>
              </w:rPr>
            </w: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41</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433,088.57</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421,232.44</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62,151.29</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3"/>
              <w:jc w:val="right"/>
              <w:rPr>
                <w:rFonts w:ascii="Arial Narrow" w:hAnsi="Arial Narrow" w:cs="Arial Narrow" w:eastAsia="Arial Narrow" w:hint="default"/>
                <w:sz w:val="21"/>
                <w:szCs w:val="21"/>
              </w:rPr>
            </w:pPr>
            <w:r>
              <w:rPr>
                <w:rFonts w:ascii="Arial Narrow"/>
                <w:spacing w:val="-1"/>
                <w:sz w:val="21"/>
              </w:rPr>
              <w:t>62,151.29</w:t>
            </w:r>
            <w:r>
              <w:rPr>
                <w:rFonts w:ascii="Arial Narrow"/>
                <w:sz w:val="21"/>
              </w:rPr>
            </w:r>
          </w:p>
        </w:tc>
      </w:tr>
      <w:tr>
        <w:trPr>
          <w:trHeight w:val="618"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753" w:right="0"/>
              <w:jc w:val="left"/>
              <w:rPr>
                <w:rFonts w:ascii="宋体" w:hAnsi="宋体" w:cs="宋体" w:eastAsia="宋体" w:hint="default"/>
                <w:sz w:val="21"/>
                <w:szCs w:val="21"/>
              </w:rPr>
            </w:pPr>
            <w:r>
              <w:rPr>
                <w:rFonts w:ascii="宋体" w:hAnsi="宋体" w:cs="宋体" w:eastAsia="宋体" w:hint="default"/>
                <w:spacing w:val="-9"/>
                <w:sz w:val="21"/>
                <w:szCs w:val="21"/>
              </w:rPr>
              <w:t>其中：非流动资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产处置损失</w:t>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423,261.20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418,216.93</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56,644.32</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56,644.32</w:t>
            </w:r>
            <w:r>
              <w:rPr>
                <w:rFonts w:ascii="Arial Narrow"/>
                <w:sz w:val="21"/>
              </w:rPr>
            </w:r>
          </w:p>
        </w:tc>
      </w:tr>
      <w:tr>
        <w:trPr>
          <w:trHeight w:val="630"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77"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三、利润总额</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损失以</w:t>
            </w:r>
            <w:r>
              <w:rPr>
                <w:rFonts w:ascii="宋体" w:hAnsi="宋体" w:cs="宋体" w:eastAsia="宋体" w:hint="default"/>
                <w:sz w:val="21"/>
                <w:szCs w:val="21"/>
              </w:rPr>
            </w:r>
          </w:p>
          <w:p>
            <w:pPr>
              <w:pStyle w:val="TableParagraph"/>
              <w:spacing w:line="240" w:lineRule="auto" w:before="21"/>
              <w:ind w:left="12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53,895,296.27</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47,741,130.90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48,557,693.89</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45,514,132.90</w:t>
            </w:r>
            <w:r>
              <w:rPr>
                <w:rFonts w:ascii="Arial Narrow"/>
                <w:sz w:val="21"/>
              </w:rPr>
            </w: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42</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6,621,880.83</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5,961,797.18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3,613,988.46</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4"/>
              <w:jc w:val="right"/>
              <w:rPr>
                <w:rFonts w:ascii="Arial Narrow" w:hAnsi="Arial Narrow" w:cs="Arial Narrow" w:eastAsia="Arial Narrow" w:hint="default"/>
                <w:sz w:val="21"/>
                <w:szCs w:val="21"/>
              </w:rPr>
            </w:pPr>
            <w:r>
              <w:rPr>
                <w:rFonts w:ascii="Arial Narrow"/>
                <w:spacing w:val="-1"/>
                <w:sz w:val="21"/>
              </w:rPr>
              <w:t>3,645,850.98</w:t>
            </w:r>
            <w:r>
              <w:rPr>
                <w:rFonts w:ascii="Arial Narrow"/>
                <w:sz w:val="21"/>
              </w:rPr>
            </w:r>
          </w:p>
        </w:tc>
      </w:tr>
      <w:tr>
        <w:trPr>
          <w:trHeight w:val="619"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四、净利润</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损失以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b/>
                <w:bCs/>
                <w:sz w:val="21"/>
                <w:szCs w:val="21"/>
              </w:rPr>
              <w:t>号填列）</w:t>
            </w:r>
            <w:r>
              <w:rPr>
                <w:rFonts w:ascii="宋体" w:hAnsi="宋体" w:cs="宋体" w:eastAsia="宋体" w:hint="default"/>
                <w:sz w:val="21"/>
                <w:szCs w:val="21"/>
              </w:rPr>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47,273,415.44</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41,779,333.72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44,943,705.43</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41,868,281.92</w:t>
            </w:r>
            <w:r>
              <w:rPr>
                <w:rFonts w:ascii="Arial Narrow"/>
                <w:sz w:val="21"/>
              </w:rPr>
            </w:r>
          </w:p>
        </w:tc>
      </w:tr>
      <w:tr>
        <w:trPr>
          <w:trHeight w:val="624"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73" w:lineRule="auto"/>
              <w:ind w:left="122" w:right="260"/>
              <w:jc w:val="left"/>
              <w:rPr>
                <w:rFonts w:ascii="宋体" w:hAnsi="宋体" w:cs="宋体" w:eastAsia="宋体" w:hint="default"/>
                <w:sz w:val="21"/>
                <w:szCs w:val="21"/>
              </w:rPr>
            </w:pPr>
            <w:r>
              <w:rPr>
                <w:rFonts w:ascii="宋体" w:hAnsi="宋体" w:cs="宋体" w:eastAsia="宋体" w:hint="default"/>
                <w:spacing w:val="-2"/>
                <w:sz w:val="21"/>
                <w:szCs w:val="21"/>
              </w:rPr>
              <w:t>归属于母公司股东的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净利润</w:t>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46,761,088.46</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41,779,333.72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45,074,544.68</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41,868,281.92</w:t>
            </w:r>
            <w:r>
              <w:rPr>
                <w:rFonts w:ascii="Arial Narrow"/>
                <w:sz w:val="21"/>
              </w:rPr>
            </w:r>
          </w:p>
        </w:tc>
      </w:tr>
      <w:tr>
        <w:trPr>
          <w:trHeight w:val="315"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512,326.98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-130,839.25</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
        </w:tc>
      </w:tr>
      <w:tr>
        <w:trPr>
          <w:trHeight w:val="309"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五、每股收益</w:t>
            </w:r>
            <w:r>
              <w:rPr>
                <w:rFonts w:ascii="宋体" w:hAnsi="宋体" w:cs="宋体" w:eastAsia="宋体" w:hint="default"/>
                <w:sz w:val="21"/>
                <w:szCs w:val="21"/>
              </w:rPr>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nil" w:sz="6" w:space="0" w:color="auto"/>
            </w:tcBorders>
          </w:tcPr>
          <w:p>
            <w:pPr/>
          </w:p>
        </w:tc>
      </w:tr>
      <w:tr>
        <w:trPr>
          <w:trHeight w:val="318"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20"/>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十三、</w:t>
            </w:r>
            <w:r>
              <w:rPr>
                <w:rFonts w:ascii="Times New Roman" w:hAnsi="Times New Roman" w:cs="Times New Roman" w:eastAsia="Times New Roman" w:hint="default"/>
                <w:spacing w:val="-1"/>
                <w:sz w:val="21"/>
                <w:szCs w:val="21"/>
              </w:rPr>
              <w:t>2</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Arial Narrow" w:hAnsi="Arial Narrow" w:cs="Arial Narrow" w:eastAsia="Arial Narrow" w:hint="default"/>
                <w:sz w:val="21"/>
                <w:szCs w:val="21"/>
              </w:rPr>
            </w:pPr>
            <w:r>
              <w:rPr>
                <w:rFonts w:ascii="Arial Narrow"/>
                <w:spacing w:val="-1"/>
                <w:sz w:val="21"/>
              </w:rPr>
              <w:t>0.390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1"/>
              <w:jc w:val="right"/>
              <w:rPr>
                <w:rFonts w:ascii="Arial Narrow" w:hAnsi="Arial Narrow" w:cs="Arial Narrow" w:eastAsia="Arial Narrow" w:hint="default"/>
                <w:sz w:val="21"/>
                <w:szCs w:val="21"/>
              </w:rPr>
            </w:pPr>
            <w:r>
              <w:rPr>
                <w:rFonts w:ascii="Arial Narrow"/>
                <w:spacing w:val="-1"/>
                <w:sz w:val="21"/>
              </w:rPr>
              <w:t>0.376</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
        </w:tc>
      </w:tr>
      <w:tr>
        <w:trPr>
          <w:trHeight w:val="306"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1428" w:type="dxa"/>
            <w:tcBorders>
              <w:top w:val="nil" w:sz="6" w:space="0" w:color="auto"/>
              <w:left w:val="single" w:sz="4" w:space="0" w:color="000000"/>
              <w:bottom w:val="nil" w:sz="6" w:space="0" w:color="auto"/>
              <w:right w:val="nil" w:sz="6" w:space="0" w:color="auto"/>
            </w:tcBorders>
          </w:tcPr>
          <w:p>
            <w:pPr/>
          </w:p>
        </w:tc>
      </w:tr>
      <w:tr>
        <w:trPr>
          <w:trHeight w:val="315"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六、其他综合收益</w:t>
            </w:r>
            <w:r>
              <w:rPr>
                <w:rFonts w:ascii="宋体" w:hAnsi="宋体" w:cs="宋体" w:eastAsia="宋体" w:hint="default"/>
                <w:sz w:val="21"/>
                <w:szCs w:val="21"/>
              </w:rPr>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77" w:lineRule="exact"/>
              <w:ind w:right="173"/>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44</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-68,434.96</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-885,627.51</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七、综合收益总额</w:t>
            </w:r>
            <w:r>
              <w:rPr>
                <w:rFonts w:ascii="宋体" w:hAnsi="宋体" w:cs="宋体" w:eastAsia="宋体" w:hint="default"/>
                <w:sz w:val="21"/>
                <w:szCs w:val="21"/>
              </w:rPr>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47,204,980.48</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41,779,333.72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Arial Narrow" w:hAnsi="Arial Narrow" w:cs="Arial Narrow" w:eastAsia="Arial Narrow" w:hint="default"/>
                <w:sz w:val="21"/>
                <w:szCs w:val="21"/>
              </w:rPr>
            </w:pPr>
            <w:r>
              <w:rPr>
                <w:rFonts w:ascii="Arial Narrow"/>
                <w:spacing w:val="-1"/>
                <w:sz w:val="21"/>
              </w:rPr>
              <w:t>44,058,077.92</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4"/>
              <w:jc w:val="right"/>
              <w:rPr>
                <w:rFonts w:ascii="Arial Narrow" w:hAnsi="Arial Narrow" w:cs="Arial Narrow" w:eastAsia="Arial Narrow" w:hint="default"/>
                <w:sz w:val="21"/>
                <w:szCs w:val="21"/>
              </w:rPr>
            </w:pPr>
            <w:r>
              <w:rPr>
                <w:rFonts w:ascii="Arial Narrow"/>
                <w:spacing w:val="-1"/>
                <w:sz w:val="21"/>
              </w:rPr>
              <w:t>41,868,281.92</w:t>
            </w:r>
            <w:r>
              <w:rPr>
                <w:rFonts w:ascii="Arial Narrow"/>
                <w:sz w:val="21"/>
              </w:rPr>
            </w:r>
          </w:p>
        </w:tc>
      </w:tr>
      <w:tr>
        <w:trPr>
          <w:trHeight w:val="621" w:hRule="exact"/>
        </w:trPr>
        <w:tc>
          <w:tcPr>
            <w:tcW w:w="2283"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归属于母公司股东的</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9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46,783,758.90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41,779,333.72</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44,188,917.17</w:t>
            </w:r>
            <w:r>
              <w:rPr>
                <w:rFonts w:ascii="Arial Narrow"/>
                <w:sz w:val="21"/>
              </w:rPr>
            </w:r>
          </w:p>
        </w:tc>
        <w:tc>
          <w:tcPr>
            <w:tcW w:w="1428"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41,868,281.92</w:t>
            </w:r>
            <w:r>
              <w:rPr>
                <w:rFonts w:ascii="Arial Narrow"/>
                <w:sz w:val="21"/>
              </w:rPr>
            </w:r>
          </w:p>
        </w:tc>
      </w:tr>
      <w:tr>
        <w:trPr>
          <w:trHeight w:val="628" w:hRule="exact"/>
        </w:trPr>
        <w:tc>
          <w:tcPr>
            <w:tcW w:w="2283" w:type="dxa"/>
            <w:tcBorders>
              <w:top w:val="nil" w:sz="6" w:space="0" w:color="auto"/>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归属于少数股东的综</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994" w:type="dxa"/>
            <w:tcBorders>
              <w:top w:val="nil" w:sz="6" w:space="0" w:color="auto"/>
              <w:left w:val="single" w:sz="4" w:space="0" w:color="000000"/>
              <w:bottom w:val="single" w:sz="4" w:space="0" w:color="000000"/>
              <w:right w:val="single" w:sz="4" w:space="0" w:color="000000"/>
            </w:tcBorders>
          </w:tcPr>
          <w:p>
            <w:pPr/>
          </w:p>
        </w:tc>
        <w:tc>
          <w:tcPr>
            <w:tcW w:w="14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421,221.58</w:t>
            </w:r>
            <w:r>
              <w:rPr>
                <w:rFonts w:ascii="Arial Narrow"/>
                <w:sz w:val="21"/>
              </w:rPr>
            </w:r>
          </w:p>
        </w:tc>
        <w:tc>
          <w:tcPr>
            <w:tcW w:w="1414" w:type="dxa"/>
            <w:tcBorders>
              <w:top w:val="nil" w:sz="6" w:space="0" w:color="auto"/>
              <w:left w:val="single" w:sz="4" w:space="0" w:color="000000"/>
              <w:bottom w:val="single" w:sz="4" w:space="0" w:color="000000"/>
              <w:right w:val="single" w:sz="4" w:space="0" w:color="000000"/>
            </w:tcBorders>
          </w:tcPr>
          <w:p>
            <w:pPr/>
          </w:p>
        </w:tc>
        <w:tc>
          <w:tcPr>
            <w:tcW w:w="14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-130,839.25</w:t>
            </w:r>
            <w:r>
              <w:rPr>
                <w:rFonts w:ascii="Arial Narrow"/>
                <w:sz w:val="21"/>
              </w:rPr>
            </w:r>
          </w:p>
        </w:tc>
        <w:tc>
          <w:tcPr>
            <w:tcW w:w="1428" w:type="dxa"/>
            <w:tcBorders>
              <w:top w:val="nil" w:sz="6" w:space="0" w:color="auto"/>
              <w:left w:val="single" w:sz="4" w:space="0" w:color="000000"/>
              <w:bottom w:val="single" w:sz="4" w:space="0" w:color="000000"/>
              <w:right w:val="nil" w:sz="6" w:space="0" w:color="auto"/>
            </w:tcBorders>
          </w:tcPr>
          <w:p>
            <w:pPr/>
          </w:p>
        </w:tc>
      </w:tr>
    </w:tbl>
    <w:p>
      <w:pPr>
        <w:spacing w:after="0"/>
        <w:sectPr>
          <w:pgSz w:w="11910" w:h="16840"/>
          <w:pgMar w:header="884" w:footer="1173" w:top="1160" w:bottom="1360" w:left="124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5"/>
        <w:spacing w:line="240" w:lineRule="auto" w:before="26"/>
        <w:ind w:left="3215" w:right="3455"/>
        <w:jc w:val="center"/>
        <w:rPr>
          <w:b w:val="0"/>
          <w:bCs w:val="0"/>
        </w:rPr>
      </w:pPr>
      <w:r>
        <w:rPr/>
        <w:t>合并及公司现金流量表</w:t>
      </w:r>
      <w:r>
        <w:rPr>
          <w:b w:val="0"/>
          <w:bCs w:val="0"/>
        </w:rPr>
      </w:r>
    </w:p>
    <w:p>
      <w:pPr>
        <w:spacing w:before="102"/>
        <w:ind w:left="3218" w:right="3455"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7790" w:val="left" w:leader="none"/>
        </w:tabs>
        <w:spacing w:before="21"/>
        <w:ind w:left="238"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4"/>
          <w:sz w:val="21"/>
          <w:szCs w:val="21"/>
        </w:rPr>
        <w:t>单位：人民币元</w:t>
      </w:r>
    </w:p>
    <w:p>
      <w:pPr>
        <w:spacing w:line="240" w:lineRule="auto" w:before="10"/>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2280"/>
        <w:gridCol w:w="915"/>
        <w:gridCol w:w="1462"/>
        <w:gridCol w:w="1472"/>
        <w:gridCol w:w="1570"/>
        <w:gridCol w:w="1529"/>
      </w:tblGrid>
      <w:tr>
        <w:trPr>
          <w:trHeight w:val="322" w:hRule="exact"/>
        </w:trPr>
        <w:tc>
          <w:tcPr>
            <w:tcW w:w="2280" w:type="dxa"/>
            <w:vMerge w:val="restart"/>
            <w:tcBorders>
              <w:top w:val="single" w:sz="4" w:space="0" w:color="000000"/>
              <w:left w:val="nil" w:sz="6" w:space="0" w:color="auto"/>
              <w:right w:val="single" w:sz="4" w:space="0" w:color="000000"/>
            </w:tcBorders>
          </w:tcPr>
          <w:p>
            <w:pPr>
              <w:pStyle w:val="TableParagraph"/>
              <w:spacing w:line="240" w:lineRule="auto" w:before="148"/>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15" w:type="dxa"/>
            <w:vMerge w:val="restart"/>
            <w:tcBorders>
              <w:top w:val="single" w:sz="4" w:space="0" w:color="000000"/>
              <w:left w:val="single" w:sz="4" w:space="0" w:color="000000"/>
              <w:right w:val="single" w:sz="4" w:space="0" w:color="000000"/>
            </w:tcBorders>
          </w:tcPr>
          <w:p>
            <w:pPr>
              <w:pStyle w:val="TableParagraph"/>
              <w:spacing w:line="240" w:lineRule="auto" w:before="148"/>
              <w:ind w:left="24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3099" w:type="dxa"/>
            <w:gridSpan w:val="2"/>
            <w:tcBorders>
              <w:top w:val="single" w:sz="4" w:space="0" w:color="000000"/>
              <w:left w:val="single" w:sz="4" w:space="0" w:color="000000"/>
              <w:bottom w:val="single" w:sz="4" w:space="0" w:color="000000"/>
              <w:right w:val="nil" w:sz="6" w:space="0" w:color="auto"/>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2" w:hRule="exact"/>
        </w:trPr>
        <w:tc>
          <w:tcPr>
            <w:tcW w:w="2280" w:type="dxa"/>
            <w:vMerge/>
            <w:tcBorders>
              <w:left w:val="nil" w:sz="6" w:space="0" w:color="auto"/>
              <w:bottom w:val="single" w:sz="4" w:space="0" w:color="000000"/>
              <w:right w:val="single" w:sz="4" w:space="0" w:color="000000"/>
            </w:tcBorders>
          </w:tcPr>
          <w:p>
            <w:pPr/>
          </w:p>
        </w:tc>
        <w:tc>
          <w:tcPr>
            <w:tcW w:w="915"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合并</w:t>
            </w:r>
            <w:r>
              <w:rPr>
                <w:rFonts w:ascii="宋体" w:hAnsi="宋体" w:cs="宋体" w:eastAsia="宋体" w:hint="default"/>
                <w:sz w:val="21"/>
                <w:szCs w:val="21"/>
              </w:rPr>
            </w:r>
          </w:p>
        </w:tc>
        <w:tc>
          <w:tcPr>
            <w:tcW w:w="1529"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right="10"/>
              <w:jc w:val="center"/>
              <w:rPr>
                <w:rFonts w:ascii="宋体" w:hAnsi="宋体" w:cs="宋体" w:eastAsia="宋体" w:hint="default"/>
                <w:sz w:val="21"/>
                <w:szCs w:val="21"/>
              </w:rPr>
            </w:pPr>
            <w:r>
              <w:rPr>
                <w:rFonts w:ascii="宋体" w:hAnsi="宋体" w:cs="宋体" w:eastAsia="宋体" w:hint="default"/>
                <w:b/>
                <w:bCs/>
                <w:sz w:val="21"/>
                <w:szCs w:val="21"/>
              </w:rPr>
              <w:t>公司</w:t>
            </w:r>
            <w:r>
              <w:rPr>
                <w:rFonts w:ascii="宋体" w:hAnsi="宋体" w:cs="宋体" w:eastAsia="宋体" w:hint="default"/>
                <w:sz w:val="21"/>
                <w:szCs w:val="21"/>
              </w:rPr>
            </w:r>
          </w:p>
        </w:tc>
      </w:tr>
      <w:tr>
        <w:trPr>
          <w:trHeight w:val="630" w:hRule="exact"/>
        </w:trPr>
        <w:tc>
          <w:tcPr>
            <w:tcW w:w="2280" w:type="dxa"/>
            <w:tcBorders>
              <w:top w:val="single" w:sz="4" w:space="0" w:color="000000"/>
              <w:left w:val="nil" w:sz="6" w:space="0" w:color="auto"/>
              <w:bottom w:val="nil" w:sz="6" w:space="0" w:color="auto"/>
              <w:right w:val="single" w:sz="4" w:space="0" w:color="000000"/>
            </w:tcBorders>
          </w:tcPr>
          <w:p>
            <w:pPr>
              <w:pStyle w:val="TableParagraph"/>
              <w:spacing w:line="273" w:lineRule="auto"/>
              <w:ind w:left="108" w:right="98"/>
              <w:jc w:val="left"/>
              <w:rPr>
                <w:rFonts w:ascii="宋体" w:hAnsi="宋体" w:cs="宋体" w:eastAsia="宋体" w:hint="default"/>
                <w:sz w:val="21"/>
                <w:szCs w:val="21"/>
              </w:rPr>
            </w:pPr>
            <w:r>
              <w:rPr>
                <w:rFonts w:ascii="宋体" w:hAnsi="宋体" w:cs="宋体" w:eastAsia="宋体" w:hint="default"/>
                <w:b/>
                <w:bCs/>
                <w:spacing w:val="-5"/>
                <w:sz w:val="21"/>
                <w:szCs w:val="21"/>
              </w:rPr>
              <w:t>一、经营活动产生的现</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金流量：</w:t>
            </w:r>
            <w:r>
              <w:rPr>
                <w:rFonts w:ascii="宋体" w:hAnsi="宋体" w:cs="宋体" w:eastAsia="宋体" w:hint="default"/>
                <w:sz w:val="21"/>
                <w:szCs w:val="21"/>
              </w:rPr>
            </w:r>
          </w:p>
        </w:tc>
        <w:tc>
          <w:tcPr>
            <w:tcW w:w="915" w:type="dxa"/>
            <w:tcBorders>
              <w:top w:val="single" w:sz="4" w:space="0" w:color="000000"/>
              <w:left w:val="single" w:sz="4" w:space="0" w:color="000000"/>
              <w:bottom w:val="nil" w:sz="6" w:space="0" w:color="auto"/>
              <w:right w:val="single" w:sz="4" w:space="0" w:color="000000"/>
            </w:tcBorders>
          </w:tcPr>
          <w:p>
            <w:pPr/>
          </w:p>
        </w:tc>
        <w:tc>
          <w:tcPr>
            <w:tcW w:w="1462" w:type="dxa"/>
            <w:tcBorders>
              <w:top w:val="single" w:sz="4" w:space="0" w:color="000000"/>
              <w:left w:val="single" w:sz="4" w:space="0" w:color="000000"/>
              <w:bottom w:val="nil" w:sz="6" w:space="0" w:color="auto"/>
              <w:right w:val="single" w:sz="4" w:space="0" w:color="000000"/>
            </w:tcBorders>
          </w:tcPr>
          <w:p>
            <w:pPr/>
          </w:p>
        </w:tc>
        <w:tc>
          <w:tcPr>
            <w:tcW w:w="1472" w:type="dxa"/>
            <w:tcBorders>
              <w:top w:val="single" w:sz="4" w:space="0" w:color="000000"/>
              <w:left w:val="single" w:sz="4" w:space="0" w:color="000000"/>
              <w:bottom w:val="nil" w:sz="6" w:space="0" w:color="auto"/>
              <w:right w:val="single" w:sz="4" w:space="0" w:color="000000"/>
            </w:tcBorders>
          </w:tcPr>
          <w:p>
            <w:pPr/>
          </w:p>
        </w:tc>
        <w:tc>
          <w:tcPr>
            <w:tcW w:w="1570" w:type="dxa"/>
            <w:tcBorders>
              <w:top w:val="single" w:sz="4" w:space="0" w:color="000000"/>
              <w:left w:val="single" w:sz="4" w:space="0" w:color="000000"/>
              <w:bottom w:val="nil" w:sz="6" w:space="0" w:color="auto"/>
              <w:right w:val="single" w:sz="4" w:space="0" w:color="000000"/>
            </w:tcBorders>
          </w:tcPr>
          <w:p>
            <w:pPr/>
          </w:p>
        </w:tc>
        <w:tc>
          <w:tcPr>
            <w:tcW w:w="1529" w:type="dxa"/>
            <w:tcBorders>
              <w:top w:val="single" w:sz="4" w:space="0" w:color="000000"/>
              <w:left w:val="single" w:sz="4" w:space="0" w:color="000000"/>
              <w:bottom w:val="nil" w:sz="6" w:space="0" w:color="auto"/>
              <w:right w:val="nil" w:sz="6" w:space="0" w:color="auto"/>
            </w:tcBorders>
          </w:tcPr>
          <w:p>
            <w:pPr/>
          </w:p>
        </w:tc>
      </w:tr>
      <w:tr>
        <w:trPr>
          <w:trHeight w:val="624"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销售商品、提供劳务收</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234,068,702.64</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212,716,741.11</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202,851,832.01</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166,870,291.40</w:t>
            </w:r>
            <w:r>
              <w:rPr>
                <w:rFonts w:ascii="Arial Narrow"/>
                <w:sz w:val="21"/>
              </w:rPr>
            </w:r>
          </w:p>
        </w:tc>
      </w:tr>
      <w:tr>
        <w:trPr>
          <w:trHeight w:val="316"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8,832,330.18</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1"/>
              <w:jc w:val="right"/>
              <w:rPr>
                <w:rFonts w:ascii="Arial Narrow" w:hAnsi="Arial Narrow" w:cs="Arial Narrow" w:eastAsia="Arial Narrow" w:hint="default"/>
                <w:sz w:val="21"/>
                <w:szCs w:val="21"/>
              </w:rPr>
            </w:pPr>
            <w:r>
              <w:rPr>
                <w:rFonts w:ascii="Arial Narrow"/>
                <w:spacing w:val="-1"/>
                <w:sz w:val="21"/>
              </w:rPr>
              <w:t>8,832,330.18</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02"/>
              <w:jc w:val="right"/>
              <w:rPr>
                <w:rFonts w:ascii="Arial Narrow" w:hAnsi="Arial Narrow" w:cs="Arial Narrow" w:eastAsia="Arial Narrow" w:hint="default"/>
                <w:sz w:val="21"/>
                <w:szCs w:val="21"/>
              </w:rPr>
            </w:pPr>
            <w:r>
              <w:rPr>
                <w:rFonts w:ascii="Arial Narrow"/>
                <w:spacing w:val="-1"/>
                <w:sz w:val="21"/>
              </w:rPr>
              <w:t>9,748,498.48</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9,748,498.48</w:t>
            </w:r>
            <w:r>
              <w:rPr>
                <w:rFonts w:ascii="Arial Narrow"/>
                <w:sz w:val="21"/>
              </w:rPr>
            </w:r>
          </w:p>
        </w:tc>
      </w:tr>
      <w:tr>
        <w:trPr>
          <w:trHeight w:val="621"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10,132,488.35</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9,511,302.60</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10,745,916.62</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10,134,775.86</w:t>
            </w:r>
            <w:r>
              <w:rPr>
                <w:rFonts w:ascii="Arial Narrow"/>
                <w:sz w:val="21"/>
              </w:rPr>
            </w:r>
          </w:p>
        </w:tc>
      </w:tr>
      <w:tr>
        <w:trPr>
          <w:trHeight w:val="624"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经营活动现金流入小</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253,033,521.17</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231,060,373.89</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223,346,247.11</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186,753,565.74</w:t>
            </w:r>
            <w:r>
              <w:rPr>
                <w:rFonts w:ascii="Arial Narrow"/>
                <w:sz w:val="21"/>
              </w:rPr>
            </w:r>
          </w:p>
        </w:tc>
      </w:tr>
      <w:tr>
        <w:trPr>
          <w:trHeight w:val="624"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购买商品、接受劳务支</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61,770,222.92</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54,451,289.38</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57,986,891.63</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39,949,170.81</w:t>
            </w:r>
            <w:r>
              <w:rPr>
                <w:rFonts w:ascii="Arial Narrow"/>
                <w:sz w:val="21"/>
              </w:rPr>
            </w:r>
          </w:p>
        </w:tc>
      </w:tr>
      <w:tr>
        <w:trPr>
          <w:trHeight w:val="624"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106,885,294.60</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94,974,385.76</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80,668,246.48</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75,715,411.29</w:t>
            </w:r>
            <w:r>
              <w:rPr>
                <w:rFonts w:ascii="Arial Narrow"/>
                <w:sz w:val="21"/>
              </w:rPr>
            </w:r>
          </w:p>
        </w:tc>
      </w:tr>
      <w:tr>
        <w:trPr>
          <w:trHeight w:val="315"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21,518,874.82</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Arial Narrow" w:hAnsi="Arial Narrow" w:cs="Arial Narrow" w:eastAsia="Arial Narrow" w:hint="default"/>
                <w:sz w:val="21"/>
                <w:szCs w:val="21"/>
              </w:rPr>
            </w:pPr>
            <w:r>
              <w:rPr>
                <w:rFonts w:ascii="Arial Narrow"/>
                <w:spacing w:val="-1"/>
                <w:sz w:val="21"/>
              </w:rPr>
              <w:t>20,030,266.75</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Arial Narrow" w:hAnsi="Arial Narrow" w:cs="Arial Narrow" w:eastAsia="Arial Narrow" w:hint="default"/>
                <w:sz w:val="21"/>
                <w:szCs w:val="21"/>
              </w:rPr>
            </w:pPr>
            <w:r>
              <w:rPr>
                <w:rFonts w:ascii="Arial Narrow"/>
                <w:spacing w:val="-1"/>
                <w:sz w:val="21"/>
              </w:rPr>
              <w:t>16,014,957.36</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6"/>
              <w:jc w:val="right"/>
              <w:rPr>
                <w:rFonts w:ascii="Arial Narrow" w:hAnsi="Arial Narrow" w:cs="Arial Narrow" w:eastAsia="Arial Narrow" w:hint="default"/>
                <w:sz w:val="21"/>
                <w:szCs w:val="21"/>
              </w:rPr>
            </w:pPr>
            <w:r>
              <w:rPr>
                <w:rFonts w:ascii="Arial Narrow"/>
                <w:spacing w:val="-1"/>
                <w:sz w:val="21"/>
              </w:rPr>
              <w:t>15,812,252.66</w:t>
            </w:r>
            <w:r>
              <w:rPr>
                <w:rFonts w:ascii="Arial Narrow"/>
                <w:sz w:val="21"/>
              </w:rPr>
            </w:r>
          </w:p>
        </w:tc>
      </w:tr>
      <w:tr>
        <w:trPr>
          <w:trHeight w:val="621"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62,016,375.11</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58,889,289.18</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41,700,758.26</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35,433,631.90</w:t>
            </w:r>
            <w:r>
              <w:rPr>
                <w:rFonts w:ascii="Arial Narrow"/>
                <w:sz w:val="21"/>
              </w:rPr>
            </w:r>
          </w:p>
        </w:tc>
      </w:tr>
      <w:tr>
        <w:trPr>
          <w:trHeight w:val="624"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经营活动现金流出小</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252,190,767.45</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228,345,231.07</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196,370,853.73</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166,910,466.66</w:t>
            </w:r>
            <w:r>
              <w:rPr>
                <w:rFonts w:ascii="Arial Narrow"/>
                <w:sz w:val="21"/>
              </w:rPr>
            </w:r>
          </w:p>
        </w:tc>
      </w:tr>
      <w:tr>
        <w:trPr>
          <w:trHeight w:val="624"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w:t>
            </w:r>
            <w:r>
              <w:rPr>
                <w:rFonts w:ascii="宋体" w:hAnsi="宋体" w:cs="宋体" w:eastAsia="宋体" w:hint="default"/>
                <w:sz w:val="21"/>
                <w:szCs w:val="21"/>
              </w:rPr>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b/>
                <w:bCs/>
                <w:sz w:val="21"/>
                <w:szCs w:val="21"/>
              </w:rPr>
              <w:t>流量净额</w:t>
            </w:r>
            <w:r>
              <w:rPr>
                <w:rFonts w:ascii="宋体" w:hAnsi="宋体" w:cs="宋体" w:eastAsia="宋体" w:hint="default"/>
                <w:sz w:val="21"/>
                <w:szCs w:val="21"/>
              </w:rPr>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b/>
                <w:spacing w:val="-1"/>
                <w:sz w:val="21"/>
              </w:rPr>
              <w:t>842,753.72</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2,715,142.82</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26,975,393.38</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b/>
                <w:spacing w:val="-1"/>
                <w:sz w:val="21"/>
              </w:rPr>
              <w:t>19,843,099.08</w:t>
            </w:r>
            <w:r>
              <w:rPr>
                <w:rFonts w:ascii="Arial Narrow"/>
                <w:sz w:val="21"/>
              </w:rPr>
            </w:r>
          </w:p>
        </w:tc>
      </w:tr>
      <w:tr>
        <w:trPr>
          <w:trHeight w:val="624"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b/>
                <w:bCs/>
                <w:spacing w:val="-5"/>
                <w:sz w:val="21"/>
                <w:szCs w:val="21"/>
              </w:rPr>
              <w:t>二、投资活动产生的现</w:t>
            </w:r>
            <w:r>
              <w:rPr>
                <w:rFonts w:ascii="宋体" w:hAnsi="宋体" w:cs="宋体" w:eastAsia="宋体" w:hint="default"/>
                <w:spacing w:val="-5"/>
                <w:sz w:val="21"/>
                <w:szCs w:val="21"/>
              </w:rPr>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b/>
                <w:bCs/>
                <w:sz w:val="21"/>
                <w:szCs w:val="21"/>
              </w:rPr>
              <w:t>金流量：</w:t>
            </w:r>
            <w:r>
              <w:rPr>
                <w:rFonts w:ascii="宋体" w:hAnsi="宋体" w:cs="宋体" w:eastAsia="宋体" w:hint="default"/>
                <w:sz w:val="21"/>
                <w:szCs w:val="21"/>
              </w:rPr>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315"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621"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58" w:lineRule="exact"/>
              <w:ind w:left="108"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1248"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73" w:lineRule="auto"/>
              <w:ind w:left="108" w:right="98"/>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产和其他长期资产收</w:t>
            </w:r>
            <w:r>
              <w:rPr>
                <w:rFonts w:ascii="宋体" w:hAnsi="宋体" w:cs="宋体" w:eastAsia="宋体" w:hint="default"/>
                <w:w w:val="100"/>
                <w:sz w:val="21"/>
                <w:szCs w:val="21"/>
              </w:rPr>
              <w:t> </w:t>
            </w:r>
            <w:r>
              <w:rPr>
                <w:rFonts w:ascii="宋体" w:hAnsi="宋体" w:cs="宋体" w:eastAsia="宋体" w:hint="default"/>
                <w:sz w:val="21"/>
                <w:szCs w:val="21"/>
              </w:rPr>
              <w:t>回的</w:t>
            </w:r>
          </w:p>
          <w:p>
            <w:pPr>
              <w:pStyle w:val="TableParagraph"/>
              <w:spacing w:line="240" w:lineRule="auto" w:before="7"/>
              <w:ind w:left="108"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185,997.00</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185,997.00</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143,175.00</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143,175.00</w:t>
            </w:r>
            <w:r>
              <w:rPr>
                <w:rFonts w:ascii="Arial Narrow"/>
                <w:sz w:val="21"/>
              </w:rPr>
            </w:r>
          </w:p>
        </w:tc>
      </w:tr>
      <w:tr>
        <w:trPr>
          <w:trHeight w:val="936"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3" w:lineRule="auto" w:before="37"/>
              <w:ind w:left="108" w:right="271"/>
              <w:jc w:val="left"/>
              <w:rPr>
                <w:rFonts w:ascii="宋体" w:hAnsi="宋体" w:cs="宋体" w:eastAsia="宋体" w:hint="default"/>
                <w:sz w:val="21"/>
                <w:szCs w:val="21"/>
              </w:rPr>
            </w:pPr>
            <w:r>
              <w:rPr>
                <w:rFonts w:ascii="宋体" w:hAnsi="宋体" w:cs="宋体" w:eastAsia="宋体" w:hint="default"/>
                <w:spacing w:val="-1"/>
                <w:sz w:val="21"/>
                <w:szCs w:val="21"/>
              </w:rPr>
              <w:t>业单位收到的现金净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额</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624"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7,741,819.41</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7,689,341.20</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1,163,468.23</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1,145,877.90</w:t>
            </w:r>
            <w:r>
              <w:rPr>
                <w:rFonts w:ascii="Arial Narrow"/>
                <w:sz w:val="21"/>
              </w:rPr>
            </w:r>
          </w:p>
        </w:tc>
      </w:tr>
      <w:tr>
        <w:trPr>
          <w:trHeight w:val="624"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投资活动现金流入小</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7,927,816.41</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7,875,338.20</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1,306,643.23</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1,289,052.90</w:t>
            </w:r>
            <w:r>
              <w:rPr>
                <w:rFonts w:ascii="Arial Narrow"/>
                <w:sz w:val="21"/>
              </w:rPr>
            </w:r>
          </w:p>
        </w:tc>
      </w:tr>
      <w:tr>
        <w:trPr>
          <w:trHeight w:val="623" w:hRule="exact"/>
        </w:trPr>
        <w:tc>
          <w:tcPr>
            <w:tcW w:w="2280" w:type="dxa"/>
            <w:tcBorders>
              <w:top w:val="nil" w:sz="6" w:space="0" w:color="auto"/>
              <w:left w:val="nil" w:sz="6" w:space="0" w:color="auto"/>
              <w:bottom w:val="nil" w:sz="6" w:space="0" w:color="auto"/>
              <w:right w:val="single" w:sz="4" w:space="0" w:color="000000"/>
            </w:tcBorders>
          </w:tcPr>
          <w:p>
            <w:pPr>
              <w:pStyle w:val="TableParagraph"/>
              <w:spacing w:line="262" w:lineRule="exact"/>
              <w:ind w:left="108" w:right="0"/>
              <w:jc w:val="left"/>
              <w:rPr>
                <w:rFonts w:ascii="宋体" w:hAnsi="宋体" w:cs="宋体" w:eastAsia="宋体" w:hint="default"/>
                <w:sz w:val="21"/>
                <w:szCs w:val="21"/>
              </w:rPr>
            </w:pPr>
            <w:r>
              <w:rPr>
                <w:rFonts w:ascii="宋体" w:hAnsi="宋体" w:cs="宋体" w:eastAsia="宋体" w:hint="default"/>
                <w:spacing w:val="-5"/>
                <w:sz w:val="21"/>
                <w:szCs w:val="21"/>
              </w:rPr>
              <w:t>购置固定资产、无形资</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产和其他长期资产支</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14,080,353.76</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8,600,546.17</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29,075,405.16</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28,847,105.30</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1173" w:top="1160" w:bottom="1360" w:left="1240" w:right="1200"/>
        </w:sectPr>
      </w:pPr>
    </w:p>
    <w:p>
      <w:pPr>
        <w:spacing w:line="240" w:lineRule="auto" w:before="9"/>
        <w:rPr>
          <w:rFonts w:ascii="Times New Roman" w:hAnsi="Times New Roman" w:cs="Times New Roman" w:eastAsia="Times New Roman"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2294"/>
        <w:gridCol w:w="915"/>
        <w:gridCol w:w="1462"/>
        <w:gridCol w:w="1472"/>
        <w:gridCol w:w="1570"/>
        <w:gridCol w:w="1529"/>
      </w:tblGrid>
      <w:tr>
        <w:trPr>
          <w:trHeight w:val="313"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315"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933"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3" w:lineRule="auto" w:before="37"/>
              <w:ind w:left="122" w:right="271"/>
              <w:jc w:val="left"/>
              <w:rPr>
                <w:rFonts w:ascii="宋体" w:hAnsi="宋体" w:cs="宋体" w:eastAsia="宋体" w:hint="default"/>
                <w:sz w:val="21"/>
                <w:szCs w:val="21"/>
              </w:rPr>
            </w:pPr>
            <w:r>
              <w:rPr>
                <w:rFonts w:ascii="宋体" w:hAnsi="宋体" w:cs="宋体" w:eastAsia="宋体" w:hint="default"/>
                <w:spacing w:val="-1"/>
                <w:sz w:val="21"/>
                <w:szCs w:val="21"/>
              </w:rPr>
              <w:t>业单位支付的现金净</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额</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4,654,763.14</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17,090,761.78</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投资活动现金流出小</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14,080,353.76</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8,600,546.17</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33,730,168.30</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45,937,867.08</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b/>
                <w:bCs/>
                <w:sz w:val="21"/>
                <w:szCs w:val="21"/>
              </w:rPr>
              <w:t>流量净额</w:t>
            </w:r>
            <w:r>
              <w:rPr>
                <w:rFonts w:ascii="宋体" w:hAnsi="宋体" w:cs="宋体" w:eastAsia="宋体" w:hint="default"/>
                <w:sz w:val="21"/>
                <w:szCs w:val="21"/>
              </w:rPr>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b/>
                <w:spacing w:val="-1"/>
                <w:sz w:val="21"/>
              </w:rPr>
              <w:t>-6,152,537.35</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-725,207.97</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-32,423,525.07</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b/>
                <w:spacing w:val="-1"/>
                <w:sz w:val="21"/>
              </w:rPr>
              <w:t>-44,648,814.18</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73" w:lineRule="auto"/>
              <w:ind w:left="122" w:right="98"/>
              <w:jc w:val="left"/>
              <w:rPr>
                <w:rFonts w:ascii="宋体" w:hAnsi="宋体" w:cs="宋体" w:eastAsia="宋体" w:hint="default"/>
                <w:sz w:val="21"/>
                <w:szCs w:val="21"/>
              </w:rPr>
            </w:pPr>
            <w:r>
              <w:rPr>
                <w:rFonts w:ascii="宋体" w:hAnsi="宋体" w:cs="宋体" w:eastAsia="宋体" w:hint="default"/>
                <w:b/>
                <w:bCs/>
                <w:spacing w:val="-5"/>
                <w:sz w:val="21"/>
                <w:szCs w:val="21"/>
              </w:rPr>
              <w:t>三、筹资活动产生的现</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金流量：</w:t>
            </w:r>
            <w:r>
              <w:rPr>
                <w:rFonts w:ascii="宋体" w:hAnsi="宋体" w:cs="宋体" w:eastAsia="宋体" w:hint="default"/>
                <w:sz w:val="21"/>
                <w:szCs w:val="21"/>
              </w:rPr>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315"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933"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其中：子公司吸收少数</w:t>
            </w:r>
          </w:p>
          <w:p>
            <w:pPr>
              <w:pStyle w:val="TableParagraph"/>
              <w:spacing w:line="273" w:lineRule="auto" w:before="37"/>
              <w:ind w:left="122" w:right="271"/>
              <w:jc w:val="left"/>
              <w:rPr>
                <w:rFonts w:ascii="宋体" w:hAnsi="宋体" w:cs="宋体" w:eastAsia="宋体" w:hint="default"/>
                <w:sz w:val="21"/>
                <w:szCs w:val="21"/>
              </w:rPr>
            </w:pPr>
            <w:r>
              <w:rPr>
                <w:rFonts w:ascii="宋体" w:hAnsi="宋体" w:cs="宋体" w:eastAsia="宋体" w:hint="default"/>
                <w:spacing w:val="-1"/>
                <w:sz w:val="21"/>
                <w:szCs w:val="21"/>
              </w:rPr>
              <w:t>股东权益性投资收到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315"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18,880,000.00</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312"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621"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275,700.00</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275,700.00</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260,900.00</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260,900.00</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筹资活动现金流入小</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19,155,700.00</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275,700.00</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260,900.00</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260,900.00</w:t>
            </w:r>
            <w:r>
              <w:rPr>
                <w:rFonts w:ascii="Arial Narrow"/>
                <w:sz w:val="21"/>
              </w:rPr>
            </w:r>
          </w:p>
        </w:tc>
      </w:tr>
      <w:tr>
        <w:trPr>
          <w:trHeight w:val="315"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99"/>
              <w:jc w:val="right"/>
              <w:rPr>
                <w:rFonts w:ascii="Arial Narrow" w:hAnsi="Arial Narrow" w:cs="Arial Narrow" w:eastAsia="Arial Narrow" w:hint="default"/>
                <w:sz w:val="21"/>
                <w:szCs w:val="21"/>
              </w:rPr>
            </w:pPr>
            <w:r>
              <w:rPr>
                <w:rFonts w:ascii="Arial Narrow"/>
                <w:spacing w:val="-1"/>
                <w:sz w:val="21"/>
              </w:rPr>
              <w:t>12,335,360.00</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02"/>
              <w:jc w:val="right"/>
              <w:rPr>
                <w:rFonts w:ascii="Arial Narrow" w:hAnsi="Arial Narrow" w:cs="Arial Narrow" w:eastAsia="Arial Narrow" w:hint="default"/>
                <w:sz w:val="21"/>
                <w:szCs w:val="21"/>
              </w:rPr>
            </w:pPr>
            <w:r>
              <w:rPr>
                <w:rFonts w:ascii="Arial Narrow"/>
                <w:spacing w:val="-1"/>
                <w:sz w:val="21"/>
              </w:rPr>
              <w:t>14,193,388.55</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32"/>
              <w:ind w:right="106"/>
              <w:jc w:val="right"/>
              <w:rPr>
                <w:rFonts w:ascii="Arial Narrow" w:hAnsi="Arial Narrow" w:cs="Arial Narrow" w:eastAsia="Arial Narrow" w:hint="default"/>
                <w:sz w:val="21"/>
                <w:szCs w:val="21"/>
              </w:rPr>
            </w:pPr>
            <w:r>
              <w:rPr>
                <w:rFonts w:ascii="Arial Narrow"/>
                <w:spacing w:val="-1"/>
                <w:sz w:val="21"/>
              </w:rPr>
              <w:t>10,000,000.00</w:t>
            </w:r>
            <w:r>
              <w:rPr>
                <w:rFonts w:ascii="Arial Narrow"/>
                <w:sz w:val="21"/>
              </w:rPr>
            </w:r>
          </w:p>
        </w:tc>
      </w:tr>
      <w:tr>
        <w:trPr>
          <w:trHeight w:val="621"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分配股利、利润或偿付</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15,354,840.30</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15,205,694.84</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15,129,800.00</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其中：子公司支付少数</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股东的现金股利</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3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45</w:t>
            </w: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3,192,508.86</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3,192,508.86</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其中：子公司减资支付</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给少数股东的现金</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
        </w:tc>
        <w:tc>
          <w:tcPr>
            <w:tcW w:w="1472" w:type="dxa"/>
            <w:tcBorders>
              <w:top w:val="nil" w:sz="6" w:space="0" w:color="auto"/>
              <w:left w:val="single" w:sz="4" w:space="0" w:color="000000"/>
              <w:bottom w:val="nil" w:sz="6" w:space="0" w:color="auto"/>
              <w:right w:val="single" w:sz="4" w:space="0" w:color="000000"/>
            </w:tcBorders>
          </w:tcPr>
          <w:p>
            <w:pPr/>
          </w:p>
        </w:tc>
        <w:tc>
          <w:tcPr>
            <w:tcW w:w="1570"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nil" w:sz="6" w:space="0" w:color="auto"/>
            </w:tcBorders>
          </w:tcPr>
          <w:p>
            <w:pP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73" w:lineRule="auto"/>
              <w:ind w:left="122" w:right="271"/>
              <w:jc w:val="left"/>
              <w:rPr>
                <w:rFonts w:ascii="宋体" w:hAnsi="宋体" w:cs="宋体" w:eastAsia="宋体" w:hint="default"/>
                <w:sz w:val="21"/>
                <w:szCs w:val="21"/>
              </w:rPr>
            </w:pPr>
            <w:r>
              <w:rPr>
                <w:rFonts w:ascii="宋体" w:hAnsi="宋体" w:cs="宋体" w:eastAsia="宋体" w:hint="default"/>
                <w:spacing w:val="-1"/>
                <w:sz w:val="21"/>
                <w:szCs w:val="21"/>
              </w:rPr>
              <w:t>筹资活动现金流出小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计</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27,690,200.30</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32,591,592.25</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28,322,308.86</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w:t>
            </w:r>
            <w:r>
              <w:rPr>
                <w:rFonts w:ascii="宋体" w:hAnsi="宋体" w:cs="宋体" w:eastAsia="宋体" w:hint="default"/>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b/>
                <w:bCs/>
                <w:sz w:val="21"/>
                <w:szCs w:val="21"/>
              </w:rPr>
              <w:t>流量净额</w:t>
            </w:r>
            <w:r>
              <w:rPr>
                <w:rFonts w:ascii="宋体" w:hAnsi="宋体" w:cs="宋体" w:eastAsia="宋体" w:hint="default"/>
                <w:sz w:val="21"/>
                <w:szCs w:val="21"/>
              </w:rPr>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b/>
                <w:spacing w:val="-1"/>
                <w:sz w:val="21"/>
              </w:rPr>
              <w:t>-8,534,500.30</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-14,724,300.00</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-32,330,692.25</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b/>
                <w:spacing w:val="-1"/>
                <w:sz w:val="21"/>
              </w:rPr>
              <w:t>-28,061,408.86</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pacing w:val="-5"/>
                <w:sz w:val="21"/>
                <w:szCs w:val="21"/>
              </w:rPr>
              <w:t>四、汇率变动对现金及</w:t>
            </w:r>
            <w:r>
              <w:rPr>
                <w:rFonts w:ascii="宋体" w:hAnsi="宋体" w:cs="宋体" w:eastAsia="宋体" w:hint="default"/>
                <w:spacing w:val="-5"/>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b/>
                <w:bCs/>
                <w:sz w:val="21"/>
                <w:szCs w:val="21"/>
              </w:rPr>
              <w:t>现金等价物的影响</w:t>
            </w:r>
            <w:r>
              <w:rPr>
                <w:rFonts w:ascii="宋体" w:hAnsi="宋体" w:cs="宋体" w:eastAsia="宋体" w:hint="default"/>
                <w:sz w:val="21"/>
                <w:szCs w:val="21"/>
              </w:rPr>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b/>
                <w:spacing w:val="-1"/>
                <w:sz w:val="21"/>
              </w:rPr>
              <w:t>-67,517.64</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b/>
                <w:spacing w:val="-1"/>
                <w:sz w:val="21"/>
              </w:rPr>
              <w:t>-4,813.86</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-1,774.73</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b/>
                <w:spacing w:val="-1"/>
                <w:sz w:val="21"/>
              </w:rPr>
              <w:t>-6,057.95</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pacing w:val="-5"/>
                <w:sz w:val="21"/>
                <w:szCs w:val="21"/>
              </w:rPr>
              <w:t>五、现金及现金等价物</w:t>
            </w:r>
            <w:r>
              <w:rPr>
                <w:rFonts w:ascii="宋体" w:hAnsi="宋体" w:cs="宋体" w:eastAsia="宋体" w:hint="default"/>
                <w:spacing w:val="-5"/>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b/>
                <w:bCs/>
                <w:sz w:val="21"/>
                <w:szCs w:val="21"/>
              </w:rPr>
              <w:t>净增加额</w:t>
            </w:r>
            <w:r>
              <w:rPr>
                <w:rFonts w:ascii="宋体" w:hAnsi="宋体" w:cs="宋体" w:eastAsia="宋体" w:hint="default"/>
                <w:sz w:val="21"/>
                <w:szCs w:val="21"/>
              </w:rPr>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b/>
                <w:spacing w:val="-1"/>
                <w:sz w:val="21"/>
              </w:rPr>
              <w:t>-13,911,801.57</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-12,739,179.01</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-37,780,598.67</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b/>
                <w:spacing w:val="-1"/>
                <w:sz w:val="21"/>
              </w:rPr>
              <w:t>-52,873,181.91</w:t>
            </w:r>
            <w:r>
              <w:rPr>
                <w:rFonts w:ascii="Arial Narrow"/>
                <w:sz w:val="21"/>
              </w:rPr>
            </w:r>
          </w:p>
        </w:tc>
      </w:tr>
      <w:tr>
        <w:trPr>
          <w:trHeight w:val="624" w:hRule="exact"/>
        </w:trPr>
        <w:tc>
          <w:tcPr>
            <w:tcW w:w="2294" w:type="dxa"/>
            <w:tcBorders>
              <w:top w:val="nil" w:sz="6" w:space="0" w:color="auto"/>
              <w:left w:val="nil" w:sz="6" w:space="0" w:color="auto"/>
              <w:bottom w:val="nil" w:sz="6" w:space="0" w:color="auto"/>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pacing w:val="-5"/>
                <w:sz w:val="21"/>
                <w:szCs w:val="21"/>
              </w:rPr>
              <w:t>加：期初现金及现金等</w:t>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915" w:type="dxa"/>
            <w:tcBorders>
              <w:top w:val="nil" w:sz="6" w:space="0" w:color="auto"/>
              <w:left w:val="single" w:sz="4" w:space="0" w:color="000000"/>
              <w:bottom w:val="nil" w:sz="6" w:space="0" w:color="auto"/>
              <w:right w:val="single" w:sz="4" w:space="0" w:color="000000"/>
            </w:tcBorders>
          </w:tcPr>
          <w:p>
            <w:pPr/>
          </w:p>
        </w:tc>
        <w:tc>
          <w:tcPr>
            <w:tcW w:w="14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b/>
                <w:spacing w:val="-1"/>
                <w:sz w:val="21"/>
              </w:rPr>
              <w:t>386,158,948.37</w:t>
            </w:r>
            <w:r>
              <w:rPr>
                <w:rFonts w:ascii="Arial Narrow"/>
                <w:sz w:val="21"/>
              </w:rPr>
            </w:r>
          </w:p>
        </w:tc>
        <w:tc>
          <w:tcPr>
            <w:tcW w:w="14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366,139,319.39</w:t>
            </w:r>
            <w:r>
              <w:rPr>
                <w:rFonts w:ascii="Arial Narrow"/>
                <w:sz w:val="21"/>
              </w:rPr>
            </w:r>
          </w:p>
        </w:tc>
        <w:tc>
          <w:tcPr>
            <w:tcW w:w="157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423,939,547.04</w:t>
            </w:r>
            <w:r>
              <w:rPr>
                <w:rFonts w:ascii="Arial Narrow"/>
                <w:sz w:val="21"/>
              </w:rPr>
            </w:r>
          </w:p>
        </w:tc>
        <w:tc>
          <w:tcPr>
            <w:tcW w:w="1529"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b/>
                <w:spacing w:val="-1"/>
                <w:sz w:val="21"/>
              </w:rPr>
              <w:t>419,012,501.30</w:t>
            </w:r>
            <w:r>
              <w:rPr>
                <w:rFonts w:ascii="Arial Narrow"/>
                <w:sz w:val="21"/>
              </w:rPr>
            </w:r>
          </w:p>
        </w:tc>
      </w:tr>
      <w:tr>
        <w:trPr>
          <w:trHeight w:val="628" w:hRule="exact"/>
        </w:trPr>
        <w:tc>
          <w:tcPr>
            <w:tcW w:w="2294" w:type="dxa"/>
            <w:tcBorders>
              <w:top w:val="nil" w:sz="6" w:space="0" w:color="auto"/>
              <w:left w:val="nil" w:sz="6" w:space="0" w:color="auto"/>
              <w:bottom w:val="single" w:sz="4" w:space="0" w:color="000000"/>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pacing w:val="-5"/>
                <w:sz w:val="21"/>
                <w:szCs w:val="21"/>
              </w:rPr>
              <w:t>六、期末现金及现金等</w:t>
            </w:r>
            <w:r>
              <w:rPr>
                <w:rFonts w:ascii="宋体" w:hAnsi="宋体" w:cs="宋体" w:eastAsia="宋体" w:hint="default"/>
                <w:spacing w:val="-5"/>
                <w:sz w:val="21"/>
                <w:szCs w:val="21"/>
              </w:rPr>
            </w:r>
          </w:p>
          <w:p>
            <w:pPr>
              <w:pStyle w:val="TableParagraph"/>
              <w:spacing w:line="240" w:lineRule="auto" w:before="37"/>
              <w:ind w:left="122" w:right="0"/>
              <w:jc w:val="left"/>
              <w:rPr>
                <w:rFonts w:ascii="宋体" w:hAnsi="宋体" w:cs="宋体" w:eastAsia="宋体" w:hint="default"/>
                <w:sz w:val="21"/>
                <w:szCs w:val="21"/>
              </w:rPr>
            </w:pPr>
            <w:r>
              <w:rPr>
                <w:rFonts w:ascii="宋体" w:hAnsi="宋体" w:cs="宋体" w:eastAsia="宋体" w:hint="default"/>
                <w:b/>
                <w:bCs/>
                <w:sz w:val="21"/>
                <w:szCs w:val="21"/>
              </w:rPr>
              <w:t>价物余额</w:t>
            </w:r>
            <w:r>
              <w:rPr>
                <w:rFonts w:ascii="宋体" w:hAnsi="宋体" w:cs="宋体" w:eastAsia="宋体" w:hint="default"/>
                <w:sz w:val="21"/>
                <w:szCs w:val="21"/>
              </w:rPr>
            </w:r>
          </w:p>
        </w:tc>
        <w:tc>
          <w:tcPr>
            <w:tcW w:w="915" w:type="dxa"/>
            <w:tcBorders>
              <w:top w:val="nil" w:sz="6" w:space="0" w:color="auto"/>
              <w:left w:val="single" w:sz="4" w:space="0" w:color="000000"/>
              <w:bottom w:val="single" w:sz="4" w:space="0" w:color="000000"/>
              <w:right w:val="single" w:sz="4" w:space="0" w:color="000000"/>
            </w:tcBorders>
          </w:tcPr>
          <w:p>
            <w:pPr/>
          </w:p>
        </w:tc>
        <w:tc>
          <w:tcPr>
            <w:tcW w:w="14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372,247,146.80</w:t>
            </w:r>
            <w:r>
              <w:rPr>
                <w:rFonts w:ascii="Arial Narrow"/>
                <w:sz w:val="21"/>
              </w:rPr>
            </w:r>
          </w:p>
        </w:tc>
        <w:tc>
          <w:tcPr>
            <w:tcW w:w="14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1"/>
                <w:sz w:val="21"/>
              </w:rPr>
              <w:t>353,400,140.38</w:t>
            </w:r>
            <w:r>
              <w:rPr>
                <w:rFonts w:ascii="Arial Narrow"/>
                <w:sz w:val="21"/>
              </w:rPr>
            </w:r>
          </w:p>
        </w:tc>
        <w:tc>
          <w:tcPr>
            <w:tcW w:w="15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386,158,948.37</w:t>
            </w:r>
            <w:r>
              <w:rPr>
                <w:rFonts w:ascii="Arial Narrow"/>
                <w:sz w:val="21"/>
              </w:rPr>
            </w:r>
          </w:p>
        </w:tc>
        <w:tc>
          <w:tcPr>
            <w:tcW w:w="1529" w:type="dxa"/>
            <w:tcBorders>
              <w:top w:val="nil" w:sz="6" w:space="0" w:color="auto"/>
              <w:left w:val="single" w:sz="4" w:space="0" w:color="000000"/>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366,139,319.39</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1173" w:top="1160" w:bottom="1360" w:left="124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pStyle w:val="Heading5"/>
        <w:spacing w:line="240" w:lineRule="auto" w:before="26"/>
        <w:ind w:left="6133" w:right="2413"/>
        <w:jc w:val="center"/>
        <w:rPr>
          <w:b w:val="0"/>
          <w:bCs w:val="0"/>
        </w:rPr>
      </w:pPr>
      <w:r>
        <w:rPr/>
        <w:t>合并股东权益变动表</w:t>
      </w:r>
      <w:r>
        <w:rPr>
          <w:b w:val="0"/>
          <w:bCs w:val="0"/>
        </w:rPr>
      </w:r>
    </w:p>
    <w:p>
      <w:pPr>
        <w:spacing w:before="121"/>
        <w:ind w:left="6133" w:right="2611"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11890" w:val="left" w:leader="none"/>
        </w:tabs>
        <w:spacing w:before="100"/>
        <w:ind w:left="666"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单位：人民币元</w:t>
      </w:r>
    </w:p>
    <w:p>
      <w:pPr>
        <w:spacing w:line="240" w:lineRule="auto" w:before="2"/>
        <w:rPr>
          <w:rFonts w:ascii="宋体" w:hAnsi="宋体" w:cs="宋体" w:eastAsia="宋体" w:hint="default"/>
          <w:sz w:val="6"/>
          <w:szCs w:val="6"/>
        </w:rPr>
      </w:pPr>
    </w:p>
    <w:tbl>
      <w:tblPr>
        <w:tblW w:w="0" w:type="auto"/>
        <w:jc w:val="left"/>
        <w:tblInd w:w="558" w:type="dxa"/>
        <w:tblLayout w:type="fixed"/>
        <w:tblCellMar>
          <w:top w:w="0" w:type="dxa"/>
          <w:left w:w="0" w:type="dxa"/>
          <w:bottom w:w="0" w:type="dxa"/>
          <w:right w:w="0" w:type="dxa"/>
        </w:tblCellMar>
        <w:tblLook w:val="01E0"/>
      </w:tblPr>
      <w:tblGrid>
        <w:gridCol w:w="3829"/>
        <w:gridCol w:w="1243"/>
        <w:gridCol w:w="1243"/>
        <w:gridCol w:w="797"/>
        <w:gridCol w:w="828"/>
        <w:gridCol w:w="1162"/>
        <w:gridCol w:w="1249"/>
        <w:gridCol w:w="1135"/>
        <w:gridCol w:w="1188"/>
        <w:gridCol w:w="1251"/>
      </w:tblGrid>
      <w:tr>
        <w:trPr>
          <w:trHeight w:val="401" w:hRule="exact"/>
        </w:trPr>
        <w:tc>
          <w:tcPr>
            <w:tcW w:w="382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096" w:type="dxa"/>
            <w:gridSpan w:val="9"/>
            <w:tcBorders>
              <w:top w:val="single" w:sz="4" w:space="0" w:color="000000"/>
              <w:left w:val="single" w:sz="4" w:space="0" w:color="000000"/>
              <w:bottom w:val="single" w:sz="4" w:space="0" w:color="000000"/>
              <w:right w:val="nil" w:sz="6" w:space="0" w:color="auto"/>
            </w:tcBorders>
          </w:tcPr>
          <w:p>
            <w:pPr>
              <w:pStyle w:val="TableParagraph"/>
              <w:spacing w:line="240" w:lineRule="auto" w:before="26"/>
              <w:ind w:right="3"/>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r>
      <w:tr>
        <w:trPr>
          <w:trHeight w:val="459" w:hRule="exact"/>
        </w:trPr>
        <w:tc>
          <w:tcPr>
            <w:tcW w:w="3829" w:type="dxa"/>
            <w:vMerge/>
            <w:tcBorders>
              <w:left w:val="nil" w:sz="6" w:space="0" w:color="auto"/>
              <w:right w:val="single" w:sz="4" w:space="0" w:color="000000"/>
            </w:tcBorders>
          </w:tcPr>
          <w:p>
            <w:pPr/>
          </w:p>
        </w:tc>
        <w:tc>
          <w:tcPr>
            <w:tcW w:w="765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b/>
                <w:bCs/>
                <w:sz w:val="21"/>
                <w:szCs w:val="21"/>
              </w:rPr>
              <w:t>归属于母公司股东权益</w:t>
            </w:r>
            <w:r>
              <w:rPr>
                <w:rFonts w:ascii="宋体" w:hAnsi="宋体" w:cs="宋体" w:eastAsia="宋体" w:hint="default"/>
                <w:sz w:val="21"/>
                <w:szCs w:val="21"/>
              </w:rPr>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73" w:lineRule="auto"/>
              <w:ind w:left="376" w:right="167" w:hanging="212"/>
              <w:jc w:val="left"/>
              <w:rPr>
                <w:rFonts w:ascii="宋体" w:hAnsi="宋体" w:cs="宋体" w:eastAsia="宋体" w:hint="default"/>
                <w:sz w:val="21"/>
                <w:szCs w:val="21"/>
              </w:rPr>
            </w:pPr>
            <w:r>
              <w:rPr>
                <w:rFonts w:ascii="宋体" w:hAnsi="宋体" w:cs="宋体" w:eastAsia="宋体" w:hint="default"/>
                <w:b/>
                <w:bCs/>
                <w:sz w:val="21"/>
                <w:szCs w:val="21"/>
              </w:rPr>
              <w:t>少数股东</w:t>
            </w:r>
            <w:r>
              <w:rPr>
                <w:rFonts w:ascii="宋体" w:hAnsi="宋体" w:cs="宋体" w:eastAsia="宋体" w:hint="default"/>
                <w:b/>
                <w:bCs/>
                <w:w w:val="100"/>
                <w:sz w:val="21"/>
                <w:szCs w:val="21"/>
              </w:rPr>
              <w:t> </w:t>
            </w:r>
            <w:r>
              <w:rPr>
                <w:rFonts w:ascii="宋体" w:hAnsi="宋体" w:cs="宋体" w:eastAsia="宋体" w:hint="default"/>
                <w:b/>
                <w:bCs/>
                <w:sz w:val="21"/>
                <w:szCs w:val="21"/>
              </w:rPr>
              <w:t>权益</w:t>
            </w:r>
            <w:r>
              <w:rPr>
                <w:rFonts w:ascii="宋体" w:hAnsi="宋体" w:cs="宋体" w:eastAsia="宋体" w:hint="default"/>
                <w:sz w:val="21"/>
                <w:szCs w:val="21"/>
              </w:rPr>
            </w:r>
          </w:p>
        </w:tc>
        <w:tc>
          <w:tcPr>
            <w:tcW w:w="1251"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73" w:lineRule="auto"/>
              <w:ind w:left="407" w:right="202" w:hanging="212"/>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b/>
                <w:bCs/>
                <w:w w:val="100"/>
                <w:sz w:val="21"/>
                <w:szCs w:val="21"/>
              </w:rPr>
              <w:t> </w:t>
            </w: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634" w:hRule="exact"/>
        </w:trPr>
        <w:tc>
          <w:tcPr>
            <w:tcW w:w="3829" w:type="dxa"/>
            <w:vMerge/>
            <w:tcBorders>
              <w:left w:val="nil" w:sz="6" w:space="0" w:color="auto"/>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4"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101" w:hanging="80"/>
              <w:jc w:val="left"/>
              <w:rPr>
                <w:rFonts w:ascii="宋体" w:hAnsi="宋体" w:cs="宋体" w:eastAsia="宋体" w:hint="default"/>
                <w:sz w:val="21"/>
                <w:szCs w:val="21"/>
              </w:rPr>
            </w:pPr>
            <w:r>
              <w:rPr>
                <w:rFonts w:ascii="宋体" w:hAnsi="宋体" w:cs="宋体" w:eastAsia="宋体" w:hint="default"/>
                <w:b/>
                <w:bCs/>
                <w:spacing w:val="-18"/>
                <w:sz w:val="21"/>
                <w:szCs w:val="21"/>
              </w:rPr>
              <w:t>减：库</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存股</w:t>
            </w:r>
            <w:r>
              <w:rPr>
                <w:rFonts w:ascii="宋体" w:hAnsi="宋体" w:cs="宋体" w:eastAsia="宋体" w:hint="default"/>
                <w:sz w:val="21"/>
                <w:szCs w:val="21"/>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4" w:right="199"/>
              <w:jc w:val="left"/>
              <w:rPr>
                <w:rFonts w:ascii="宋体" w:hAnsi="宋体" w:cs="宋体" w:eastAsia="宋体" w:hint="default"/>
                <w:sz w:val="21"/>
                <w:szCs w:val="21"/>
              </w:rPr>
            </w:pPr>
            <w:r>
              <w:rPr>
                <w:rFonts w:ascii="宋体" w:hAnsi="宋体" w:cs="宋体" w:eastAsia="宋体" w:hint="default"/>
                <w:b/>
                <w:bCs/>
                <w:sz w:val="21"/>
                <w:szCs w:val="21"/>
              </w:rPr>
              <w:t>专项</w:t>
            </w:r>
            <w:r>
              <w:rPr>
                <w:rFonts w:ascii="宋体" w:hAnsi="宋体" w:cs="宋体" w:eastAsia="宋体" w:hint="default"/>
                <w:b/>
                <w:bCs/>
                <w:w w:val="100"/>
                <w:sz w:val="21"/>
                <w:szCs w:val="21"/>
              </w:rPr>
              <w:t> </w:t>
            </w:r>
            <w:r>
              <w:rPr>
                <w:rFonts w:ascii="宋体" w:hAnsi="宋体" w:cs="宋体" w:eastAsia="宋体" w:hint="default"/>
                <w:b/>
                <w:bCs/>
                <w:sz w:val="21"/>
                <w:szCs w:val="21"/>
              </w:rPr>
              <w:t>储备</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1" w:right="197" w:hanging="317"/>
              <w:jc w:val="left"/>
              <w:rPr>
                <w:rFonts w:ascii="宋体" w:hAnsi="宋体" w:cs="宋体" w:eastAsia="宋体" w:hint="default"/>
                <w:sz w:val="21"/>
                <w:szCs w:val="21"/>
              </w:rPr>
            </w:pPr>
            <w:r>
              <w:rPr>
                <w:rFonts w:ascii="宋体" w:hAnsi="宋体" w:cs="宋体" w:eastAsia="宋体" w:hint="default"/>
                <w:b/>
                <w:bCs/>
                <w:sz w:val="21"/>
                <w:szCs w:val="21"/>
              </w:rPr>
              <w:t>未分配利</w:t>
            </w:r>
            <w:r>
              <w:rPr>
                <w:rFonts w:ascii="宋体" w:hAnsi="宋体" w:cs="宋体" w:eastAsia="宋体" w:hint="default"/>
                <w:b/>
                <w:bCs/>
                <w:w w:val="100"/>
                <w:sz w:val="21"/>
                <w:szCs w:val="21"/>
              </w:rPr>
              <w:t> </w:t>
            </w:r>
            <w:r>
              <w:rPr>
                <w:rFonts w:ascii="宋体" w:hAnsi="宋体" w:cs="宋体" w:eastAsia="宋体" w:hint="default"/>
                <w:b/>
                <w:bCs/>
                <w:sz w:val="21"/>
                <w:szCs w:val="21"/>
              </w:rPr>
              <w:t>润</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188" w:type="dxa"/>
            <w:vMerge/>
            <w:tcBorders>
              <w:left w:val="single" w:sz="4" w:space="0" w:color="000000"/>
              <w:bottom w:val="single" w:sz="4" w:space="0" w:color="000000"/>
              <w:right w:val="single" w:sz="4" w:space="0" w:color="000000"/>
            </w:tcBorders>
          </w:tcPr>
          <w:p>
            <w:pPr/>
          </w:p>
        </w:tc>
        <w:tc>
          <w:tcPr>
            <w:tcW w:w="1251" w:type="dxa"/>
            <w:vMerge/>
            <w:tcBorders>
              <w:left w:val="single" w:sz="4" w:space="0" w:color="000000"/>
              <w:bottom w:val="single" w:sz="4" w:space="0" w:color="000000"/>
              <w:right w:val="nil" w:sz="6" w:space="0" w:color="auto"/>
            </w:tcBorders>
          </w:tcPr>
          <w:p>
            <w:pPr/>
          </w:p>
        </w:tc>
      </w:tr>
      <w:tr>
        <w:trPr>
          <w:trHeight w:val="320" w:hRule="exact"/>
        </w:trPr>
        <w:tc>
          <w:tcPr>
            <w:tcW w:w="3829" w:type="dxa"/>
            <w:tcBorders>
              <w:top w:val="single" w:sz="4" w:space="0" w:color="000000"/>
              <w:left w:val="nil" w:sz="6" w:space="0" w:color="auto"/>
              <w:bottom w:val="nil" w:sz="6" w:space="0" w:color="auto"/>
              <w:right w:val="single" w:sz="4" w:space="0" w:color="000000"/>
            </w:tcBorders>
          </w:tcPr>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一、上年年末余额</w:t>
            </w:r>
            <w:r>
              <w:rPr>
                <w:rFonts w:ascii="宋体" w:hAnsi="宋体" w:cs="宋体" w:eastAsia="宋体" w:hint="default"/>
                <w:sz w:val="21"/>
                <w:szCs w:val="21"/>
              </w:rPr>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left="82" w:right="0"/>
              <w:jc w:val="center"/>
              <w:rPr>
                <w:rFonts w:ascii="Arial Narrow" w:hAnsi="Arial Narrow" w:cs="Arial Narrow" w:eastAsia="Arial Narrow" w:hint="default"/>
                <w:sz w:val="18"/>
                <w:szCs w:val="18"/>
              </w:rPr>
            </w:pPr>
            <w:r>
              <w:rPr>
                <w:rFonts w:ascii="Arial Narrow"/>
                <w:sz w:val="18"/>
              </w:rPr>
              <w:t>75,000,000.00</w:t>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354,438,695.83</w:t>
            </w:r>
          </w:p>
        </w:tc>
        <w:tc>
          <w:tcPr>
            <w:tcW w:w="797" w:type="dxa"/>
            <w:tcBorders>
              <w:top w:val="single" w:sz="4" w:space="0" w:color="000000"/>
              <w:left w:val="single" w:sz="4" w:space="0" w:color="000000"/>
              <w:bottom w:val="nil" w:sz="6" w:space="0" w:color="auto"/>
              <w:right w:val="single" w:sz="4" w:space="0" w:color="000000"/>
            </w:tcBorders>
          </w:tcPr>
          <w:p>
            <w:pPr/>
          </w:p>
        </w:tc>
        <w:tc>
          <w:tcPr>
            <w:tcW w:w="828" w:type="dxa"/>
            <w:tcBorders>
              <w:top w:val="single" w:sz="4" w:space="0" w:color="000000"/>
              <w:left w:val="single" w:sz="4" w:space="0" w:color="000000"/>
              <w:bottom w:val="nil" w:sz="6" w:space="0" w:color="auto"/>
              <w:right w:val="single" w:sz="4" w:space="0" w:color="000000"/>
            </w:tcBorders>
          </w:tcPr>
          <w:p>
            <w:pPr/>
          </w:p>
        </w:tc>
        <w:tc>
          <w:tcPr>
            <w:tcW w:w="11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left="82" w:right="0"/>
              <w:jc w:val="center"/>
              <w:rPr>
                <w:rFonts w:ascii="Arial Narrow" w:hAnsi="Arial Narrow" w:cs="Arial Narrow" w:eastAsia="Arial Narrow" w:hint="default"/>
                <w:sz w:val="18"/>
                <w:szCs w:val="18"/>
              </w:rPr>
            </w:pPr>
            <w:r>
              <w:rPr>
                <w:rFonts w:ascii="Arial Narrow"/>
                <w:sz w:val="18"/>
              </w:rPr>
              <w:t>9,517,200.44</w:t>
            </w:r>
          </w:p>
        </w:tc>
        <w:tc>
          <w:tcPr>
            <w:tcW w:w="12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left="81" w:right="0"/>
              <w:jc w:val="center"/>
              <w:rPr>
                <w:rFonts w:ascii="Arial Narrow" w:hAnsi="Arial Narrow" w:cs="Arial Narrow" w:eastAsia="Arial Narrow" w:hint="default"/>
                <w:sz w:val="18"/>
                <w:szCs w:val="18"/>
              </w:rPr>
            </w:pPr>
            <w:r>
              <w:rPr>
                <w:rFonts w:ascii="Arial Narrow"/>
                <w:sz w:val="18"/>
              </w:rPr>
              <w:t>73,010,379.51</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left="125" w:right="0"/>
              <w:jc w:val="center"/>
              <w:rPr>
                <w:rFonts w:ascii="Arial Narrow" w:hAnsi="Arial Narrow" w:cs="Arial Narrow" w:eastAsia="Arial Narrow" w:hint="default"/>
                <w:sz w:val="18"/>
                <w:szCs w:val="18"/>
              </w:rPr>
            </w:pPr>
            <w:r>
              <w:rPr>
                <w:rFonts w:ascii="Arial Narrow"/>
                <w:sz w:val="18"/>
              </w:rPr>
              <w:t>-482,710.27</w:t>
            </w:r>
          </w:p>
        </w:tc>
        <w:tc>
          <w:tcPr>
            <w:tcW w:w="11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7"/>
              <w:ind w:right="103"/>
              <w:jc w:val="right"/>
              <w:rPr>
                <w:rFonts w:ascii="Arial Narrow" w:hAnsi="Arial Narrow" w:cs="Arial Narrow" w:eastAsia="Arial Narrow" w:hint="default"/>
                <w:sz w:val="18"/>
                <w:szCs w:val="18"/>
              </w:rPr>
            </w:pPr>
            <w:r>
              <w:rPr>
                <w:rFonts w:ascii="Arial Narrow"/>
                <w:spacing w:val="-1"/>
                <w:sz w:val="18"/>
              </w:rPr>
              <w:t>20,296,921.64</w:t>
            </w:r>
          </w:p>
        </w:tc>
        <w:tc>
          <w:tcPr>
            <w:tcW w:w="1251" w:type="dxa"/>
            <w:tcBorders>
              <w:top w:val="single" w:sz="4" w:space="0" w:color="000000"/>
              <w:left w:val="single" w:sz="4" w:space="0" w:color="000000"/>
              <w:bottom w:val="nil" w:sz="6" w:space="0" w:color="auto"/>
              <w:right w:val="nil" w:sz="6" w:space="0" w:color="auto"/>
            </w:tcBorders>
          </w:tcPr>
          <w:p>
            <w:pPr>
              <w:pStyle w:val="TableParagraph"/>
              <w:spacing w:line="240" w:lineRule="auto" w:before="57"/>
              <w:ind w:right="110"/>
              <w:jc w:val="right"/>
              <w:rPr>
                <w:rFonts w:ascii="Arial Narrow" w:hAnsi="Arial Narrow" w:cs="Arial Narrow" w:eastAsia="Arial Narrow" w:hint="default"/>
                <w:sz w:val="18"/>
                <w:szCs w:val="18"/>
              </w:rPr>
            </w:pPr>
            <w:r>
              <w:rPr>
                <w:rFonts w:ascii="Arial Narrow"/>
                <w:spacing w:val="-1"/>
                <w:sz w:val="18"/>
              </w:rPr>
              <w:t>531,780,487.15</w:t>
            </w: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二、本年年初余额</w:t>
            </w:r>
            <w:r>
              <w:rPr>
                <w:rFonts w:ascii="宋体" w:hAnsi="宋体" w:cs="宋体" w:eastAsia="宋体" w:hint="default"/>
                <w:sz w:val="21"/>
                <w:szCs w:val="21"/>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2" w:right="0"/>
              <w:jc w:val="center"/>
              <w:rPr>
                <w:rFonts w:ascii="Arial Narrow" w:hAnsi="Arial Narrow" w:cs="Arial Narrow" w:eastAsia="Arial Narrow" w:hint="default"/>
                <w:sz w:val="18"/>
                <w:szCs w:val="18"/>
              </w:rPr>
            </w:pPr>
            <w:r>
              <w:rPr>
                <w:rFonts w:ascii="Arial Narrow"/>
                <w:sz w:val="18"/>
              </w:rPr>
              <w:t>75,000,000.00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354,438,695.83</w:t>
            </w: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2" w:right="0"/>
              <w:jc w:val="center"/>
              <w:rPr>
                <w:rFonts w:ascii="Arial Narrow" w:hAnsi="Arial Narrow" w:cs="Arial Narrow" w:eastAsia="Arial Narrow" w:hint="default"/>
                <w:sz w:val="18"/>
                <w:szCs w:val="18"/>
              </w:rPr>
            </w:pPr>
            <w:r>
              <w:rPr>
                <w:rFonts w:ascii="Arial Narrow"/>
                <w:sz w:val="18"/>
              </w:rPr>
              <w:t>9,517,200.44</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1" w:right="0"/>
              <w:jc w:val="center"/>
              <w:rPr>
                <w:rFonts w:ascii="Arial Narrow" w:hAnsi="Arial Narrow" w:cs="Arial Narrow" w:eastAsia="Arial Narrow" w:hint="default"/>
                <w:sz w:val="18"/>
                <w:szCs w:val="18"/>
              </w:rPr>
            </w:pPr>
            <w:r>
              <w:rPr>
                <w:rFonts w:ascii="Arial Narrow"/>
                <w:sz w:val="18"/>
              </w:rPr>
              <w:t>73,010,379.51</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25" w:right="0"/>
              <w:jc w:val="center"/>
              <w:rPr>
                <w:rFonts w:ascii="Arial Narrow" w:hAnsi="Arial Narrow" w:cs="Arial Narrow" w:eastAsia="Arial Narrow" w:hint="default"/>
                <w:sz w:val="18"/>
                <w:szCs w:val="18"/>
              </w:rPr>
            </w:pPr>
            <w:r>
              <w:rPr>
                <w:rFonts w:ascii="Arial Narrow"/>
                <w:sz w:val="18"/>
              </w:rPr>
              <w:t>-482,710.27</w:t>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20,296,921.64</w:t>
            </w: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0"/>
              <w:jc w:val="right"/>
              <w:rPr>
                <w:rFonts w:ascii="Arial Narrow" w:hAnsi="Arial Narrow" w:cs="Arial Narrow" w:eastAsia="Arial Narrow" w:hint="default"/>
                <w:sz w:val="18"/>
                <w:szCs w:val="18"/>
              </w:rPr>
            </w:pPr>
            <w:r>
              <w:rPr>
                <w:rFonts w:ascii="Arial Narrow"/>
                <w:spacing w:val="-1"/>
                <w:sz w:val="18"/>
              </w:rPr>
              <w:t>531,780,487.15</w:t>
            </w:r>
          </w:p>
        </w:tc>
      </w:tr>
      <w:tr>
        <w:trPr>
          <w:trHeight w:val="624"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78" w:lineRule="exact"/>
              <w:ind w:left="107" w:right="0"/>
              <w:jc w:val="left"/>
              <w:rPr>
                <w:rFonts w:ascii="宋体" w:hAnsi="宋体" w:cs="宋体" w:eastAsia="宋体" w:hint="default"/>
                <w:sz w:val="21"/>
                <w:szCs w:val="21"/>
              </w:rPr>
            </w:pPr>
            <w:r>
              <w:rPr>
                <w:rFonts w:ascii="宋体" w:hAnsi="宋体" w:cs="宋体" w:eastAsia="宋体" w:hint="default"/>
                <w:b/>
                <w:bCs/>
                <w:spacing w:val="-3"/>
                <w:sz w:val="21"/>
                <w:szCs w:val="21"/>
              </w:rPr>
              <w:t>三、本年增减变动金额（减少以</w:t>
            </w:r>
            <w:r>
              <w:rPr>
                <w:rFonts w:ascii="Times New Roman" w:hAnsi="Times New Roman" w:cs="Times New Roman" w:eastAsia="Times New Roman" w:hint="default"/>
                <w:b/>
                <w:bCs/>
                <w:spacing w:val="-3"/>
                <w:sz w:val="21"/>
                <w:szCs w:val="21"/>
              </w:rPr>
              <w:t>“</w:t>
            </w:r>
            <w:r>
              <w:rPr>
                <w:rFonts w:ascii="Times New Roman" w:hAnsi="Times New Roman" w:cs="Times New Roman" w:eastAsia="Times New Roman" w:hint="default"/>
                <w:b/>
                <w:bCs/>
                <w:spacing w:val="-3"/>
                <w:sz w:val="21"/>
                <w:szCs w:val="21"/>
              </w:rPr>
              <w:t>-</w:t>
            </w:r>
            <w:r>
              <w:rPr>
                <w:rFonts w:ascii="Times New Roman" w:hAnsi="Times New Roman" w:cs="Times New Roman" w:eastAsia="Times New Roman" w:hint="default"/>
                <w:b/>
                <w:bCs/>
                <w:spacing w:val="-3"/>
                <w:sz w:val="21"/>
                <w:szCs w:val="21"/>
              </w:rPr>
              <w:t>”</w:t>
            </w:r>
            <w:r>
              <w:rPr>
                <w:rFonts w:ascii="宋体" w:hAnsi="宋体" w:cs="宋体" w:eastAsia="宋体" w:hint="default"/>
                <w:b/>
                <w:bCs/>
                <w:spacing w:val="-3"/>
                <w:sz w:val="21"/>
                <w:szCs w:val="21"/>
              </w:rPr>
              <w:t>号填</w:t>
            </w:r>
            <w:r>
              <w:rPr>
                <w:rFonts w:ascii="宋体" w:hAnsi="宋体" w:cs="宋体" w:eastAsia="宋体" w:hint="default"/>
                <w:spacing w:val="-3"/>
                <w:sz w:val="21"/>
                <w:szCs w:val="21"/>
              </w:rPr>
            </w:r>
          </w:p>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b/>
                <w:bCs/>
                <w:sz w:val="21"/>
                <w:szCs w:val="21"/>
              </w:rPr>
              <w:t>列）</w:t>
            </w:r>
            <w:r>
              <w:rPr>
                <w:rFonts w:ascii="宋体" w:hAnsi="宋体" w:cs="宋体" w:eastAsia="宋体" w:hint="default"/>
                <w:sz w:val="21"/>
                <w:szCs w:val="21"/>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2" w:right="0"/>
              <w:jc w:val="center"/>
              <w:rPr>
                <w:rFonts w:ascii="Arial Narrow" w:hAnsi="Arial Narrow" w:cs="Arial Narrow" w:eastAsia="Arial Narrow" w:hint="default"/>
                <w:sz w:val="18"/>
                <w:szCs w:val="18"/>
              </w:rPr>
            </w:pPr>
            <w:r>
              <w:rPr>
                <w:rFonts w:ascii="Arial Narrow"/>
                <w:sz w:val="18"/>
              </w:rPr>
              <w:t>45,000,000.00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-41,557,861.71</w:t>
            </w: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2" w:right="0"/>
              <w:jc w:val="center"/>
              <w:rPr>
                <w:rFonts w:ascii="Arial Narrow" w:hAnsi="Arial Narrow" w:cs="Arial Narrow" w:eastAsia="Arial Narrow" w:hint="default"/>
                <w:sz w:val="18"/>
                <w:szCs w:val="18"/>
              </w:rPr>
            </w:pPr>
            <w:r>
              <w:rPr>
                <w:rFonts w:ascii="Arial Narrow"/>
                <w:sz w:val="18"/>
              </w:rPr>
              <w:t>4,177,933.37</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1" w:right="0"/>
              <w:jc w:val="center"/>
              <w:rPr>
                <w:rFonts w:ascii="Arial Narrow" w:hAnsi="Arial Narrow" w:cs="Arial Narrow" w:eastAsia="Arial Narrow" w:hint="default"/>
                <w:sz w:val="18"/>
                <w:szCs w:val="18"/>
              </w:rPr>
            </w:pPr>
            <w:r>
              <w:rPr>
                <w:rFonts w:ascii="Arial Narrow"/>
                <w:sz w:val="18"/>
              </w:rPr>
              <w:t>27,583,155.09</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25" w:right="0"/>
              <w:jc w:val="center"/>
              <w:rPr>
                <w:rFonts w:ascii="Arial Narrow" w:hAnsi="Arial Narrow" w:cs="Arial Narrow" w:eastAsia="Arial Narrow" w:hint="default"/>
                <w:sz w:val="18"/>
                <w:szCs w:val="18"/>
              </w:rPr>
            </w:pPr>
            <w:r>
              <w:rPr>
                <w:rFonts w:ascii="Arial Narrow"/>
                <w:sz w:val="18"/>
              </w:rPr>
              <w:t>-159,089.56</w:t>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421,221.58</w:t>
            </w: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10"/>
              <w:jc w:val="right"/>
              <w:rPr>
                <w:rFonts w:ascii="Arial Narrow" w:hAnsi="Arial Narrow" w:cs="Arial Narrow" w:eastAsia="Arial Narrow" w:hint="default"/>
                <w:sz w:val="18"/>
                <w:szCs w:val="18"/>
              </w:rPr>
            </w:pPr>
            <w:r>
              <w:rPr>
                <w:rFonts w:ascii="Arial Narrow"/>
                <w:spacing w:val="-1"/>
                <w:sz w:val="18"/>
              </w:rPr>
              <w:t>35,465,358.77</w:t>
            </w: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1" w:right="0"/>
              <w:jc w:val="center"/>
              <w:rPr>
                <w:rFonts w:ascii="Arial Narrow" w:hAnsi="Arial Narrow" w:cs="Arial Narrow" w:eastAsia="Arial Narrow" w:hint="default"/>
                <w:sz w:val="18"/>
                <w:szCs w:val="18"/>
              </w:rPr>
            </w:pPr>
            <w:r>
              <w:rPr>
                <w:rFonts w:ascii="Arial Narrow"/>
                <w:sz w:val="18"/>
              </w:rPr>
              <w:t>46,761,088.46</w:t>
            </w: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pacing w:val="-1"/>
                <w:sz w:val="18"/>
              </w:rPr>
              <w:t>512,326.98</w:t>
            </w: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0"/>
              <w:jc w:val="right"/>
              <w:rPr>
                <w:rFonts w:ascii="Arial Narrow" w:hAnsi="Arial Narrow" w:cs="Arial Narrow" w:eastAsia="Arial Narrow" w:hint="default"/>
                <w:sz w:val="18"/>
                <w:szCs w:val="18"/>
              </w:rPr>
            </w:pPr>
            <w:r>
              <w:rPr>
                <w:rFonts w:ascii="Arial Narrow"/>
                <w:spacing w:val="-1"/>
                <w:sz w:val="18"/>
              </w:rPr>
              <w:t>47,273,415.44</w:t>
            </w: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pacing w:val="-1"/>
                <w:sz w:val="18"/>
              </w:rPr>
              <w:t>181,760.00</w:t>
            </w: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25" w:right="0"/>
              <w:jc w:val="center"/>
              <w:rPr>
                <w:rFonts w:ascii="Arial Narrow" w:hAnsi="Arial Narrow" w:cs="Arial Narrow" w:eastAsia="Arial Narrow" w:hint="default"/>
                <w:sz w:val="18"/>
                <w:szCs w:val="18"/>
              </w:rPr>
            </w:pPr>
            <w:r>
              <w:rPr>
                <w:rFonts w:ascii="Arial Narrow"/>
                <w:sz w:val="18"/>
              </w:rPr>
              <w:t>-159,089.56</w:t>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pacing w:val="-1"/>
                <w:sz w:val="18"/>
              </w:rPr>
              <w:t>-91,105.40</w:t>
            </w: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0"/>
              <w:jc w:val="right"/>
              <w:rPr>
                <w:rFonts w:ascii="Arial Narrow" w:hAnsi="Arial Narrow" w:cs="Arial Narrow" w:eastAsia="Arial Narrow" w:hint="default"/>
                <w:sz w:val="18"/>
                <w:szCs w:val="18"/>
              </w:rPr>
            </w:pPr>
            <w:r>
              <w:rPr>
                <w:rFonts w:ascii="Arial Narrow"/>
                <w:spacing w:val="-1"/>
                <w:sz w:val="18"/>
              </w:rPr>
              <w:t>-68,434.96</w:t>
            </w: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pacing w:val="-1"/>
                <w:sz w:val="18"/>
              </w:rPr>
              <w:t>181,760.00</w:t>
            </w: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1" w:right="0"/>
              <w:jc w:val="center"/>
              <w:rPr>
                <w:rFonts w:ascii="Arial Narrow" w:hAnsi="Arial Narrow" w:cs="Arial Narrow" w:eastAsia="Arial Narrow" w:hint="default"/>
                <w:sz w:val="18"/>
                <w:szCs w:val="18"/>
              </w:rPr>
            </w:pPr>
            <w:r>
              <w:rPr>
                <w:rFonts w:ascii="Arial Narrow"/>
                <w:sz w:val="18"/>
              </w:rPr>
              <w:t>46,761,088.46</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24" w:right="0"/>
              <w:jc w:val="center"/>
              <w:rPr>
                <w:rFonts w:ascii="Arial Narrow" w:hAnsi="Arial Narrow" w:cs="Arial Narrow" w:eastAsia="Arial Narrow" w:hint="default"/>
                <w:sz w:val="18"/>
                <w:szCs w:val="18"/>
              </w:rPr>
            </w:pPr>
            <w:r>
              <w:rPr>
                <w:rFonts w:ascii="Arial Narrow"/>
                <w:sz w:val="18"/>
              </w:rPr>
              <w:t>-159,089.56</w:t>
            </w:r>
          </w:p>
        </w:tc>
        <w:tc>
          <w:tcPr>
            <w:tcW w:w="1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pacing w:val="-1"/>
                <w:sz w:val="18"/>
              </w:rPr>
              <w:t>421,221.58</w:t>
            </w: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0"/>
              <w:jc w:val="right"/>
              <w:rPr>
                <w:rFonts w:ascii="Arial Narrow" w:hAnsi="Arial Narrow" w:cs="Arial Narrow" w:eastAsia="Arial Narrow" w:hint="default"/>
                <w:sz w:val="18"/>
                <w:szCs w:val="18"/>
              </w:rPr>
            </w:pPr>
            <w:r>
              <w:rPr>
                <w:rFonts w:ascii="Arial Narrow"/>
                <w:spacing w:val="-1"/>
                <w:sz w:val="18"/>
              </w:rPr>
              <w:t>47,204,980.48</w:t>
            </w: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（三）股东投入和减少资本</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pacing w:val="-1"/>
                <w:sz w:val="18"/>
              </w:rPr>
              <w:t>3,260,378.29</w:t>
            </w: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110"/>
              <w:jc w:val="right"/>
              <w:rPr>
                <w:rFonts w:ascii="Arial Narrow" w:hAnsi="Arial Narrow" w:cs="Arial Narrow" w:eastAsia="Arial Narrow" w:hint="default"/>
                <w:sz w:val="18"/>
                <w:szCs w:val="18"/>
              </w:rPr>
            </w:pPr>
            <w:r>
              <w:rPr>
                <w:rFonts w:ascii="Arial Narrow"/>
                <w:spacing w:val="-1"/>
                <w:sz w:val="18"/>
              </w:rPr>
              <w:t>3,260,378.29</w:t>
            </w:r>
          </w:p>
        </w:tc>
      </w:tr>
      <w:tr>
        <w:trPr>
          <w:trHeight w:val="318"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7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．股东投入资本</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．股份支付计入股东权益的金额</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2"/>
              <w:jc w:val="right"/>
              <w:rPr>
                <w:rFonts w:ascii="Arial Narrow" w:hAnsi="Arial Narrow" w:cs="Arial Narrow" w:eastAsia="Arial Narrow" w:hint="default"/>
                <w:sz w:val="18"/>
                <w:szCs w:val="18"/>
              </w:rPr>
            </w:pPr>
            <w:r>
              <w:rPr>
                <w:rFonts w:ascii="Arial Narrow"/>
                <w:spacing w:val="-1"/>
                <w:sz w:val="18"/>
              </w:rPr>
              <w:t>2,984,678.29</w:t>
            </w: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10"/>
              <w:jc w:val="right"/>
              <w:rPr>
                <w:rFonts w:ascii="Arial Narrow" w:hAnsi="Arial Narrow" w:cs="Arial Narrow" w:eastAsia="Arial Narrow" w:hint="default"/>
                <w:sz w:val="18"/>
                <w:szCs w:val="18"/>
              </w:rPr>
            </w:pPr>
            <w:r>
              <w:rPr>
                <w:rFonts w:ascii="Arial Narrow"/>
                <w:spacing w:val="-1"/>
                <w:sz w:val="18"/>
              </w:rPr>
              <w:t>2,984,678.29</w:t>
            </w: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2"/>
              <w:jc w:val="right"/>
              <w:rPr>
                <w:rFonts w:ascii="Arial Narrow" w:hAnsi="Arial Narrow" w:cs="Arial Narrow" w:eastAsia="Arial Narrow" w:hint="default"/>
                <w:sz w:val="18"/>
                <w:szCs w:val="18"/>
              </w:rPr>
            </w:pPr>
            <w:r>
              <w:rPr>
                <w:rFonts w:ascii="Arial Narrow"/>
                <w:spacing w:val="-1"/>
                <w:sz w:val="18"/>
              </w:rPr>
              <w:t>275,700.00</w:t>
            </w: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10"/>
              <w:jc w:val="right"/>
              <w:rPr>
                <w:rFonts w:ascii="Arial Narrow" w:hAnsi="Arial Narrow" w:cs="Arial Narrow" w:eastAsia="Arial Narrow" w:hint="default"/>
                <w:sz w:val="18"/>
                <w:szCs w:val="18"/>
              </w:rPr>
            </w:pPr>
            <w:r>
              <w:rPr>
                <w:rFonts w:ascii="Arial Narrow"/>
                <w:spacing w:val="-1"/>
                <w:sz w:val="18"/>
              </w:rPr>
              <w:t>275,700.00</w:t>
            </w:r>
          </w:p>
        </w:tc>
      </w:tr>
      <w:tr>
        <w:trPr>
          <w:trHeight w:val="306"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82" w:right="0"/>
              <w:jc w:val="center"/>
              <w:rPr>
                <w:rFonts w:ascii="Arial Narrow" w:hAnsi="Arial Narrow" w:cs="Arial Narrow" w:eastAsia="Arial Narrow" w:hint="default"/>
                <w:sz w:val="18"/>
                <w:szCs w:val="18"/>
              </w:rPr>
            </w:pPr>
            <w:r>
              <w:rPr>
                <w:rFonts w:ascii="Arial Narrow"/>
                <w:sz w:val="18"/>
              </w:rPr>
              <w:t>4,177,933.37</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31" w:right="0"/>
              <w:jc w:val="center"/>
              <w:rPr>
                <w:rFonts w:ascii="Arial Narrow" w:hAnsi="Arial Narrow" w:cs="Arial Narrow" w:eastAsia="Arial Narrow" w:hint="default"/>
                <w:sz w:val="18"/>
                <w:szCs w:val="18"/>
              </w:rPr>
            </w:pPr>
            <w:r>
              <w:rPr>
                <w:rFonts w:ascii="Arial Narrow"/>
                <w:sz w:val="18"/>
              </w:rPr>
              <w:t>-19,177,933.37</w:t>
            </w: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10"/>
              <w:jc w:val="right"/>
              <w:rPr>
                <w:rFonts w:ascii="Arial Narrow" w:hAnsi="Arial Narrow" w:cs="Arial Narrow" w:eastAsia="Arial Narrow" w:hint="default"/>
                <w:sz w:val="18"/>
                <w:szCs w:val="18"/>
              </w:rPr>
            </w:pPr>
            <w:r>
              <w:rPr>
                <w:rFonts w:ascii="Arial Narrow"/>
                <w:spacing w:val="-1"/>
                <w:sz w:val="18"/>
              </w:rPr>
              <w:t>-15,000,000.00</w:t>
            </w:r>
          </w:p>
        </w:tc>
      </w:tr>
      <w:tr>
        <w:trPr>
          <w:trHeight w:val="318"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7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2" w:right="0"/>
              <w:jc w:val="center"/>
              <w:rPr>
                <w:rFonts w:ascii="Arial Narrow" w:hAnsi="Arial Narrow" w:cs="Arial Narrow" w:eastAsia="Arial Narrow" w:hint="default"/>
                <w:sz w:val="18"/>
                <w:szCs w:val="18"/>
              </w:rPr>
            </w:pPr>
            <w:r>
              <w:rPr>
                <w:rFonts w:ascii="Arial Narrow"/>
                <w:sz w:val="18"/>
              </w:rPr>
              <w:t>4,177,933.37</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12" w:right="0"/>
              <w:jc w:val="center"/>
              <w:rPr>
                <w:rFonts w:ascii="Arial Narrow" w:hAnsi="Arial Narrow" w:cs="Arial Narrow" w:eastAsia="Arial Narrow" w:hint="default"/>
                <w:sz w:val="18"/>
                <w:szCs w:val="18"/>
              </w:rPr>
            </w:pPr>
            <w:r>
              <w:rPr>
                <w:rFonts w:ascii="Arial Narrow"/>
                <w:sz w:val="18"/>
              </w:rPr>
              <w:t>-4,177,933.37</w:t>
            </w: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．对股东的分配</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31" w:right="0"/>
              <w:jc w:val="center"/>
              <w:rPr>
                <w:rFonts w:ascii="Arial Narrow" w:hAnsi="Arial Narrow" w:cs="Arial Narrow" w:eastAsia="Arial Narrow" w:hint="default"/>
                <w:sz w:val="18"/>
                <w:szCs w:val="18"/>
              </w:rPr>
            </w:pPr>
            <w:r>
              <w:rPr>
                <w:rFonts w:ascii="Arial Narrow"/>
                <w:sz w:val="18"/>
              </w:rPr>
              <w:t>-15,000,000.00</w:t>
            </w: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Style w:val="TableParagraph"/>
              <w:spacing w:line="240" w:lineRule="auto" w:before="48"/>
              <w:ind w:right="110"/>
              <w:jc w:val="right"/>
              <w:rPr>
                <w:rFonts w:ascii="Arial Narrow" w:hAnsi="Arial Narrow" w:cs="Arial Narrow" w:eastAsia="Arial Narrow" w:hint="default"/>
                <w:sz w:val="18"/>
                <w:szCs w:val="18"/>
              </w:rPr>
            </w:pPr>
            <w:r>
              <w:rPr>
                <w:rFonts w:ascii="Arial Narrow"/>
                <w:spacing w:val="-1"/>
                <w:sz w:val="18"/>
              </w:rPr>
              <w:t>-15,000,000.00</w:t>
            </w:r>
          </w:p>
        </w:tc>
      </w:tr>
      <w:tr>
        <w:trPr>
          <w:trHeight w:val="305" w:hRule="exact"/>
        </w:trPr>
        <w:tc>
          <w:tcPr>
            <w:tcW w:w="3829"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bl>
    <w:p>
      <w:pPr>
        <w:spacing w:after="0"/>
        <w:sectPr>
          <w:headerReference w:type="default" r:id="rId51"/>
          <w:footerReference w:type="default" r:id="rId52"/>
          <w:pgSz w:w="16840" w:h="11910" w:orient="landscape"/>
          <w:pgMar w:header="884" w:footer="1174" w:top="1160" w:bottom="1360" w:left="860" w:right="1300"/>
          <w:pgNumType w:start="107"/>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544" w:type="dxa"/>
        <w:tblLayout w:type="fixed"/>
        <w:tblCellMar>
          <w:top w:w="0" w:type="dxa"/>
          <w:left w:w="0" w:type="dxa"/>
          <w:bottom w:w="0" w:type="dxa"/>
          <w:right w:w="0" w:type="dxa"/>
        </w:tblCellMar>
        <w:tblLook w:val="01E0"/>
      </w:tblPr>
      <w:tblGrid>
        <w:gridCol w:w="3843"/>
        <w:gridCol w:w="1243"/>
        <w:gridCol w:w="1243"/>
        <w:gridCol w:w="797"/>
        <w:gridCol w:w="828"/>
        <w:gridCol w:w="1162"/>
        <w:gridCol w:w="1249"/>
        <w:gridCol w:w="1135"/>
        <w:gridCol w:w="1188"/>
        <w:gridCol w:w="1251"/>
      </w:tblGrid>
      <w:tr>
        <w:trPr>
          <w:trHeight w:val="313"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82" w:right="0"/>
              <w:jc w:val="center"/>
              <w:rPr>
                <w:rFonts w:ascii="Arial Narrow" w:hAnsi="Arial Narrow" w:cs="Arial Narrow" w:eastAsia="Arial Narrow" w:hint="default"/>
                <w:sz w:val="18"/>
                <w:szCs w:val="18"/>
              </w:rPr>
            </w:pPr>
            <w:r>
              <w:rPr>
                <w:rFonts w:ascii="Arial Narrow"/>
                <w:sz w:val="18"/>
              </w:rPr>
              <w:t>45,000,000.00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36" w:right="0"/>
              <w:jc w:val="left"/>
              <w:rPr>
                <w:rFonts w:ascii="Arial Narrow" w:hAnsi="Arial Narrow" w:cs="Arial Narrow" w:eastAsia="Arial Narrow" w:hint="default"/>
                <w:sz w:val="18"/>
                <w:szCs w:val="18"/>
              </w:rPr>
            </w:pPr>
            <w:r>
              <w:rPr>
                <w:rFonts w:ascii="Arial Narrow"/>
                <w:sz w:val="18"/>
              </w:rPr>
              <w:t>-45,000,000.00</w:t>
            </w: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．资本公积转增股本</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82" w:right="0"/>
              <w:jc w:val="center"/>
              <w:rPr>
                <w:rFonts w:ascii="Arial Narrow" w:hAnsi="Arial Narrow" w:cs="Arial Narrow" w:eastAsia="Arial Narrow" w:hint="default"/>
                <w:sz w:val="18"/>
                <w:szCs w:val="18"/>
              </w:rPr>
            </w:pPr>
            <w:r>
              <w:rPr>
                <w:rFonts w:ascii="Arial Narrow"/>
                <w:sz w:val="18"/>
              </w:rPr>
              <w:t>45,000,000.00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36" w:right="0"/>
              <w:jc w:val="left"/>
              <w:rPr>
                <w:rFonts w:ascii="Arial Narrow" w:hAnsi="Arial Narrow" w:cs="Arial Narrow" w:eastAsia="Arial Narrow" w:hint="default"/>
                <w:sz w:val="18"/>
                <w:szCs w:val="18"/>
              </w:rPr>
            </w:pPr>
            <w:r>
              <w:rPr>
                <w:rFonts w:ascii="Arial Narrow"/>
                <w:sz w:val="18"/>
              </w:rPr>
              <w:t>-45,000,000.00</w:t>
            </w: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．盈余公积转增股本</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8"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．本期使用（以负号填列）</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06"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243"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828" w:type="dxa"/>
            <w:tcBorders>
              <w:top w:val="nil" w:sz="6" w:space="0" w:color="auto"/>
              <w:left w:val="single" w:sz="4" w:space="0" w:color="000000"/>
              <w:bottom w:val="nil" w:sz="6" w:space="0" w:color="auto"/>
              <w:right w:val="single" w:sz="4" w:space="0" w:color="000000"/>
            </w:tcBorders>
          </w:tcPr>
          <w:p>
            <w:pPr/>
          </w:p>
        </w:tc>
        <w:tc>
          <w:tcPr>
            <w:tcW w:w="1162" w:type="dxa"/>
            <w:tcBorders>
              <w:top w:val="nil" w:sz="6" w:space="0" w:color="auto"/>
              <w:left w:val="single" w:sz="4" w:space="0" w:color="000000"/>
              <w:bottom w:val="nil" w:sz="6" w:space="0" w:color="auto"/>
              <w:right w:val="single" w:sz="4" w:space="0" w:color="000000"/>
            </w:tcBorders>
          </w:tcPr>
          <w:p>
            <w:pPr/>
          </w:p>
        </w:tc>
        <w:tc>
          <w:tcPr>
            <w:tcW w:w="1249"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1188" w:type="dxa"/>
            <w:tcBorders>
              <w:top w:val="nil" w:sz="6" w:space="0" w:color="auto"/>
              <w:left w:val="single" w:sz="4" w:space="0" w:color="000000"/>
              <w:bottom w:val="nil" w:sz="6" w:space="0" w:color="auto"/>
              <w:right w:val="single" w:sz="4" w:space="0" w:color="000000"/>
            </w:tcBorders>
          </w:tcPr>
          <w:p>
            <w:pPr/>
          </w:p>
        </w:tc>
        <w:tc>
          <w:tcPr>
            <w:tcW w:w="1251" w:type="dxa"/>
            <w:tcBorders>
              <w:top w:val="nil" w:sz="6" w:space="0" w:color="auto"/>
              <w:left w:val="single" w:sz="4" w:space="0" w:color="000000"/>
              <w:bottom w:val="nil" w:sz="6" w:space="0" w:color="auto"/>
              <w:right w:val="nil" w:sz="6" w:space="0" w:color="auto"/>
            </w:tcBorders>
          </w:tcPr>
          <w:p>
            <w:pPr/>
          </w:p>
        </w:tc>
      </w:tr>
      <w:tr>
        <w:trPr>
          <w:trHeight w:val="316" w:hRule="exact"/>
        </w:trPr>
        <w:tc>
          <w:tcPr>
            <w:tcW w:w="3843"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四、本年年末余额</w:t>
            </w:r>
            <w:r>
              <w:rPr>
                <w:rFonts w:ascii="宋体" w:hAnsi="宋体" w:cs="宋体" w:eastAsia="宋体" w:hint="default"/>
                <w:sz w:val="21"/>
                <w:szCs w:val="21"/>
              </w:rPr>
            </w:r>
          </w:p>
        </w:tc>
        <w:tc>
          <w:tcPr>
            <w:tcW w:w="1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right="0"/>
              <w:jc w:val="center"/>
              <w:rPr>
                <w:rFonts w:ascii="Arial Narrow" w:hAnsi="Arial Narrow" w:cs="Arial Narrow" w:eastAsia="Arial Narrow" w:hint="default"/>
                <w:sz w:val="18"/>
                <w:szCs w:val="18"/>
              </w:rPr>
            </w:pPr>
            <w:r>
              <w:rPr>
                <w:rFonts w:ascii="Arial Narrow"/>
                <w:sz w:val="18"/>
              </w:rPr>
              <w:t>120,000,000.00</w:t>
            </w:r>
          </w:p>
        </w:tc>
        <w:tc>
          <w:tcPr>
            <w:tcW w:w="12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Arial Narrow" w:hAnsi="Arial Narrow" w:cs="Arial Narrow" w:eastAsia="Arial Narrow" w:hint="default"/>
                <w:sz w:val="18"/>
                <w:szCs w:val="18"/>
              </w:rPr>
            </w:pPr>
            <w:r>
              <w:rPr>
                <w:rFonts w:ascii="Arial Narrow"/>
                <w:sz w:val="18"/>
              </w:rPr>
              <w:t>312,880,834.12</w:t>
            </w:r>
          </w:p>
        </w:tc>
        <w:tc>
          <w:tcPr>
            <w:tcW w:w="797" w:type="dxa"/>
            <w:tcBorders>
              <w:top w:val="nil" w:sz="6" w:space="0" w:color="auto"/>
              <w:left w:val="single" w:sz="4" w:space="0" w:color="000000"/>
              <w:bottom w:val="single" w:sz="4" w:space="0" w:color="000000"/>
              <w:right w:val="single" w:sz="4" w:space="0" w:color="000000"/>
            </w:tcBorders>
          </w:tcPr>
          <w:p>
            <w:pPr/>
          </w:p>
        </w:tc>
        <w:tc>
          <w:tcPr>
            <w:tcW w:w="828" w:type="dxa"/>
            <w:tcBorders>
              <w:top w:val="nil" w:sz="6" w:space="0" w:color="auto"/>
              <w:left w:val="single" w:sz="4" w:space="0" w:color="000000"/>
              <w:bottom w:val="single" w:sz="4" w:space="0" w:color="000000"/>
              <w:right w:val="single" w:sz="4" w:space="0" w:color="000000"/>
            </w:tcBorders>
          </w:tcPr>
          <w:p>
            <w:pPr/>
          </w:p>
        </w:tc>
        <w:tc>
          <w:tcPr>
            <w:tcW w:w="11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Arial Narrow" w:hAnsi="Arial Narrow" w:cs="Arial Narrow" w:eastAsia="Arial Narrow" w:hint="default"/>
                <w:sz w:val="18"/>
                <w:szCs w:val="18"/>
              </w:rPr>
            </w:pPr>
            <w:r>
              <w:rPr>
                <w:rFonts w:ascii="Arial Narrow"/>
                <w:sz w:val="18"/>
              </w:rPr>
              <w:t>13,695,133.81</w:t>
            </w:r>
          </w:p>
        </w:tc>
        <w:tc>
          <w:tcPr>
            <w:tcW w:w="12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Arial Narrow" w:hAnsi="Arial Narrow" w:cs="Arial Narrow" w:eastAsia="Arial Narrow" w:hint="default"/>
                <w:sz w:val="18"/>
                <w:szCs w:val="18"/>
              </w:rPr>
            </w:pPr>
            <w:r>
              <w:rPr>
                <w:rFonts w:ascii="Arial Narrow"/>
                <w:sz w:val="18"/>
              </w:rPr>
              <w:t>100,593,534.60</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232" w:right="0"/>
              <w:jc w:val="left"/>
              <w:rPr>
                <w:rFonts w:ascii="Arial Narrow" w:hAnsi="Arial Narrow" w:cs="Arial Narrow" w:eastAsia="Arial Narrow" w:hint="default"/>
                <w:sz w:val="18"/>
                <w:szCs w:val="18"/>
              </w:rPr>
            </w:pPr>
            <w:r>
              <w:rPr>
                <w:rFonts w:ascii="Arial Narrow"/>
                <w:sz w:val="18"/>
              </w:rPr>
              <w:t>-641,799.83</w:t>
            </w:r>
          </w:p>
        </w:tc>
        <w:tc>
          <w:tcPr>
            <w:tcW w:w="11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132" w:right="0"/>
              <w:jc w:val="left"/>
              <w:rPr>
                <w:rFonts w:ascii="Arial Narrow" w:hAnsi="Arial Narrow" w:cs="Arial Narrow" w:eastAsia="Arial Narrow" w:hint="default"/>
                <w:sz w:val="18"/>
                <w:szCs w:val="18"/>
              </w:rPr>
            </w:pPr>
            <w:r>
              <w:rPr>
                <w:rFonts w:ascii="Arial Narrow"/>
                <w:sz w:val="18"/>
              </w:rPr>
              <w:t>20,718,143.22</w:t>
            </w:r>
          </w:p>
        </w:tc>
        <w:tc>
          <w:tcPr>
            <w:tcW w:w="1251" w:type="dxa"/>
            <w:tcBorders>
              <w:top w:val="nil" w:sz="6" w:space="0" w:color="auto"/>
              <w:left w:val="single" w:sz="4" w:space="0" w:color="000000"/>
              <w:bottom w:val="single" w:sz="4" w:space="0" w:color="000000"/>
              <w:right w:val="nil" w:sz="6" w:space="0" w:color="auto"/>
            </w:tcBorders>
          </w:tcPr>
          <w:p>
            <w:pPr>
              <w:pStyle w:val="TableParagraph"/>
              <w:spacing w:line="240" w:lineRule="auto" w:before="53"/>
              <w:ind w:left="107" w:right="0"/>
              <w:jc w:val="left"/>
              <w:rPr>
                <w:rFonts w:ascii="Arial Narrow" w:hAnsi="Arial Narrow" w:cs="Arial Narrow" w:eastAsia="Arial Narrow" w:hint="default"/>
                <w:sz w:val="18"/>
                <w:szCs w:val="18"/>
              </w:rPr>
            </w:pPr>
            <w:r>
              <w:rPr>
                <w:rFonts w:ascii="Arial Narrow"/>
                <w:sz w:val="18"/>
              </w:rPr>
              <w:t>567,245,845.92</w:t>
            </w:r>
          </w:p>
        </w:tc>
      </w:tr>
    </w:tbl>
    <w:p>
      <w:pPr>
        <w:spacing w:after="0" w:line="240" w:lineRule="auto"/>
        <w:jc w:val="left"/>
        <w:rPr>
          <w:rFonts w:ascii="Arial Narrow" w:hAnsi="Arial Narrow" w:cs="Arial Narrow" w:eastAsia="Arial Narrow" w:hint="default"/>
          <w:sz w:val="18"/>
          <w:szCs w:val="18"/>
        </w:rPr>
        <w:sectPr>
          <w:pgSz w:w="16840" w:h="11910" w:orient="landscape"/>
          <w:pgMar w:header="884" w:footer="1174" w:top="1160" w:bottom="1360" w:left="8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pStyle w:val="Heading5"/>
        <w:spacing w:line="240" w:lineRule="auto" w:before="26"/>
        <w:ind w:left="8352" w:right="0"/>
        <w:jc w:val="left"/>
        <w:rPr>
          <w:b w:val="0"/>
          <w:bCs w:val="0"/>
        </w:rPr>
      </w:pPr>
      <w:r>
        <w:rPr/>
        <w:t>合并股东权益变动表</w:t>
      </w:r>
      <w:r>
        <w:rPr>
          <w:b w:val="0"/>
          <w:bCs w:val="0"/>
        </w:rPr>
      </w:r>
    </w:p>
    <w:p>
      <w:pPr>
        <w:spacing w:before="121"/>
        <w:ind w:left="6133" w:right="2698"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12908" w:val="left" w:leader="none"/>
        </w:tabs>
        <w:spacing w:before="69"/>
        <w:ind w:left="651"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3"/>
          <w:szCs w:val="3"/>
        </w:rPr>
      </w:pPr>
    </w:p>
    <w:tbl>
      <w:tblPr>
        <w:tblW w:w="0" w:type="auto"/>
        <w:jc w:val="left"/>
        <w:tblInd w:w="544" w:type="dxa"/>
        <w:tblLayout w:type="fixed"/>
        <w:tblCellMar>
          <w:top w:w="0" w:type="dxa"/>
          <w:left w:w="0" w:type="dxa"/>
          <w:bottom w:w="0" w:type="dxa"/>
          <w:right w:w="0" w:type="dxa"/>
        </w:tblCellMar>
        <w:tblLook w:val="01E0"/>
      </w:tblPr>
      <w:tblGrid>
        <w:gridCol w:w="3843"/>
        <w:gridCol w:w="1226"/>
        <w:gridCol w:w="1243"/>
        <w:gridCol w:w="800"/>
        <w:gridCol w:w="811"/>
        <w:gridCol w:w="1176"/>
        <w:gridCol w:w="1261"/>
        <w:gridCol w:w="1121"/>
        <w:gridCol w:w="1190"/>
        <w:gridCol w:w="1272"/>
      </w:tblGrid>
      <w:tr>
        <w:trPr>
          <w:trHeight w:val="322" w:hRule="exact"/>
        </w:trPr>
        <w:tc>
          <w:tcPr>
            <w:tcW w:w="384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101" w:type="dxa"/>
            <w:gridSpan w:val="9"/>
            <w:tcBorders>
              <w:top w:val="single" w:sz="4"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2" w:hRule="exact"/>
        </w:trPr>
        <w:tc>
          <w:tcPr>
            <w:tcW w:w="3843" w:type="dxa"/>
            <w:vMerge/>
            <w:tcBorders>
              <w:left w:val="nil" w:sz="6" w:space="0" w:color="auto"/>
              <w:right w:val="single" w:sz="4" w:space="0" w:color="000000"/>
            </w:tcBorders>
          </w:tcPr>
          <w:p>
            <w:pPr/>
          </w:p>
        </w:tc>
        <w:tc>
          <w:tcPr>
            <w:tcW w:w="7638"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归属于母公司股东权益</w:t>
            </w:r>
            <w:r>
              <w:rPr>
                <w:rFonts w:ascii="宋体" w:hAnsi="宋体" w:cs="宋体" w:eastAsia="宋体" w:hint="default"/>
                <w:sz w:val="21"/>
                <w:szCs w:val="21"/>
              </w:rPr>
            </w:r>
          </w:p>
        </w:tc>
        <w:tc>
          <w:tcPr>
            <w:tcW w:w="1190" w:type="dxa"/>
            <w:vMerge w:val="restart"/>
            <w:tcBorders>
              <w:top w:val="single" w:sz="4" w:space="0" w:color="000000"/>
              <w:left w:val="single" w:sz="4" w:space="0" w:color="000000"/>
              <w:right w:val="single" w:sz="4" w:space="0" w:color="000000"/>
            </w:tcBorders>
          </w:tcPr>
          <w:p>
            <w:pPr>
              <w:pStyle w:val="TableParagraph"/>
              <w:spacing w:line="273" w:lineRule="auto" w:before="149"/>
              <w:ind w:left="376" w:right="168" w:hanging="212"/>
              <w:jc w:val="left"/>
              <w:rPr>
                <w:rFonts w:ascii="宋体" w:hAnsi="宋体" w:cs="宋体" w:eastAsia="宋体" w:hint="default"/>
                <w:sz w:val="21"/>
                <w:szCs w:val="21"/>
              </w:rPr>
            </w:pPr>
            <w:r>
              <w:rPr>
                <w:rFonts w:ascii="宋体" w:hAnsi="宋体" w:cs="宋体" w:eastAsia="宋体" w:hint="default"/>
                <w:b/>
                <w:bCs/>
                <w:sz w:val="21"/>
                <w:szCs w:val="21"/>
              </w:rPr>
              <w:t>少数股东</w:t>
            </w:r>
            <w:r>
              <w:rPr>
                <w:rFonts w:ascii="宋体" w:hAnsi="宋体" w:cs="宋体" w:eastAsia="宋体" w:hint="default"/>
                <w:b/>
                <w:bCs/>
                <w:w w:val="100"/>
                <w:sz w:val="21"/>
                <w:szCs w:val="21"/>
              </w:rPr>
              <w:t> </w:t>
            </w:r>
            <w:r>
              <w:rPr>
                <w:rFonts w:ascii="宋体" w:hAnsi="宋体" w:cs="宋体" w:eastAsia="宋体" w:hint="default"/>
                <w:b/>
                <w:bCs/>
                <w:sz w:val="21"/>
                <w:szCs w:val="21"/>
              </w:rPr>
              <w:t>权益</w:t>
            </w:r>
            <w:r>
              <w:rPr>
                <w:rFonts w:ascii="宋体" w:hAnsi="宋体" w:cs="宋体" w:eastAsia="宋体" w:hint="default"/>
                <w:sz w:val="21"/>
                <w:szCs w:val="21"/>
              </w:rPr>
            </w:r>
          </w:p>
        </w:tc>
        <w:tc>
          <w:tcPr>
            <w:tcW w:w="1272" w:type="dxa"/>
            <w:vMerge w:val="restart"/>
            <w:tcBorders>
              <w:top w:val="single" w:sz="4" w:space="0" w:color="000000"/>
              <w:left w:val="single" w:sz="4" w:space="0" w:color="000000"/>
              <w:right w:val="single" w:sz="4" w:space="0" w:color="000000"/>
            </w:tcBorders>
          </w:tcPr>
          <w:p>
            <w:pPr>
              <w:pStyle w:val="TableParagraph"/>
              <w:spacing w:line="273" w:lineRule="auto" w:before="149"/>
              <w:ind w:left="417" w:right="207" w:hanging="209"/>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b/>
                <w:bCs/>
                <w:w w:val="100"/>
                <w:sz w:val="21"/>
                <w:szCs w:val="21"/>
              </w:rPr>
              <w:t> </w:t>
            </w:r>
            <w:r>
              <w:rPr>
                <w:rFonts w:ascii="宋体" w:hAnsi="宋体" w:cs="宋体" w:eastAsia="宋体" w:hint="default"/>
                <w:b/>
                <w:bCs/>
                <w:sz w:val="21"/>
                <w:szCs w:val="21"/>
              </w:rPr>
              <w:t>合计</w:t>
            </w:r>
            <w:r>
              <w:rPr>
                <w:rFonts w:ascii="宋体" w:hAnsi="宋体" w:cs="宋体" w:eastAsia="宋体" w:hint="default"/>
                <w:sz w:val="21"/>
                <w:szCs w:val="21"/>
              </w:rPr>
            </w:r>
          </w:p>
        </w:tc>
      </w:tr>
      <w:tr>
        <w:trPr>
          <w:trHeight w:val="634" w:hRule="exact"/>
        </w:trPr>
        <w:tc>
          <w:tcPr>
            <w:tcW w:w="3843" w:type="dxa"/>
            <w:vMerge/>
            <w:tcBorders>
              <w:left w:val="nil" w:sz="6" w:space="0" w:color="auto"/>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94"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2" w:right="99" w:hanging="80"/>
              <w:jc w:val="left"/>
              <w:rPr>
                <w:rFonts w:ascii="宋体" w:hAnsi="宋体" w:cs="宋体" w:eastAsia="宋体" w:hint="default"/>
                <w:sz w:val="21"/>
                <w:szCs w:val="21"/>
              </w:rPr>
            </w:pPr>
            <w:r>
              <w:rPr>
                <w:rFonts w:ascii="宋体" w:hAnsi="宋体" w:cs="宋体" w:eastAsia="宋体" w:hint="default"/>
                <w:b/>
                <w:bCs/>
                <w:spacing w:val="-16"/>
                <w:sz w:val="21"/>
                <w:szCs w:val="21"/>
              </w:rPr>
              <w:t>减：库</w:t>
            </w:r>
            <w:r>
              <w:rPr>
                <w:rFonts w:ascii="宋体" w:hAnsi="宋体" w:cs="宋体" w:eastAsia="宋体" w:hint="default"/>
                <w:b/>
                <w:bCs/>
                <w:w w:val="100"/>
                <w:sz w:val="21"/>
                <w:szCs w:val="21"/>
              </w:rPr>
              <w:t> </w:t>
            </w:r>
            <w:r>
              <w:rPr>
                <w:rFonts w:ascii="宋体" w:hAnsi="宋体" w:cs="宋体" w:eastAsia="宋体" w:hint="default"/>
                <w:b/>
                <w:bCs/>
                <w:sz w:val="21"/>
                <w:szCs w:val="21"/>
              </w:rPr>
              <w:t>存股</w:t>
            </w:r>
            <w:r>
              <w:rPr>
                <w:rFonts w:ascii="宋体" w:hAnsi="宋体" w:cs="宋体" w:eastAsia="宋体" w:hint="default"/>
                <w:sz w:val="21"/>
                <w:szCs w:val="21"/>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9" w:right="187"/>
              <w:jc w:val="left"/>
              <w:rPr>
                <w:rFonts w:ascii="宋体" w:hAnsi="宋体" w:cs="宋体" w:eastAsia="宋体" w:hint="default"/>
                <w:sz w:val="21"/>
                <w:szCs w:val="21"/>
              </w:rPr>
            </w:pPr>
            <w:r>
              <w:rPr>
                <w:rFonts w:ascii="宋体" w:hAnsi="宋体" w:cs="宋体" w:eastAsia="宋体" w:hint="default"/>
                <w:b/>
                <w:bCs/>
                <w:sz w:val="21"/>
                <w:szCs w:val="21"/>
              </w:rPr>
              <w:t>专项</w:t>
            </w:r>
            <w:r>
              <w:rPr>
                <w:rFonts w:ascii="宋体" w:hAnsi="宋体" w:cs="宋体" w:eastAsia="宋体" w:hint="default"/>
                <w:b/>
                <w:bCs/>
                <w:w w:val="100"/>
                <w:sz w:val="21"/>
                <w:szCs w:val="21"/>
              </w:rPr>
              <w:t> </w:t>
            </w:r>
            <w:r>
              <w:rPr>
                <w:rFonts w:ascii="宋体" w:hAnsi="宋体" w:cs="宋体" w:eastAsia="宋体" w:hint="default"/>
                <w:b/>
                <w:bCs/>
                <w:sz w:val="21"/>
                <w:szCs w:val="21"/>
              </w:rPr>
              <w:t>储备</w:t>
            </w:r>
            <w:r>
              <w:rPr>
                <w:rFonts w:ascii="宋体" w:hAnsi="宋体" w:cs="宋体" w:eastAsia="宋体" w:hint="default"/>
                <w:sz w:val="21"/>
                <w:szCs w:val="21"/>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0"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18" w:right="200" w:hanging="315"/>
              <w:jc w:val="left"/>
              <w:rPr>
                <w:rFonts w:ascii="宋体" w:hAnsi="宋体" w:cs="宋体" w:eastAsia="宋体" w:hint="default"/>
                <w:sz w:val="21"/>
                <w:szCs w:val="21"/>
              </w:rPr>
            </w:pPr>
            <w:r>
              <w:rPr>
                <w:rFonts w:ascii="宋体" w:hAnsi="宋体" w:cs="宋体" w:eastAsia="宋体" w:hint="default"/>
                <w:b/>
                <w:bCs/>
                <w:sz w:val="21"/>
                <w:szCs w:val="21"/>
              </w:rPr>
              <w:t>未分配利</w:t>
            </w:r>
            <w:r>
              <w:rPr>
                <w:rFonts w:ascii="宋体" w:hAnsi="宋体" w:cs="宋体" w:eastAsia="宋体" w:hint="default"/>
                <w:b/>
                <w:bCs/>
                <w:w w:val="100"/>
                <w:sz w:val="21"/>
                <w:szCs w:val="21"/>
              </w:rPr>
              <w:t> </w:t>
            </w:r>
            <w:r>
              <w:rPr>
                <w:rFonts w:ascii="宋体" w:hAnsi="宋体" w:cs="宋体" w:eastAsia="宋体" w:hint="default"/>
                <w:b/>
                <w:bCs/>
                <w:sz w:val="21"/>
                <w:szCs w:val="21"/>
              </w:rPr>
              <w:t>润</w:t>
            </w:r>
            <w:r>
              <w:rPr>
                <w:rFonts w:ascii="宋体" w:hAnsi="宋体" w:cs="宋体" w:eastAsia="宋体" w:hint="default"/>
                <w:sz w:val="21"/>
                <w:szCs w:val="21"/>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190"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r>
      <w:tr>
        <w:trPr>
          <w:trHeight w:val="318" w:hRule="exact"/>
        </w:trPr>
        <w:tc>
          <w:tcPr>
            <w:tcW w:w="3843"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一、上年年末余额</w:t>
            </w:r>
            <w:r>
              <w:rPr>
                <w:rFonts w:ascii="宋体" w:hAnsi="宋体" w:cs="宋体" w:eastAsia="宋体" w:hint="default"/>
                <w:sz w:val="21"/>
                <w:szCs w:val="21"/>
              </w:rPr>
            </w:r>
          </w:p>
        </w:tc>
        <w:tc>
          <w:tcPr>
            <w:tcW w:w="12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65" w:right="0"/>
              <w:jc w:val="center"/>
              <w:rPr>
                <w:rFonts w:ascii="Arial Narrow" w:hAnsi="Arial Narrow" w:cs="Arial Narrow" w:eastAsia="Arial Narrow" w:hint="default"/>
                <w:sz w:val="18"/>
                <w:szCs w:val="18"/>
              </w:rPr>
            </w:pPr>
            <w:r>
              <w:rPr>
                <w:rFonts w:ascii="Arial Narrow"/>
                <w:sz w:val="18"/>
              </w:rPr>
              <w:t>75,000,000.00</w:t>
            </w:r>
          </w:p>
        </w:tc>
        <w:tc>
          <w:tcPr>
            <w:tcW w:w="12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354,715,733.72</w:t>
            </w:r>
          </w:p>
        </w:tc>
        <w:tc>
          <w:tcPr>
            <w:tcW w:w="800" w:type="dxa"/>
            <w:tcBorders>
              <w:top w:val="single" w:sz="4" w:space="0" w:color="000000"/>
              <w:left w:val="single" w:sz="4" w:space="0" w:color="000000"/>
              <w:bottom w:val="nil" w:sz="6" w:space="0" w:color="auto"/>
              <w:right w:val="single" w:sz="4" w:space="0" w:color="000000"/>
            </w:tcBorders>
          </w:tcPr>
          <w:p>
            <w:pPr/>
          </w:p>
        </w:tc>
        <w:tc>
          <w:tcPr>
            <w:tcW w:w="811" w:type="dxa"/>
            <w:tcBorders>
              <w:top w:val="single" w:sz="4" w:space="0" w:color="000000"/>
              <w:left w:val="single" w:sz="4" w:space="0" w:color="000000"/>
              <w:bottom w:val="nil" w:sz="6" w:space="0" w:color="auto"/>
              <w:right w:val="single" w:sz="4" w:space="0" w:color="000000"/>
            </w:tcBorders>
          </w:tcPr>
          <w:p>
            <w:pPr/>
          </w:p>
        </w:tc>
        <w:tc>
          <w:tcPr>
            <w:tcW w:w="11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201" w:right="0"/>
              <w:jc w:val="left"/>
              <w:rPr>
                <w:rFonts w:ascii="Arial Narrow" w:hAnsi="Arial Narrow" w:cs="Arial Narrow" w:eastAsia="Arial Narrow" w:hint="default"/>
                <w:sz w:val="18"/>
                <w:szCs w:val="18"/>
              </w:rPr>
            </w:pPr>
            <w:r>
              <w:rPr>
                <w:rFonts w:ascii="Arial Narrow"/>
                <w:sz w:val="18"/>
              </w:rPr>
              <w:t>5,330,372.25</w:t>
            </w:r>
          </w:p>
        </w:tc>
        <w:tc>
          <w:tcPr>
            <w:tcW w:w="12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47,122,663.02</w:t>
            </w:r>
          </w:p>
        </w:tc>
        <w:tc>
          <w:tcPr>
            <w:tcW w:w="11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left="110" w:right="0"/>
              <w:jc w:val="center"/>
              <w:rPr>
                <w:rFonts w:ascii="Arial Narrow" w:hAnsi="Arial Narrow" w:cs="Arial Narrow" w:eastAsia="Arial Narrow" w:hint="default"/>
                <w:sz w:val="18"/>
                <w:szCs w:val="18"/>
              </w:rPr>
            </w:pPr>
            <w:r>
              <w:rPr>
                <w:rFonts w:ascii="Arial Narrow"/>
                <w:sz w:val="18"/>
              </w:rPr>
              <w:t>-135,020.65</w:t>
            </w:r>
          </w:p>
        </w:tc>
        <w:tc>
          <w:tcPr>
            <w:tcW w:w="1190"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4"/>
              <w:ind w:right="103"/>
              <w:jc w:val="right"/>
              <w:rPr>
                <w:rFonts w:ascii="Arial Narrow" w:hAnsi="Arial Narrow" w:cs="Arial Narrow" w:eastAsia="Arial Narrow" w:hint="default"/>
                <w:sz w:val="18"/>
                <w:szCs w:val="18"/>
              </w:rPr>
            </w:pPr>
            <w:r>
              <w:rPr>
                <w:rFonts w:ascii="Arial Narrow"/>
                <w:spacing w:val="-1"/>
                <w:sz w:val="18"/>
              </w:rPr>
              <w:t>482,033,748.34</w:t>
            </w: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二、本年年初余额</w:t>
            </w:r>
            <w:r>
              <w:rPr>
                <w:rFonts w:ascii="宋体" w:hAnsi="宋体" w:cs="宋体" w:eastAsia="宋体" w:hint="default"/>
                <w:sz w:val="21"/>
                <w:szCs w:val="21"/>
              </w:rPr>
            </w:r>
          </w:p>
        </w:tc>
        <w:tc>
          <w:tcPr>
            <w:tcW w:w="122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65" w:right="0"/>
              <w:jc w:val="center"/>
              <w:rPr>
                <w:rFonts w:ascii="Arial Narrow" w:hAnsi="Arial Narrow" w:cs="Arial Narrow" w:eastAsia="Arial Narrow" w:hint="default"/>
                <w:sz w:val="18"/>
                <w:szCs w:val="18"/>
              </w:rPr>
            </w:pPr>
            <w:r>
              <w:rPr>
                <w:rFonts w:ascii="Arial Narrow"/>
                <w:sz w:val="18"/>
              </w:rPr>
              <w:t>75,000,000.00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354,715,733.72</w:t>
            </w: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01" w:right="0"/>
              <w:jc w:val="left"/>
              <w:rPr>
                <w:rFonts w:ascii="Arial Narrow" w:hAnsi="Arial Narrow" w:cs="Arial Narrow" w:eastAsia="Arial Narrow" w:hint="default"/>
                <w:sz w:val="18"/>
                <w:szCs w:val="18"/>
              </w:rPr>
            </w:pPr>
            <w:r>
              <w:rPr>
                <w:rFonts w:ascii="Arial Narrow"/>
                <w:sz w:val="18"/>
              </w:rPr>
              <w:t>5,330,372.25</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47,122,663.02</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10" w:right="0"/>
              <w:jc w:val="center"/>
              <w:rPr>
                <w:rFonts w:ascii="Arial Narrow" w:hAnsi="Arial Narrow" w:cs="Arial Narrow" w:eastAsia="Arial Narrow" w:hint="default"/>
                <w:sz w:val="18"/>
                <w:szCs w:val="18"/>
              </w:rPr>
            </w:pPr>
            <w:r>
              <w:rPr>
                <w:rFonts w:ascii="Arial Narrow"/>
                <w:sz w:val="18"/>
              </w:rPr>
              <w:t>-135,020.65</w:t>
            </w: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482,033,748.34</w:t>
            </w:r>
          </w:p>
        </w:tc>
      </w:tr>
      <w:tr>
        <w:trPr>
          <w:trHeight w:val="624"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7"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三、本年增减变动金额（减少以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w:t>
            </w:r>
            <w:r>
              <w:rPr>
                <w:rFonts w:ascii="宋体" w:hAnsi="宋体" w:cs="宋体" w:eastAsia="宋体" w:hint="default"/>
                <w:sz w:val="21"/>
                <w:szCs w:val="21"/>
              </w:rPr>
            </w:r>
          </w:p>
          <w:p>
            <w:pPr>
              <w:pStyle w:val="TableParagraph"/>
              <w:spacing w:line="240" w:lineRule="auto" w:before="21"/>
              <w:ind w:left="107" w:right="0"/>
              <w:jc w:val="left"/>
              <w:rPr>
                <w:rFonts w:ascii="宋体" w:hAnsi="宋体" w:cs="宋体" w:eastAsia="宋体" w:hint="default"/>
                <w:sz w:val="21"/>
                <w:szCs w:val="21"/>
              </w:rPr>
            </w:pPr>
            <w:r>
              <w:rPr>
                <w:rFonts w:ascii="宋体" w:hAnsi="宋体" w:cs="宋体" w:eastAsia="宋体" w:hint="default"/>
                <w:b/>
                <w:bCs/>
                <w:sz w:val="21"/>
                <w:szCs w:val="21"/>
              </w:rPr>
              <w:t>列）</w:t>
            </w:r>
            <w:r>
              <w:rPr>
                <w:rFonts w:ascii="宋体" w:hAnsi="宋体" w:cs="宋体" w:eastAsia="宋体" w:hint="default"/>
                <w:sz w:val="21"/>
                <w:szCs w:val="21"/>
              </w:rPr>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-277,037.89</w:t>
            </w: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01" w:right="0"/>
              <w:jc w:val="left"/>
              <w:rPr>
                <w:rFonts w:ascii="Arial Narrow" w:hAnsi="Arial Narrow" w:cs="Arial Narrow" w:eastAsia="Arial Narrow" w:hint="default"/>
                <w:sz w:val="18"/>
                <w:szCs w:val="18"/>
              </w:rPr>
            </w:pPr>
            <w:r>
              <w:rPr>
                <w:rFonts w:ascii="Arial Narrow"/>
                <w:sz w:val="18"/>
              </w:rPr>
              <w:t>4,186,828.19</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25,887,716.49</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10" w:right="0"/>
              <w:jc w:val="center"/>
              <w:rPr>
                <w:rFonts w:ascii="Arial Narrow" w:hAnsi="Arial Narrow" w:cs="Arial Narrow" w:eastAsia="Arial Narrow" w:hint="default"/>
                <w:sz w:val="18"/>
                <w:szCs w:val="18"/>
              </w:rPr>
            </w:pPr>
            <w:r>
              <w:rPr>
                <w:rFonts w:ascii="Arial Narrow"/>
                <w:sz w:val="18"/>
              </w:rPr>
              <w:t>-347,689.62</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20,296,921.64</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3"/>
              <w:jc w:val="right"/>
              <w:rPr>
                <w:rFonts w:ascii="Arial Narrow" w:hAnsi="Arial Narrow" w:cs="Arial Narrow" w:eastAsia="Arial Narrow" w:hint="default"/>
                <w:sz w:val="18"/>
                <w:szCs w:val="18"/>
              </w:rPr>
            </w:pPr>
            <w:r>
              <w:rPr>
                <w:rFonts w:ascii="Arial Narrow"/>
                <w:spacing w:val="-1"/>
                <w:sz w:val="18"/>
              </w:rPr>
              <w:t>49,746,738.81</w:t>
            </w: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45,074,544.68</w:t>
            </w: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5"/>
              <w:jc w:val="right"/>
              <w:rPr>
                <w:rFonts w:ascii="Arial Narrow" w:hAnsi="Arial Narrow" w:cs="Arial Narrow" w:eastAsia="Arial Narrow" w:hint="default"/>
                <w:sz w:val="18"/>
                <w:szCs w:val="18"/>
              </w:rPr>
            </w:pPr>
            <w:r>
              <w:rPr>
                <w:rFonts w:ascii="Arial Narrow"/>
                <w:spacing w:val="-1"/>
                <w:sz w:val="18"/>
              </w:rPr>
              <w:t>-130,839.25</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44,943,705.43</w:t>
            </w: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-537,937.89</w:t>
            </w: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10" w:right="0"/>
              <w:jc w:val="center"/>
              <w:rPr>
                <w:rFonts w:ascii="Arial Narrow" w:hAnsi="Arial Narrow" w:cs="Arial Narrow" w:eastAsia="Arial Narrow" w:hint="default"/>
                <w:sz w:val="18"/>
                <w:szCs w:val="18"/>
              </w:rPr>
            </w:pPr>
            <w:r>
              <w:rPr>
                <w:rFonts w:ascii="Arial Narrow"/>
                <w:sz w:val="18"/>
              </w:rPr>
              <w:t>-347,689.62</w:t>
            </w: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-885,627.51</w:t>
            </w: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-537,937.89</w:t>
            </w: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45,074,544.68</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110" w:right="0"/>
              <w:jc w:val="center"/>
              <w:rPr>
                <w:rFonts w:ascii="Arial Narrow" w:hAnsi="Arial Narrow" w:cs="Arial Narrow" w:eastAsia="Arial Narrow" w:hint="default"/>
                <w:sz w:val="18"/>
                <w:szCs w:val="18"/>
              </w:rPr>
            </w:pPr>
            <w:r>
              <w:rPr>
                <w:rFonts w:ascii="Arial Narrow"/>
                <w:sz w:val="18"/>
              </w:rPr>
              <w:t>-347,689.62</w:t>
            </w: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5"/>
              <w:jc w:val="right"/>
              <w:rPr>
                <w:rFonts w:ascii="Arial Narrow" w:hAnsi="Arial Narrow" w:cs="Arial Narrow" w:eastAsia="Arial Narrow" w:hint="default"/>
                <w:sz w:val="18"/>
                <w:szCs w:val="18"/>
              </w:rPr>
            </w:pPr>
            <w:r>
              <w:rPr>
                <w:rFonts w:ascii="Arial Narrow"/>
                <w:spacing w:val="-1"/>
                <w:sz w:val="18"/>
              </w:rPr>
              <w:t>-130,839.25</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44,058,077.92</w:t>
            </w: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（三）股东投入和减少资本</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Arial Narrow" w:hAnsi="Arial Narrow" w:cs="Arial Narrow" w:eastAsia="Arial Narrow" w:hint="default"/>
                <w:sz w:val="18"/>
                <w:szCs w:val="18"/>
              </w:rPr>
            </w:pPr>
            <w:r>
              <w:rPr>
                <w:rFonts w:ascii="Arial Narrow"/>
                <w:spacing w:val="-1"/>
                <w:sz w:val="18"/>
              </w:rPr>
              <w:t>260,900.00</w:t>
            </w: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5"/>
              <w:jc w:val="right"/>
              <w:rPr>
                <w:rFonts w:ascii="Arial Narrow" w:hAnsi="Arial Narrow" w:cs="Arial Narrow" w:eastAsia="Arial Narrow" w:hint="default"/>
                <w:sz w:val="18"/>
                <w:szCs w:val="18"/>
              </w:rPr>
            </w:pPr>
            <w:r>
              <w:rPr>
                <w:rFonts w:ascii="Arial Narrow"/>
                <w:spacing w:val="-1"/>
                <w:sz w:val="18"/>
              </w:rPr>
              <w:t>20,427,760.89</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20,688,660.89</w:t>
            </w:r>
          </w:p>
        </w:tc>
      </w:tr>
      <w:tr>
        <w:trPr>
          <w:trHeight w:val="31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．股东投入资本</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5"/>
              <w:jc w:val="right"/>
              <w:rPr>
                <w:rFonts w:ascii="Arial Narrow" w:hAnsi="Arial Narrow" w:cs="Arial Narrow" w:eastAsia="Arial Narrow" w:hint="default"/>
                <w:sz w:val="18"/>
                <w:szCs w:val="18"/>
              </w:rPr>
            </w:pPr>
            <w:r>
              <w:rPr>
                <w:rFonts w:ascii="Arial Narrow"/>
                <w:spacing w:val="-1"/>
                <w:sz w:val="18"/>
              </w:rPr>
              <w:t>20,427,760.89</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20,427,760.89</w:t>
            </w: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．股份支付计入股东权益的金额</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2"/>
              <w:jc w:val="right"/>
              <w:rPr>
                <w:rFonts w:ascii="Arial Narrow" w:hAnsi="Arial Narrow" w:cs="Arial Narrow" w:eastAsia="Arial Narrow" w:hint="default"/>
                <w:sz w:val="18"/>
                <w:szCs w:val="18"/>
              </w:rPr>
            </w:pPr>
            <w:r>
              <w:rPr>
                <w:rFonts w:ascii="Arial Narrow"/>
                <w:spacing w:val="-1"/>
                <w:sz w:val="18"/>
              </w:rPr>
              <w:t>260,900.00</w:t>
            </w: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3"/>
              <w:jc w:val="right"/>
              <w:rPr>
                <w:rFonts w:ascii="Arial Narrow" w:hAnsi="Arial Narrow" w:cs="Arial Narrow" w:eastAsia="Arial Narrow" w:hint="default"/>
                <w:sz w:val="18"/>
                <w:szCs w:val="18"/>
              </w:rPr>
            </w:pPr>
            <w:r>
              <w:rPr>
                <w:rFonts w:ascii="Arial Narrow"/>
                <w:spacing w:val="-1"/>
                <w:sz w:val="18"/>
              </w:rPr>
              <w:t>260,900.00</w:t>
            </w:r>
          </w:p>
        </w:tc>
      </w:tr>
      <w:tr>
        <w:trPr>
          <w:trHeight w:val="307"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left="201" w:right="0"/>
              <w:jc w:val="left"/>
              <w:rPr>
                <w:rFonts w:ascii="Arial Narrow" w:hAnsi="Arial Narrow" w:cs="Arial Narrow" w:eastAsia="Arial Narrow" w:hint="default"/>
                <w:sz w:val="18"/>
                <w:szCs w:val="18"/>
              </w:rPr>
            </w:pPr>
            <w:r>
              <w:rPr>
                <w:rFonts w:ascii="Arial Narrow"/>
                <w:sz w:val="18"/>
              </w:rPr>
              <w:t>4,186,828.19</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3"/>
              <w:jc w:val="right"/>
              <w:rPr>
                <w:rFonts w:ascii="Arial Narrow" w:hAnsi="Arial Narrow" w:cs="Arial Narrow" w:eastAsia="Arial Narrow" w:hint="default"/>
                <w:sz w:val="18"/>
                <w:szCs w:val="18"/>
              </w:rPr>
            </w:pPr>
            <w:r>
              <w:rPr>
                <w:rFonts w:ascii="Arial Narrow"/>
                <w:spacing w:val="-1"/>
                <w:sz w:val="18"/>
              </w:rPr>
              <w:t>-19,186,828.19</w:t>
            </w: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3"/>
              <w:jc w:val="right"/>
              <w:rPr>
                <w:rFonts w:ascii="Arial Narrow" w:hAnsi="Arial Narrow" w:cs="Arial Narrow" w:eastAsia="Arial Narrow" w:hint="default"/>
                <w:sz w:val="18"/>
                <w:szCs w:val="18"/>
              </w:rPr>
            </w:pPr>
            <w:r>
              <w:rPr>
                <w:rFonts w:ascii="Arial Narrow"/>
                <w:spacing w:val="-1"/>
                <w:sz w:val="18"/>
              </w:rPr>
              <w:t>-15,000,000.00</w:t>
            </w:r>
          </w:p>
        </w:tc>
      </w:tr>
      <w:tr>
        <w:trPr>
          <w:trHeight w:val="318"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201" w:right="0"/>
              <w:jc w:val="left"/>
              <w:rPr>
                <w:rFonts w:ascii="Arial Narrow" w:hAnsi="Arial Narrow" w:cs="Arial Narrow" w:eastAsia="Arial Narrow" w:hint="default"/>
                <w:sz w:val="18"/>
                <w:szCs w:val="18"/>
              </w:rPr>
            </w:pPr>
            <w:r>
              <w:rPr>
                <w:rFonts w:ascii="Arial Narrow"/>
                <w:sz w:val="18"/>
              </w:rPr>
              <w:t>4,186,828.19</w:t>
            </w: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3"/>
              <w:jc w:val="right"/>
              <w:rPr>
                <w:rFonts w:ascii="Arial Narrow" w:hAnsi="Arial Narrow" w:cs="Arial Narrow" w:eastAsia="Arial Narrow" w:hint="default"/>
                <w:sz w:val="18"/>
                <w:szCs w:val="18"/>
              </w:rPr>
            </w:pPr>
            <w:r>
              <w:rPr>
                <w:rFonts w:ascii="Arial Narrow"/>
                <w:spacing w:val="-1"/>
                <w:sz w:val="18"/>
              </w:rPr>
              <w:t>-4,186,828.19</w:t>
            </w: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．对股东的分配</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3"/>
              <w:jc w:val="right"/>
              <w:rPr>
                <w:rFonts w:ascii="Arial Narrow" w:hAnsi="Arial Narrow" w:cs="Arial Narrow" w:eastAsia="Arial Narrow" w:hint="default"/>
                <w:sz w:val="18"/>
                <w:szCs w:val="18"/>
              </w:rPr>
            </w:pPr>
            <w:r>
              <w:rPr>
                <w:rFonts w:ascii="Arial Narrow"/>
                <w:spacing w:val="-1"/>
                <w:sz w:val="18"/>
              </w:rPr>
              <w:t>-15,000,000.00</w:t>
            </w: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48"/>
              <w:ind w:right="103"/>
              <w:jc w:val="right"/>
              <w:rPr>
                <w:rFonts w:ascii="Arial Narrow" w:hAnsi="Arial Narrow" w:cs="Arial Narrow" w:eastAsia="Arial Narrow" w:hint="default"/>
                <w:sz w:val="18"/>
                <w:szCs w:val="18"/>
              </w:rPr>
            </w:pPr>
            <w:r>
              <w:rPr>
                <w:rFonts w:ascii="Arial Narrow"/>
                <w:spacing w:val="-1"/>
                <w:sz w:val="18"/>
              </w:rPr>
              <w:t>-15,000,000.00</w:t>
            </w:r>
          </w:p>
        </w:tc>
      </w:tr>
      <w:tr>
        <w:trPr>
          <w:trHeight w:val="312"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3843"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226" w:type="dxa"/>
            <w:tcBorders>
              <w:top w:val="nil" w:sz="6" w:space="0" w:color="auto"/>
              <w:left w:val="single" w:sz="4" w:space="0" w:color="000000"/>
              <w:bottom w:val="nil" w:sz="6" w:space="0" w:color="auto"/>
              <w:right w:val="single" w:sz="4" w:space="0" w:color="000000"/>
            </w:tcBorders>
          </w:tcPr>
          <w:p>
            <w:pPr/>
          </w:p>
        </w:tc>
        <w:tc>
          <w:tcPr>
            <w:tcW w:w="1243" w:type="dxa"/>
            <w:tcBorders>
              <w:top w:val="nil" w:sz="6" w:space="0" w:color="auto"/>
              <w:left w:val="single" w:sz="4" w:space="0" w:color="000000"/>
              <w:bottom w:val="nil" w:sz="6" w:space="0" w:color="auto"/>
              <w:right w:val="single" w:sz="4" w:space="0" w:color="000000"/>
            </w:tcBorders>
          </w:tcPr>
          <w:p>
            <w:pPr/>
          </w:p>
        </w:tc>
        <w:tc>
          <w:tcPr>
            <w:tcW w:w="800" w:type="dxa"/>
            <w:tcBorders>
              <w:top w:val="nil" w:sz="6" w:space="0" w:color="auto"/>
              <w:left w:val="single" w:sz="4" w:space="0" w:color="000000"/>
              <w:bottom w:val="nil" w:sz="6" w:space="0" w:color="auto"/>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tcBorders>
              <w:top w:val="nil" w:sz="6" w:space="0" w:color="auto"/>
              <w:left w:val="single" w:sz="4" w:space="0" w:color="000000"/>
              <w:bottom w:val="nil" w:sz="6" w:space="0" w:color="auto"/>
              <w:right w:val="single" w:sz="4" w:space="0" w:color="000000"/>
            </w:tcBorders>
          </w:tcPr>
          <w:p>
            <w:pPr/>
          </w:p>
        </w:tc>
        <w:tc>
          <w:tcPr>
            <w:tcW w:w="1261"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bl>
    <w:p>
      <w:pPr>
        <w:spacing w:after="0"/>
        <w:sectPr>
          <w:pgSz w:w="16840" w:h="11910" w:orient="landscape"/>
          <w:pgMar w:header="884" w:footer="1174" w:top="1160" w:bottom="1360" w:left="8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529" w:type="dxa"/>
        <w:tblLayout w:type="fixed"/>
        <w:tblCellMar>
          <w:top w:w="0" w:type="dxa"/>
          <w:left w:w="0" w:type="dxa"/>
          <w:bottom w:w="0" w:type="dxa"/>
          <w:right w:w="0" w:type="dxa"/>
        </w:tblCellMar>
        <w:tblLook w:val="01E0"/>
      </w:tblPr>
      <w:tblGrid>
        <w:gridCol w:w="3858"/>
        <w:gridCol w:w="1226"/>
        <w:gridCol w:w="1243"/>
        <w:gridCol w:w="800"/>
        <w:gridCol w:w="811"/>
        <w:gridCol w:w="1176"/>
        <w:gridCol w:w="1261"/>
        <w:gridCol w:w="1121"/>
        <w:gridCol w:w="1190"/>
        <w:gridCol w:w="1272"/>
      </w:tblGrid>
      <w:tr>
        <w:trPr>
          <w:trHeight w:val="319"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78"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．资本公积转增股本</w:t>
            </w:r>
          </w:p>
        </w:tc>
        <w:tc>
          <w:tcPr>
            <w:tcW w:w="122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70" w:right="0"/>
              <w:jc w:val="left"/>
              <w:rPr>
                <w:rFonts w:ascii="Arial Narrow" w:hAnsi="Arial Narrow" w:cs="Arial Narrow" w:eastAsia="Arial Narrow" w:hint="default"/>
                <w:sz w:val="18"/>
                <w:szCs w:val="18"/>
              </w:rPr>
            </w:pPr>
            <w:r>
              <w:rPr>
                <w:rFonts w:ascii="Arial Narrow"/>
                <w:sz w:val="18"/>
              </w:rPr>
              <w:t>75,000,000.00</w:t>
            </w:r>
          </w:p>
        </w:tc>
        <w:tc>
          <w:tcPr>
            <w:tcW w:w="1243"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Arial Narrow" w:hAnsi="Arial Narrow" w:cs="Arial Narrow" w:eastAsia="Arial Narrow" w:hint="default"/>
                <w:sz w:val="18"/>
                <w:szCs w:val="18"/>
              </w:rPr>
            </w:pPr>
            <w:r>
              <w:rPr>
                <w:rFonts w:ascii="Arial Narrow"/>
                <w:sz w:val="18"/>
              </w:rPr>
              <w:t>354,438,695.83</w:t>
            </w:r>
          </w:p>
        </w:tc>
        <w:tc>
          <w:tcPr>
            <w:tcW w:w="800" w:type="dxa"/>
            <w:vMerge w:val="restart"/>
            <w:tcBorders>
              <w:top w:val="nil" w:sz="6" w:space="0" w:color="auto"/>
              <w:left w:val="single" w:sz="4" w:space="0" w:color="000000"/>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01" w:right="0"/>
              <w:jc w:val="left"/>
              <w:rPr>
                <w:rFonts w:ascii="Arial Narrow" w:hAnsi="Arial Narrow" w:cs="Arial Narrow" w:eastAsia="Arial Narrow" w:hint="default"/>
                <w:sz w:val="18"/>
                <w:szCs w:val="18"/>
              </w:rPr>
            </w:pPr>
            <w:r>
              <w:rPr>
                <w:rFonts w:ascii="Arial Narrow"/>
                <w:sz w:val="18"/>
              </w:rPr>
              <w:t>9,517,200.44</w:t>
            </w:r>
          </w:p>
        </w:tc>
        <w:tc>
          <w:tcPr>
            <w:tcW w:w="1261"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04" w:right="0"/>
              <w:jc w:val="left"/>
              <w:rPr>
                <w:rFonts w:ascii="Arial Narrow" w:hAnsi="Arial Narrow" w:cs="Arial Narrow" w:eastAsia="Arial Narrow" w:hint="default"/>
                <w:sz w:val="18"/>
                <w:szCs w:val="18"/>
              </w:rPr>
            </w:pPr>
            <w:r>
              <w:rPr>
                <w:rFonts w:ascii="Arial Narrow"/>
                <w:sz w:val="18"/>
              </w:rPr>
              <w:t>73,010,379.51</w:t>
            </w:r>
          </w:p>
        </w:tc>
        <w:tc>
          <w:tcPr>
            <w:tcW w:w="1121" w:type="dxa"/>
            <w:vMerge w:val="restart"/>
            <w:tcBorders>
              <w:top w:val="nil" w:sz="6" w:space="0" w:color="auto"/>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18" w:right="0"/>
              <w:jc w:val="left"/>
              <w:rPr>
                <w:rFonts w:ascii="Arial Narrow" w:hAnsi="Arial Narrow" w:cs="Arial Narrow" w:eastAsia="Arial Narrow" w:hint="default"/>
                <w:sz w:val="18"/>
                <w:szCs w:val="18"/>
              </w:rPr>
            </w:pPr>
            <w:r>
              <w:rPr>
                <w:rFonts w:ascii="Arial Narrow"/>
                <w:sz w:val="18"/>
              </w:rPr>
              <w:t>-482,710.27</w:t>
            </w: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．盈余公积转增股本</w:t>
            </w:r>
          </w:p>
        </w:tc>
        <w:tc>
          <w:tcPr>
            <w:tcW w:w="1226" w:type="dxa"/>
            <w:vMerge/>
            <w:tcBorders>
              <w:left w:val="single" w:sz="4" w:space="0" w:color="000000"/>
              <w:right w:val="single" w:sz="4" w:space="0" w:color="000000"/>
            </w:tcBorders>
          </w:tcPr>
          <w:p>
            <w:pPr/>
          </w:p>
        </w:tc>
        <w:tc>
          <w:tcPr>
            <w:tcW w:w="124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single" w:sz="4" w:space="0" w:color="000000"/>
            </w:tcBorders>
          </w:tcPr>
          <w:p>
            <w:pPr/>
          </w:p>
        </w:tc>
        <w:tc>
          <w:tcPr>
            <w:tcW w:w="1261"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226" w:type="dxa"/>
            <w:vMerge/>
            <w:tcBorders>
              <w:left w:val="single" w:sz="4" w:space="0" w:color="000000"/>
              <w:right w:val="single" w:sz="4" w:space="0" w:color="000000"/>
            </w:tcBorders>
          </w:tcPr>
          <w:p>
            <w:pPr/>
          </w:p>
        </w:tc>
        <w:tc>
          <w:tcPr>
            <w:tcW w:w="124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single" w:sz="4" w:space="0" w:color="000000"/>
            </w:tcBorders>
          </w:tcPr>
          <w:p>
            <w:pPr/>
          </w:p>
        </w:tc>
        <w:tc>
          <w:tcPr>
            <w:tcW w:w="1261"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26" w:type="dxa"/>
            <w:vMerge/>
            <w:tcBorders>
              <w:left w:val="single" w:sz="4" w:space="0" w:color="000000"/>
              <w:right w:val="single" w:sz="4" w:space="0" w:color="000000"/>
            </w:tcBorders>
          </w:tcPr>
          <w:p>
            <w:pPr/>
          </w:p>
        </w:tc>
        <w:tc>
          <w:tcPr>
            <w:tcW w:w="124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single" w:sz="4" w:space="0" w:color="000000"/>
            </w:tcBorders>
          </w:tcPr>
          <w:p>
            <w:pPr/>
          </w:p>
        </w:tc>
        <w:tc>
          <w:tcPr>
            <w:tcW w:w="1261"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226" w:type="dxa"/>
            <w:vMerge/>
            <w:tcBorders>
              <w:left w:val="single" w:sz="4" w:space="0" w:color="000000"/>
              <w:right w:val="single" w:sz="4" w:space="0" w:color="000000"/>
            </w:tcBorders>
          </w:tcPr>
          <w:p>
            <w:pPr/>
          </w:p>
        </w:tc>
        <w:tc>
          <w:tcPr>
            <w:tcW w:w="124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single" w:sz="4" w:space="0" w:color="000000"/>
            </w:tcBorders>
          </w:tcPr>
          <w:p>
            <w:pPr/>
          </w:p>
        </w:tc>
        <w:tc>
          <w:tcPr>
            <w:tcW w:w="1261"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7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226" w:type="dxa"/>
            <w:vMerge/>
            <w:tcBorders>
              <w:left w:val="single" w:sz="4" w:space="0" w:color="000000"/>
              <w:right w:val="single" w:sz="4" w:space="0" w:color="000000"/>
            </w:tcBorders>
          </w:tcPr>
          <w:p>
            <w:pPr/>
          </w:p>
        </w:tc>
        <w:tc>
          <w:tcPr>
            <w:tcW w:w="124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single" w:sz="4" w:space="0" w:color="000000"/>
            </w:tcBorders>
          </w:tcPr>
          <w:p>
            <w:pPr/>
          </w:p>
        </w:tc>
        <w:tc>
          <w:tcPr>
            <w:tcW w:w="1261"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．本期使用（以负号填列）</w:t>
            </w:r>
          </w:p>
        </w:tc>
        <w:tc>
          <w:tcPr>
            <w:tcW w:w="1226" w:type="dxa"/>
            <w:vMerge/>
            <w:tcBorders>
              <w:left w:val="single" w:sz="4" w:space="0" w:color="000000"/>
              <w:right w:val="single" w:sz="4" w:space="0" w:color="000000"/>
            </w:tcBorders>
          </w:tcPr>
          <w:p>
            <w:pPr/>
          </w:p>
        </w:tc>
        <w:tc>
          <w:tcPr>
            <w:tcW w:w="124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single" w:sz="4" w:space="0" w:color="000000"/>
            </w:tcBorders>
          </w:tcPr>
          <w:p>
            <w:pPr/>
          </w:p>
        </w:tc>
        <w:tc>
          <w:tcPr>
            <w:tcW w:w="1261"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06" w:hRule="exact"/>
        </w:trPr>
        <w:tc>
          <w:tcPr>
            <w:tcW w:w="385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226" w:type="dxa"/>
            <w:vMerge/>
            <w:tcBorders>
              <w:left w:val="single" w:sz="4" w:space="0" w:color="000000"/>
              <w:right w:val="single" w:sz="4" w:space="0" w:color="000000"/>
            </w:tcBorders>
          </w:tcPr>
          <w:p>
            <w:pPr/>
          </w:p>
        </w:tc>
        <w:tc>
          <w:tcPr>
            <w:tcW w:w="1243"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811" w:type="dxa"/>
            <w:tcBorders>
              <w:top w:val="nil" w:sz="6" w:space="0" w:color="auto"/>
              <w:left w:val="single" w:sz="4" w:space="0" w:color="000000"/>
              <w:bottom w:val="nil" w:sz="6" w:space="0" w:color="auto"/>
              <w:right w:val="single" w:sz="4" w:space="0" w:color="000000"/>
            </w:tcBorders>
          </w:tcPr>
          <w:p>
            <w:pPr/>
          </w:p>
        </w:tc>
        <w:tc>
          <w:tcPr>
            <w:tcW w:w="1176" w:type="dxa"/>
            <w:vMerge/>
            <w:tcBorders>
              <w:left w:val="single" w:sz="4" w:space="0" w:color="000000"/>
              <w:right w:val="single" w:sz="4" w:space="0" w:color="000000"/>
            </w:tcBorders>
          </w:tcPr>
          <w:p>
            <w:pPr/>
          </w:p>
        </w:tc>
        <w:tc>
          <w:tcPr>
            <w:tcW w:w="1261"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90"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3858" w:type="dxa"/>
            <w:tcBorders>
              <w:top w:val="nil" w:sz="6" w:space="0" w:color="auto"/>
              <w:left w:val="nil" w:sz="6" w:space="0" w:color="auto"/>
              <w:bottom w:val="single" w:sz="4" w:space="0" w:color="000000"/>
              <w:right w:val="single" w:sz="4" w:space="0" w:color="000000"/>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四、本年年末余额</w:t>
            </w:r>
            <w:r>
              <w:rPr>
                <w:rFonts w:ascii="宋体" w:hAnsi="宋体" w:cs="宋体" w:eastAsia="宋体" w:hint="default"/>
                <w:sz w:val="21"/>
                <w:szCs w:val="21"/>
              </w:rPr>
            </w:r>
          </w:p>
        </w:tc>
        <w:tc>
          <w:tcPr>
            <w:tcW w:w="1226" w:type="dxa"/>
            <w:vMerge/>
            <w:tcBorders>
              <w:left w:val="single" w:sz="4" w:space="0" w:color="000000"/>
              <w:bottom w:val="single" w:sz="4" w:space="0" w:color="000000"/>
              <w:right w:val="single" w:sz="4" w:space="0" w:color="000000"/>
            </w:tcBorders>
          </w:tcPr>
          <w:p>
            <w:pPr/>
          </w:p>
        </w:tc>
        <w:tc>
          <w:tcPr>
            <w:tcW w:w="1243"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811" w:type="dxa"/>
            <w:tcBorders>
              <w:top w:val="nil" w:sz="6" w:space="0" w:color="auto"/>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261"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131" w:right="0"/>
              <w:jc w:val="left"/>
              <w:rPr>
                <w:rFonts w:ascii="Arial Narrow" w:hAnsi="Arial Narrow" w:cs="Arial Narrow" w:eastAsia="Arial Narrow" w:hint="default"/>
                <w:sz w:val="18"/>
                <w:szCs w:val="18"/>
              </w:rPr>
            </w:pPr>
            <w:r>
              <w:rPr>
                <w:rFonts w:ascii="Arial Narrow"/>
                <w:sz w:val="18"/>
              </w:rPr>
              <w:t>20,296,921.64</w:t>
            </w:r>
          </w:p>
        </w:tc>
        <w:tc>
          <w:tcPr>
            <w:tcW w:w="1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132" w:right="0"/>
              <w:jc w:val="left"/>
              <w:rPr>
                <w:rFonts w:ascii="Arial Narrow" w:hAnsi="Arial Narrow" w:cs="Arial Narrow" w:eastAsia="Arial Narrow" w:hint="default"/>
                <w:sz w:val="18"/>
                <w:szCs w:val="18"/>
              </w:rPr>
            </w:pPr>
            <w:r>
              <w:rPr>
                <w:rFonts w:ascii="Arial Narrow"/>
                <w:sz w:val="18"/>
              </w:rPr>
              <w:t>531,780,487.15</w:t>
            </w:r>
          </w:p>
        </w:tc>
      </w:tr>
    </w:tbl>
    <w:p>
      <w:pPr>
        <w:spacing w:after="0" w:line="240" w:lineRule="auto"/>
        <w:jc w:val="left"/>
        <w:rPr>
          <w:rFonts w:ascii="Arial Narrow" w:hAnsi="Arial Narrow" w:cs="Arial Narrow" w:eastAsia="Arial Narrow" w:hint="default"/>
          <w:sz w:val="18"/>
          <w:szCs w:val="18"/>
        </w:rPr>
        <w:sectPr>
          <w:footerReference w:type="default" r:id="rId53"/>
          <w:pgSz w:w="16840" w:h="11910" w:orient="landscape"/>
          <w:pgMar w:footer="1174" w:header="884" w:top="1160" w:bottom="1360" w:left="8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pStyle w:val="Heading5"/>
        <w:spacing w:line="240" w:lineRule="auto" w:before="26"/>
        <w:ind w:left="4195" w:right="4375"/>
        <w:jc w:val="center"/>
        <w:rPr>
          <w:b w:val="0"/>
          <w:bCs w:val="0"/>
        </w:rPr>
      </w:pPr>
      <w:r>
        <w:rPr/>
        <w:t>公司股东权益变动表</w:t>
      </w:r>
      <w:r>
        <w:rPr>
          <w:b w:val="0"/>
          <w:bCs w:val="0"/>
        </w:rPr>
      </w:r>
    </w:p>
    <w:p>
      <w:pPr>
        <w:spacing w:line="240" w:lineRule="auto" w:before="1"/>
        <w:rPr>
          <w:rFonts w:ascii="宋体" w:hAnsi="宋体" w:cs="宋体" w:eastAsia="宋体" w:hint="default"/>
          <w:b/>
          <w:bCs/>
          <w:sz w:val="12"/>
          <w:szCs w:val="12"/>
        </w:rPr>
      </w:pPr>
    </w:p>
    <w:p>
      <w:pPr>
        <w:spacing w:before="36"/>
        <w:ind w:left="89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12358" w:val="left" w:leader="none"/>
        </w:tabs>
        <w:spacing w:before="158"/>
        <w:ind w:left="666"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单位：人民币元</w:t>
      </w:r>
    </w:p>
    <w:p>
      <w:pPr>
        <w:spacing w:line="240" w:lineRule="auto" w:before="0"/>
        <w:rPr>
          <w:rFonts w:ascii="宋体" w:hAnsi="宋体" w:cs="宋体" w:eastAsia="宋体" w:hint="default"/>
          <w:sz w:val="8"/>
          <w:szCs w:val="8"/>
        </w:rPr>
      </w:pPr>
    </w:p>
    <w:tbl>
      <w:tblPr>
        <w:tblW w:w="0" w:type="auto"/>
        <w:jc w:val="left"/>
        <w:tblInd w:w="558" w:type="dxa"/>
        <w:tblLayout w:type="fixed"/>
        <w:tblCellMar>
          <w:top w:w="0" w:type="dxa"/>
          <w:left w:w="0" w:type="dxa"/>
          <w:bottom w:w="0" w:type="dxa"/>
          <w:right w:w="0" w:type="dxa"/>
        </w:tblCellMar>
        <w:tblLook w:val="01E0"/>
      </w:tblPr>
      <w:tblGrid>
        <w:gridCol w:w="4263"/>
        <w:gridCol w:w="1594"/>
        <w:gridCol w:w="1414"/>
        <w:gridCol w:w="780"/>
        <w:gridCol w:w="794"/>
        <w:gridCol w:w="1318"/>
        <w:gridCol w:w="1555"/>
        <w:gridCol w:w="1661"/>
      </w:tblGrid>
      <w:tr>
        <w:trPr>
          <w:trHeight w:val="416" w:hRule="exact"/>
        </w:trPr>
        <w:tc>
          <w:tcPr>
            <w:tcW w:w="426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117" w:type="dxa"/>
            <w:gridSpan w:val="7"/>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3"/>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r>
      <w:tr>
        <w:trPr>
          <w:trHeight w:val="864" w:hRule="exact"/>
        </w:trPr>
        <w:tc>
          <w:tcPr>
            <w:tcW w:w="4263" w:type="dxa"/>
            <w:vMerge/>
            <w:tcBorders>
              <w:left w:val="nil" w:sz="6" w:space="0" w:color="auto"/>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2"/>
              <w:ind w:left="172" w:right="101" w:hanging="70"/>
              <w:jc w:val="left"/>
              <w:rPr>
                <w:rFonts w:ascii="宋体" w:hAnsi="宋体" w:cs="宋体" w:eastAsia="宋体" w:hint="default"/>
                <w:sz w:val="21"/>
                <w:szCs w:val="21"/>
              </w:rPr>
            </w:pPr>
            <w:r>
              <w:rPr>
                <w:rFonts w:ascii="宋体" w:hAnsi="宋体" w:cs="宋体" w:eastAsia="宋体" w:hint="default"/>
                <w:b/>
                <w:bCs/>
                <w:spacing w:val="-24"/>
                <w:sz w:val="21"/>
                <w:szCs w:val="21"/>
              </w:rPr>
              <w:t>减：库</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存股</w:t>
            </w:r>
            <w:r>
              <w:rPr>
                <w:rFonts w:ascii="宋体" w:hAnsi="宋体" w:cs="宋体" w:eastAsia="宋体" w:hint="default"/>
                <w:sz w:val="21"/>
                <w:szCs w:val="21"/>
              </w:rPr>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2"/>
              <w:ind w:left="179" w:right="180"/>
              <w:jc w:val="left"/>
              <w:rPr>
                <w:rFonts w:ascii="宋体" w:hAnsi="宋体" w:cs="宋体" w:eastAsia="宋体" w:hint="default"/>
                <w:sz w:val="21"/>
                <w:szCs w:val="21"/>
              </w:rPr>
            </w:pPr>
            <w:r>
              <w:rPr>
                <w:rFonts w:ascii="宋体" w:hAnsi="宋体" w:cs="宋体" w:eastAsia="宋体" w:hint="default"/>
                <w:b/>
                <w:bCs/>
                <w:sz w:val="21"/>
                <w:szCs w:val="21"/>
              </w:rPr>
              <w:t>专项</w:t>
            </w:r>
            <w:r>
              <w:rPr>
                <w:rFonts w:ascii="宋体" w:hAnsi="宋体" w:cs="宋体" w:eastAsia="宋体" w:hint="default"/>
                <w:b/>
                <w:bCs/>
                <w:w w:val="100"/>
                <w:sz w:val="21"/>
                <w:szCs w:val="21"/>
              </w:rPr>
              <w:t> </w:t>
            </w:r>
            <w:r>
              <w:rPr>
                <w:rFonts w:ascii="宋体" w:hAnsi="宋体" w:cs="宋体" w:eastAsia="宋体" w:hint="default"/>
                <w:b/>
                <w:bCs/>
                <w:sz w:val="21"/>
                <w:szCs w:val="21"/>
              </w:rPr>
              <w:t>储备</w:t>
            </w:r>
            <w:r>
              <w:rPr>
                <w:rFonts w:ascii="宋体" w:hAnsi="宋体" w:cs="宋体" w:eastAsia="宋体" w:hint="default"/>
                <w:sz w:val="21"/>
                <w:szCs w:val="21"/>
              </w:rPr>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66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r>
      <w:tr>
        <w:trPr>
          <w:trHeight w:val="321" w:hRule="exact"/>
        </w:trPr>
        <w:tc>
          <w:tcPr>
            <w:tcW w:w="4263"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一、上年年末余额</w:t>
            </w:r>
            <w:r>
              <w:rPr>
                <w:rFonts w:ascii="宋体" w:hAnsi="宋体" w:cs="宋体" w:eastAsia="宋体" w:hint="default"/>
                <w:sz w:val="21"/>
                <w:szCs w:val="21"/>
              </w:rPr>
            </w:r>
          </w:p>
        </w:tc>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75,000,000.00</w:t>
            </w:r>
            <w:r>
              <w:rPr>
                <w:rFonts w:ascii="Arial Narrow"/>
                <w:sz w:val="21"/>
              </w:rPr>
            </w:r>
          </w:p>
        </w:tc>
        <w:tc>
          <w:tcPr>
            <w:tcW w:w="14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354,438,695.83</w:t>
            </w:r>
            <w:r>
              <w:rPr>
                <w:rFonts w:ascii="Arial Narrow"/>
                <w:sz w:val="21"/>
              </w:rPr>
            </w:r>
          </w:p>
        </w:tc>
        <w:tc>
          <w:tcPr>
            <w:tcW w:w="780" w:type="dxa"/>
            <w:tcBorders>
              <w:top w:val="single" w:sz="4" w:space="0" w:color="000000"/>
              <w:left w:val="single" w:sz="4" w:space="0" w:color="000000"/>
              <w:bottom w:val="nil" w:sz="6" w:space="0" w:color="auto"/>
              <w:right w:val="single" w:sz="4" w:space="0" w:color="000000"/>
            </w:tcBorders>
          </w:tcPr>
          <w:p>
            <w:pPr/>
          </w:p>
        </w:tc>
        <w:tc>
          <w:tcPr>
            <w:tcW w:w="794" w:type="dxa"/>
            <w:tcBorders>
              <w:top w:val="single" w:sz="4" w:space="0" w:color="000000"/>
              <w:left w:val="single" w:sz="4" w:space="0" w:color="000000"/>
              <w:bottom w:val="nil" w:sz="6" w:space="0" w:color="auto"/>
              <w:right w:val="single" w:sz="4" w:space="0" w:color="000000"/>
            </w:tcBorders>
          </w:tcPr>
          <w:p>
            <w:pPr/>
          </w:p>
        </w:tc>
        <w:tc>
          <w:tcPr>
            <w:tcW w:w="13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196" w:right="0"/>
              <w:jc w:val="left"/>
              <w:rPr>
                <w:rFonts w:ascii="Arial Narrow" w:hAnsi="Arial Narrow" w:cs="Arial Narrow" w:eastAsia="Arial Narrow" w:hint="default"/>
                <w:sz w:val="21"/>
                <w:szCs w:val="21"/>
              </w:rPr>
            </w:pPr>
            <w:r>
              <w:rPr>
                <w:rFonts w:ascii="Arial Narrow"/>
                <w:sz w:val="21"/>
              </w:rPr>
              <w:t>9,517,200.44</w:t>
            </w:r>
          </w:p>
        </w:tc>
        <w:tc>
          <w:tcPr>
            <w:tcW w:w="15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70,654,803.96</w:t>
            </w:r>
            <w:r>
              <w:rPr>
                <w:rFonts w:ascii="Arial Narrow"/>
                <w:sz w:val="21"/>
              </w:rPr>
            </w:r>
          </w:p>
        </w:tc>
        <w:tc>
          <w:tcPr>
            <w:tcW w:w="1661" w:type="dxa"/>
            <w:tcBorders>
              <w:top w:val="single" w:sz="4" w:space="0" w:color="000000"/>
              <w:left w:val="single" w:sz="4" w:space="0" w:color="000000"/>
              <w:bottom w:val="nil" w:sz="6" w:space="0" w:color="auto"/>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509,610,700.23</w:t>
            </w:r>
            <w:r>
              <w:rPr>
                <w:rFonts w:ascii="Arial Narrow"/>
                <w:sz w:val="21"/>
              </w:rPr>
            </w: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二、本年年初余额</w:t>
            </w:r>
            <w:r>
              <w:rPr>
                <w:rFonts w:ascii="宋体" w:hAnsi="宋体" w:cs="宋体" w:eastAsia="宋体" w:hint="default"/>
                <w:sz w:val="21"/>
                <w:szCs w:val="21"/>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75,000,000.00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354,438,695.83</w:t>
            </w:r>
            <w:r>
              <w:rPr>
                <w:rFonts w:ascii="Arial Narrow"/>
                <w:sz w:val="21"/>
              </w:rPr>
            </w: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96" w:right="0"/>
              <w:jc w:val="left"/>
              <w:rPr>
                <w:rFonts w:ascii="Arial Narrow" w:hAnsi="Arial Narrow" w:cs="Arial Narrow" w:eastAsia="Arial Narrow" w:hint="default"/>
                <w:sz w:val="21"/>
                <w:szCs w:val="21"/>
              </w:rPr>
            </w:pPr>
            <w:r>
              <w:rPr>
                <w:rFonts w:ascii="Arial Narrow"/>
                <w:sz w:val="21"/>
              </w:rPr>
              <w:t>9,517,200.44</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70,654,803.96</w:t>
            </w:r>
            <w:r>
              <w:rPr>
                <w:rFonts w:ascii="Arial Narrow"/>
                <w:sz w:val="21"/>
              </w:rPr>
            </w: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509,610,700.23</w:t>
            </w:r>
            <w:r>
              <w:rPr>
                <w:rFonts w:ascii="Arial Narrow"/>
                <w:sz w:val="21"/>
              </w:rPr>
            </w:r>
          </w:p>
        </w:tc>
      </w:tr>
      <w:tr>
        <w:trPr>
          <w:trHeight w:val="315"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三、本年增减变动金额（减少以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45,000,000.00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-41,557,861.71</w:t>
            </w:r>
            <w:r>
              <w:rPr>
                <w:rFonts w:ascii="Arial Narrow"/>
                <w:sz w:val="21"/>
              </w:rPr>
            </w: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96" w:right="0"/>
              <w:jc w:val="left"/>
              <w:rPr>
                <w:rFonts w:ascii="Arial Narrow" w:hAnsi="Arial Narrow" w:cs="Arial Narrow" w:eastAsia="Arial Narrow" w:hint="default"/>
                <w:sz w:val="21"/>
                <w:szCs w:val="21"/>
              </w:rPr>
            </w:pPr>
            <w:r>
              <w:rPr>
                <w:rFonts w:ascii="Arial Narrow"/>
                <w:sz w:val="21"/>
              </w:rPr>
              <w:t>4,177,933.37</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22,601,400.35</w:t>
            </w:r>
            <w:r>
              <w:rPr>
                <w:rFonts w:ascii="Arial Narrow"/>
                <w:sz w:val="21"/>
              </w:rPr>
            </w: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30,221,472.01</w:t>
            </w:r>
            <w:r>
              <w:rPr>
                <w:rFonts w:ascii="Arial Narrow"/>
                <w:sz w:val="21"/>
              </w:rPr>
            </w:r>
          </w:p>
        </w:tc>
      </w:tr>
      <w:tr>
        <w:trPr>
          <w:trHeight w:val="310"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41,779,333.72</w:t>
            </w:r>
            <w:r>
              <w:rPr>
                <w:rFonts w:ascii="Arial Narrow"/>
                <w:sz w:val="21"/>
              </w:rPr>
            </w: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41,779,333.72</w:t>
            </w:r>
            <w:r>
              <w:rPr>
                <w:rFonts w:ascii="Arial Narrow"/>
                <w:sz w:val="21"/>
              </w:rPr>
            </w: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181,760.00</w:t>
            </w:r>
            <w:r>
              <w:rPr>
                <w:rFonts w:ascii="Arial Narrow"/>
                <w:sz w:val="21"/>
              </w:rPr>
            </w: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181,760.00</w:t>
            </w:r>
            <w:r>
              <w:rPr>
                <w:rFonts w:ascii="Arial Narrow"/>
                <w:sz w:val="21"/>
              </w:rPr>
            </w: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181,760.00</w:t>
            </w:r>
            <w:r>
              <w:rPr>
                <w:rFonts w:ascii="Arial Narrow"/>
                <w:sz w:val="21"/>
              </w:rPr>
            </w: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8"/>
              <w:jc w:val="right"/>
              <w:rPr>
                <w:rFonts w:ascii="Arial Narrow" w:hAnsi="Arial Narrow" w:cs="Arial Narrow" w:eastAsia="Arial Narrow" w:hint="default"/>
                <w:sz w:val="21"/>
                <w:szCs w:val="21"/>
              </w:rPr>
            </w:pPr>
            <w:r>
              <w:rPr>
                <w:rFonts w:ascii="Arial Narrow"/>
                <w:spacing w:val="-1"/>
                <w:sz w:val="21"/>
              </w:rPr>
              <w:t>41,779,333.72</w:t>
            </w:r>
            <w:r>
              <w:rPr>
                <w:rFonts w:ascii="Arial Narrow"/>
                <w:sz w:val="21"/>
              </w:rPr>
            </w: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41,961,093.72</w:t>
            </w:r>
            <w:r>
              <w:rPr>
                <w:rFonts w:ascii="Arial Narrow"/>
                <w:sz w:val="21"/>
              </w:rPr>
            </w: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（三）股东投入和减少资本</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3,260,378.29</w:t>
            </w:r>
            <w:r>
              <w:rPr>
                <w:rFonts w:ascii="Arial Narrow"/>
                <w:sz w:val="21"/>
              </w:rPr>
            </w: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3,260,378.29</w:t>
            </w:r>
            <w:r>
              <w:rPr>
                <w:rFonts w:ascii="Arial Narrow"/>
                <w:sz w:val="21"/>
              </w:rPr>
            </w:r>
          </w:p>
        </w:tc>
      </w:tr>
      <w:tr>
        <w:trPr>
          <w:trHeight w:val="314"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．股东投入资本</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．股份支付计入股东权益的金额</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2,984,678.29</w:t>
            </w:r>
            <w:r>
              <w:rPr>
                <w:rFonts w:ascii="Arial Narrow"/>
                <w:sz w:val="21"/>
              </w:rPr>
            </w: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2,984,678.29</w:t>
            </w:r>
            <w:r>
              <w:rPr>
                <w:rFonts w:ascii="Arial Narrow"/>
                <w:sz w:val="21"/>
              </w:rPr>
            </w: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275,700.00</w:t>
            </w:r>
            <w:r>
              <w:rPr>
                <w:rFonts w:ascii="Arial Narrow"/>
                <w:sz w:val="21"/>
              </w:rPr>
            </w: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275,700.00</w:t>
            </w:r>
            <w:r>
              <w:rPr>
                <w:rFonts w:ascii="Arial Narrow"/>
                <w:sz w:val="21"/>
              </w:rPr>
            </w:r>
          </w:p>
        </w:tc>
      </w:tr>
      <w:tr>
        <w:trPr>
          <w:trHeight w:val="310"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96" w:right="0"/>
              <w:jc w:val="left"/>
              <w:rPr>
                <w:rFonts w:ascii="Arial Narrow" w:hAnsi="Arial Narrow" w:cs="Arial Narrow" w:eastAsia="Arial Narrow" w:hint="default"/>
                <w:sz w:val="21"/>
                <w:szCs w:val="21"/>
              </w:rPr>
            </w:pPr>
            <w:r>
              <w:rPr>
                <w:rFonts w:ascii="Arial Narrow"/>
                <w:sz w:val="21"/>
              </w:rPr>
              <w:t>4,177,933.37</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-19,177,933.37</w:t>
            </w:r>
            <w:r>
              <w:rPr>
                <w:rFonts w:ascii="Arial Narrow"/>
                <w:sz w:val="21"/>
              </w:rPr>
            </w: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r>
      <w:tr>
        <w:trPr>
          <w:trHeight w:val="314"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96" w:right="0"/>
              <w:jc w:val="left"/>
              <w:rPr>
                <w:rFonts w:ascii="Arial Narrow" w:hAnsi="Arial Narrow" w:cs="Arial Narrow" w:eastAsia="Arial Narrow" w:hint="default"/>
                <w:sz w:val="21"/>
                <w:szCs w:val="21"/>
              </w:rPr>
            </w:pPr>
            <w:r>
              <w:rPr>
                <w:rFonts w:ascii="Arial Narrow"/>
                <w:sz w:val="21"/>
              </w:rPr>
              <w:t>4,177,933.37</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-4,177,933.37</w:t>
            </w:r>
            <w:r>
              <w:rPr>
                <w:rFonts w:ascii="Arial Narrow"/>
                <w:sz w:val="21"/>
              </w:rPr>
            </w: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．对股东的分配</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c>
          <w:tcPr>
            <w:tcW w:w="1661"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r>
      <w:tr>
        <w:trPr>
          <w:trHeight w:val="312"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05" w:hRule="exact"/>
        </w:trPr>
        <w:tc>
          <w:tcPr>
            <w:tcW w:w="4263"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45,000,000.00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-45,000,000.00</w:t>
            </w:r>
            <w:r>
              <w:rPr>
                <w:rFonts w:ascii="Arial Narrow"/>
                <w:sz w:val="21"/>
              </w:rPr>
            </w: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bl>
    <w:p>
      <w:pPr>
        <w:spacing w:after="0"/>
        <w:sectPr>
          <w:footerReference w:type="default" r:id="rId54"/>
          <w:pgSz w:w="16840" w:h="11910" w:orient="landscape"/>
          <w:pgMar w:footer="1174" w:header="884" w:top="1160" w:bottom="1360" w:left="860" w:right="1300"/>
          <w:pgNumType w:start="11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544" w:type="dxa"/>
        <w:tblLayout w:type="fixed"/>
        <w:tblCellMar>
          <w:top w:w="0" w:type="dxa"/>
          <w:left w:w="0" w:type="dxa"/>
          <w:bottom w:w="0" w:type="dxa"/>
          <w:right w:w="0" w:type="dxa"/>
        </w:tblCellMar>
        <w:tblLook w:val="01E0"/>
      </w:tblPr>
      <w:tblGrid>
        <w:gridCol w:w="4278"/>
        <w:gridCol w:w="1594"/>
        <w:gridCol w:w="1414"/>
        <w:gridCol w:w="780"/>
        <w:gridCol w:w="794"/>
        <w:gridCol w:w="1318"/>
        <w:gridCol w:w="1555"/>
        <w:gridCol w:w="1661"/>
      </w:tblGrid>
      <w:tr>
        <w:trPr>
          <w:trHeight w:val="319" w:hRule="exact"/>
        </w:trPr>
        <w:tc>
          <w:tcPr>
            <w:tcW w:w="4278" w:type="dxa"/>
            <w:tcBorders>
              <w:top w:val="nil" w:sz="6" w:space="0" w:color="auto"/>
              <w:left w:val="nil" w:sz="6" w:space="0" w:color="auto"/>
              <w:bottom w:val="nil" w:sz="6" w:space="0" w:color="auto"/>
              <w:right w:val="single" w:sz="4" w:space="0" w:color="000000"/>
            </w:tcBorders>
          </w:tcPr>
          <w:p>
            <w:pPr>
              <w:pStyle w:val="TableParagraph"/>
              <w:spacing w:line="278"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．资本公积转增股本</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45,000,000.00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141" w:right="0"/>
              <w:jc w:val="left"/>
              <w:rPr>
                <w:rFonts w:ascii="Arial Narrow" w:hAnsi="Arial Narrow" w:cs="Arial Narrow" w:eastAsia="Arial Narrow" w:hint="default"/>
                <w:sz w:val="21"/>
                <w:szCs w:val="21"/>
              </w:rPr>
            </w:pPr>
            <w:r>
              <w:rPr>
                <w:rFonts w:ascii="Arial Narrow"/>
                <w:sz w:val="21"/>
              </w:rPr>
              <w:t>-45,000,000.00</w:t>
            </w: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78"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．盈余公积转增股本</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78"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78"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0" w:hRule="exact"/>
        </w:trPr>
        <w:tc>
          <w:tcPr>
            <w:tcW w:w="427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5" w:hRule="exact"/>
        </w:trPr>
        <w:tc>
          <w:tcPr>
            <w:tcW w:w="4278" w:type="dxa"/>
            <w:tcBorders>
              <w:top w:val="nil" w:sz="6" w:space="0" w:color="auto"/>
              <w:left w:val="nil" w:sz="6" w:space="0" w:color="auto"/>
              <w:bottom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78"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．本期使用（以负号填列）</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0" w:hRule="exact"/>
        </w:trPr>
        <w:tc>
          <w:tcPr>
            <w:tcW w:w="4278"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9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c>
          <w:tcPr>
            <w:tcW w:w="794" w:type="dxa"/>
            <w:tcBorders>
              <w:top w:val="nil" w:sz="6" w:space="0" w:color="auto"/>
              <w:left w:val="single" w:sz="4" w:space="0" w:color="000000"/>
              <w:bottom w:val="nil" w:sz="6" w:space="0" w:color="auto"/>
              <w:right w:val="single" w:sz="4" w:space="0" w:color="000000"/>
            </w:tcBorders>
          </w:tcPr>
          <w:p>
            <w:pPr/>
          </w:p>
        </w:tc>
        <w:tc>
          <w:tcPr>
            <w:tcW w:w="1318" w:type="dxa"/>
            <w:tcBorders>
              <w:top w:val="nil" w:sz="6" w:space="0" w:color="auto"/>
              <w:left w:val="single" w:sz="4" w:space="0" w:color="000000"/>
              <w:bottom w:val="nil" w:sz="6" w:space="0" w:color="auto"/>
              <w:right w:val="single" w:sz="4" w:space="0" w:color="000000"/>
            </w:tcBorders>
          </w:tcPr>
          <w:p>
            <w:pPr/>
          </w:p>
        </w:tc>
        <w:tc>
          <w:tcPr>
            <w:tcW w:w="1555" w:type="dxa"/>
            <w:tcBorders>
              <w:top w:val="nil" w:sz="6" w:space="0" w:color="auto"/>
              <w:left w:val="single" w:sz="4" w:space="0" w:color="000000"/>
              <w:bottom w:val="nil" w:sz="6" w:space="0" w:color="auto"/>
              <w:right w:val="single" w:sz="4" w:space="0" w:color="000000"/>
            </w:tcBorders>
          </w:tcPr>
          <w:p>
            <w:pPr/>
          </w:p>
        </w:tc>
        <w:tc>
          <w:tcPr>
            <w:tcW w:w="1661"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78" w:type="dxa"/>
            <w:tcBorders>
              <w:top w:val="nil" w:sz="6" w:space="0" w:color="auto"/>
              <w:left w:val="nil" w:sz="6" w:space="0" w:color="auto"/>
              <w:bottom w:val="single" w:sz="4" w:space="0" w:color="000000"/>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四、本年年末余额</w:t>
            </w:r>
            <w:r>
              <w:rPr>
                <w:rFonts w:ascii="宋体" w:hAnsi="宋体" w:cs="宋体" w:eastAsia="宋体" w:hint="default"/>
                <w:sz w:val="21"/>
                <w:szCs w:val="21"/>
              </w:rPr>
            </w:r>
          </w:p>
        </w:tc>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120,000,000.00</w:t>
            </w:r>
            <w:r>
              <w:rPr>
                <w:rFonts w:ascii="Arial Narrow"/>
                <w:sz w:val="21"/>
              </w:rPr>
            </w:r>
          </w:p>
        </w:tc>
        <w:tc>
          <w:tcPr>
            <w:tcW w:w="14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Arial Narrow" w:hAnsi="Arial Narrow" w:cs="Arial Narrow" w:eastAsia="Arial Narrow" w:hint="default"/>
                <w:sz w:val="21"/>
                <w:szCs w:val="21"/>
              </w:rPr>
            </w:pPr>
            <w:r>
              <w:rPr>
                <w:rFonts w:ascii="Arial Narrow"/>
                <w:sz w:val="21"/>
              </w:rPr>
              <w:t>312,880,834.12</w:t>
            </w:r>
          </w:p>
        </w:tc>
        <w:tc>
          <w:tcPr>
            <w:tcW w:w="780" w:type="dxa"/>
            <w:tcBorders>
              <w:top w:val="nil" w:sz="6" w:space="0" w:color="auto"/>
              <w:left w:val="single" w:sz="4" w:space="0" w:color="000000"/>
              <w:bottom w:val="single" w:sz="4" w:space="0" w:color="000000"/>
              <w:right w:val="single" w:sz="4" w:space="0" w:color="000000"/>
            </w:tcBorders>
          </w:tcPr>
          <w:p>
            <w:pPr/>
          </w:p>
        </w:tc>
        <w:tc>
          <w:tcPr>
            <w:tcW w:w="794" w:type="dxa"/>
            <w:tcBorders>
              <w:top w:val="nil" w:sz="6" w:space="0" w:color="auto"/>
              <w:left w:val="single" w:sz="4" w:space="0" w:color="000000"/>
              <w:bottom w:val="single" w:sz="4" w:space="0" w:color="000000"/>
              <w:right w:val="single" w:sz="4" w:space="0" w:color="000000"/>
            </w:tcBorders>
          </w:tcPr>
          <w:p>
            <w:pPr/>
          </w:p>
        </w:tc>
        <w:tc>
          <w:tcPr>
            <w:tcW w:w="13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Arial Narrow" w:hAnsi="Arial Narrow" w:cs="Arial Narrow" w:eastAsia="Arial Narrow" w:hint="default"/>
                <w:sz w:val="21"/>
                <w:szCs w:val="21"/>
              </w:rPr>
            </w:pPr>
            <w:r>
              <w:rPr>
                <w:rFonts w:ascii="Arial Narrow"/>
                <w:sz w:val="21"/>
              </w:rPr>
              <w:t>13,695,133.81</w:t>
            </w:r>
          </w:p>
        </w:tc>
        <w:tc>
          <w:tcPr>
            <w:tcW w:w="15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340" w:right="0"/>
              <w:jc w:val="left"/>
              <w:rPr>
                <w:rFonts w:ascii="Arial Narrow" w:hAnsi="Arial Narrow" w:cs="Arial Narrow" w:eastAsia="Arial Narrow" w:hint="default"/>
                <w:sz w:val="21"/>
                <w:szCs w:val="21"/>
              </w:rPr>
            </w:pPr>
            <w:r>
              <w:rPr>
                <w:rFonts w:ascii="Arial Narrow"/>
                <w:sz w:val="21"/>
              </w:rPr>
              <w:t>93,256,204.31</w:t>
            </w:r>
          </w:p>
        </w:tc>
        <w:tc>
          <w:tcPr>
            <w:tcW w:w="1661" w:type="dxa"/>
            <w:tcBorders>
              <w:top w:val="nil" w:sz="6" w:space="0" w:color="auto"/>
              <w:left w:val="single" w:sz="4" w:space="0" w:color="000000"/>
              <w:bottom w:val="single" w:sz="4" w:space="0" w:color="000000"/>
              <w:right w:val="nil" w:sz="6" w:space="0" w:color="auto"/>
            </w:tcBorders>
          </w:tcPr>
          <w:p>
            <w:pPr>
              <w:pStyle w:val="TableParagraph"/>
              <w:spacing w:line="240" w:lineRule="auto" w:before="29"/>
              <w:ind w:left="348" w:right="0"/>
              <w:jc w:val="left"/>
              <w:rPr>
                <w:rFonts w:ascii="Arial Narrow" w:hAnsi="Arial Narrow" w:cs="Arial Narrow" w:eastAsia="Arial Narrow" w:hint="default"/>
                <w:sz w:val="21"/>
                <w:szCs w:val="21"/>
              </w:rPr>
            </w:pPr>
            <w:r>
              <w:rPr>
                <w:rFonts w:ascii="Arial Narrow"/>
                <w:sz w:val="21"/>
              </w:rPr>
              <w:t>539,832,172.24</w:t>
            </w:r>
          </w:p>
        </w:tc>
      </w:tr>
    </w:tbl>
    <w:p>
      <w:pPr>
        <w:spacing w:after="0" w:line="240" w:lineRule="auto"/>
        <w:jc w:val="left"/>
        <w:rPr>
          <w:rFonts w:ascii="Arial Narrow" w:hAnsi="Arial Narrow" w:cs="Arial Narrow" w:eastAsia="Arial Narrow" w:hint="default"/>
          <w:sz w:val="21"/>
          <w:szCs w:val="21"/>
        </w:rPr>
        <w:sectPr>
          <w:pgSz w:w="16840" w:h="11910" w:orient="landscape"/>
          <w:pgMar w:header="884" w:footer="1174" w:top="1160" w:bottom="1360" w:left="8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pStyle w:val="Heading5"/>
        <w:spacing w:line="240" w:lineRule="auto" w:before="26"/>
        <w:ind w:left="4171" w:right="4375"/>
        <w:jc w:val="center"/>
        <w:rPr>
          <w:b w:val="0"/>
          <w:bCs w:val="0"/>
        </w:rPr>
      </w:pPr>
      <w:r>
        <w:rPr/>
        <w:t>公司股东权益变动表</w:t>
      </w:r>
      <w:r>
        <w:rPr>
          <w:b w:val="0"/>
          <w:bCs w:val="0"/>
        </w:rPr>
      </w:r>
    </w:p>
    <w:p>
      <w:pPr>
        <w:spacing w:before="121"/>
        <w:ind w:left="4174" w:right="4375"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p>
      <w:pPr>
        <w:tabs>
          <w:tab w:pos="11697" w:val="left" w:leader="none"/>
        </w:tabs>
        <w:spacing w:before="69"/>
        <w:ind w:left="0" w:right="201" w:firstLine="0"/>
        <w:jc w:val="center"/>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单位：人民币元</w:t>
      </w:r>
    </w:p>
    <w:p>
      <w:pPr>
        <w:spacing w:line="240" w:lineRule="auto" w:before="10"/>
        <w:rPr>
          <w:rFonts w:ascii="宋体" w:hAnsi="宋体" w:cs="宋体" w:eastAsia="宋体" w:hint="default"/>
          <w:sz w:val="3"/>
          <w:szCs w:val="3"/>
        </w:rPr>
      </w:pPr>
    </w:p>
    <w:tbl>
      <w:tblPr>
        <w:tblW w:w="0" w:type="auto"/>
        <w:jc w:val="left"/>
        <w:tblInd w:w="544" w:type="dxa"/>
        <w:tblLayout w:type="fixed"/>
        <w:tblCellMar>
          <w:top w:w="0" w:type="dxa"/>
          <w:left w:w="0" w:type="dxa"/>
          <w:bottom w:w="0" w:type="dxa"/>
          <w:right w:w="0" w:type="dxa"/>
        </w:tblCellMar>
        <w:tblLook w:val="01E0"/>
      </w:tblPr>
      <w:tblGrid>
        <w:gridCol w:w="4268"/>
        <w:gridCol w:w="1584"/>
        <w:gridCol w:w="1414"/>
        <w:gridCol w:w="785"/>
        <w:gridCol w:w="785"/>
        <w:gridCol w:w="1330"/>
        <w:gridCol w:w="1567"/>
        <w:gridCol w:w="1652"/>
      </w:tblGrid>
      <w:tr>
        <w:trPr>
          <w:trHeight w:val="322" w:hRule="exact"/>
        </w:trPr>
        <w:tc>
          <w:tcPr>
            <w:tcW w:w="4268"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117" w:type="dxa"/>
            <w:gridSpan w:val="7"/>
            <w:tcBorders>
              <w:top w:val="single" w:sz="4" w:space="0" w:color="000000"/>
              <w:left w:val="single" w:sz="4" w:space="0" w:color="000000"/>
              <w:bottom w:val="single" w:sz="4" w:space="0" w:color="000000"/>
              <w:right w:val="nil" w:sz="6" w:space="0" w:color="auto"/>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34" w:hRule="exact"/>
        </w:trPr>
        <w:tc>
          <w:tcPr>
            <w:tcW w:w="4268" w:type="dxa"/>
            <w:vMerge/>
            <w:tcBorders>
              <w:left w:val="nil" w:sz="6" w:space="0" w:color="auto"/>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b/>
                <w:bCs/>
                <w:sz w:val="21"/>
                <w:szCs w:val="21"/>
              </w:rPr>
              <w:t>股本</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01" w:hanging="72"/>
              <w:jc w:val="left"/>
              <w:rPr>
                <w:rFonts w:ascii="宋体" w:hAnsi="宋体" w:cs="宋体" w:eastAsia="宋体" w:hint="default"/>
                <w:sz w:val="21"/>
                <w:szCs w:val="21"/>
              </w:rPr>
            </w:pPr>
            <w:r>
              <w:rPr>
                <w:rFonts w:ascii="宋体" w:hAnsi="宋体" w:cs="宋体" w:eastAsia="宋体" w:hint="default"/>
                <w:b/>
                <w:bCs/>
                <w:spacing w:val="-22"/>
                <w:sz w:val="21"/>
                <w:szCs w:val="21"/>
              </w:rPr>
              <w:t>减：库</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存股</w:t>
            </w:r>
            <w:r>
              <w:rPr>
                <w:rFonts w:ascii="宋体" w:hAnsi="宋体" w:cs="宋体" w:eastAsia="宋体" w:hint="default"/>
                <w:sz w:val="21"/>
                <w:szCs w:val="21"/>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5" w:right="175"/>
              <w:jc w:val="left"/>
              <w:rPr>
                <w:rFonts w:ascii="宋体" w:hAnsi="宋体" w:cs="宋体" w:eastAsia="宋体" w:hint="default"/>
                <w:sz w:val="21"/>
                <w:szCs w:val="21"/>
              </w:rPr>
            </w:pPr>
            <w:r>
              <w:rPr>
                <w:rFonts w:ascii="宋体" w:hAnsi="宋体" w:cs="宋体" w:eastAsia="宋体" w:hint="default"/>
                <w:b/>
                <w:bCs/>
                <w:sz w:val="21"/>
                <w:szCs w:val="21"/>
              </w:rPr>
              <w:t>专项</w:t>
            </w:r>
            <w:r>
              <w:rPr>
                <w:rFonts w:ascii="宋体" w:hAnsi="宋体" w:cs="宋体" w:eastAsia="宋体" w:hint="default"/>
                <w:b/>
                <w:bCs/>
                <w:w w:val="100"/>
                <w:sz w:val="21"/>
                <w:szCs w:val="21"/>
              </w:rPr>
              <w:t> </w:t>
            </w:r>
            <w:r>
              <w:rPr>
                <w:rFonts w:ascii="宋体" w:hAnsi="宋体" w:cs="宋体" w:eastAsia="宋体" w:hint="default"/>
                <w:b/>
                <w:bCs/>
                <w:sz w:val="21"/>
                <w:szCs w:val="21"/>
              </w:rPr>
              <w:t>储备</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5"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51"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6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4"/>
              <w:ind w:left="184" w:right="0"/>
              <w:jc w:val="left"/>
              <w:rPr>
                <w:rFonts w:ascii="宋体" w:hAnsi="宋体" w:cs="宋体" w:eastAsia="宋体" w:hint="default"/>
                <w:sz w:val="21"/>
                <w:szCs w:val="21"/>
              </w:rPr>
            </w:pPr>
            <w:r>
              <w:rPr>
                <w:rFonts w:ascii="宋体" w:hAnsi="宋体" w:cs="宋体" w:eastAsia="宋体" w:hint="default"/>
                <w:b/>
                <w:bCs/>
                <w:sz w:val="21"/>
                <w:szCs w:val="21"/>
              </w:rPr>
              <w:t>股东权益合计</w:t>
            </w:r>
            <w:r>
              <w:rPr>
                <w:rFonts w:ascii="宋体" w:hAnsi="宋体" w:cs="宋体" w:eastAsia="宋体" w:hint="default"/>
                <w:sz w:val="21"/>
                <w:szCs w:val="21"/>
              </w:rPr>
            </w:r>
          </w:p>
        </w:tc>
      </w:tr>
      <w:tr>
        <w:trPr>
          <w:trHeight w:val="321" w:hRule="exact"/>
        </w:trPr>
        <w:tc>
          <w:tcPr>
            <w:tcW w:w="4268" w:type="dxa"/>
            <w:tcBorders>
              <w:top w:val="single" w:sz="4" w:space="0" w:color="000000"/>
              <w:left w:val="nil" w:sz="6" w:space="0" w:color="auto"/>
              <w:bottom w:val="nil" w:sz="6" w:space="0" w:color="auto"/>
              <w:right w:val="single" w:sz="4" w:space="0" w:color="000000"/>
            </w:tcBorders>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一、上年年末余额</w:t>
            </w:r>
            <w:r>
              <w:rPr>
                <w:rFonts w:ascii="宋体" w:hAnsi="宋体" w:cs="宋体" w:eastAsia="宋体" w:hint="default"/>
                <w:sz w:val="21"/>
                <w:szCs w:val="21"/>
              </w:rPr>
            </w:r>
          </w:p>
        </w:tc>
        <w:tc>
          <w:tcPr>
            <w:tcW w:w="15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75,000,000.00</w:t>
            </w:r>
            <w:r>
              <w:rPr>
                <w:rFonts w:ascii="Arial Narrow"/>
                <w:sz w:val="21"/>
              </w:rPr>
            </w:r>
          </w:p>
        </w:tc>
        <w:tc>
          <w:tcPr>
            <w:tcW w:w="14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354,177,795.83</w:t>
            </w:r>
            <w:r>
              <w:rPr>
                <w:rFonts w:ascii="Arial Narrow"/>
                <w:sz w:val="21"/>
              </w:rPr>
            </w:r>
          </w:p>
        </w:tc>
        <w:tc>
          <w:tcPr>
            <w:tcW w:w="785" w:type="dxa"/>
            <w:tcBorders>
              <w:top w:val="single" w:sz="4" w:space="0" w:color="000000"/>
              <w:left w:val="single" w:sz="4" w:space="0" w:color="000000"/>
              <w:bottom w:val="nil" w:sz="6" w:space="0" w:color="auto"/>
              <w:right w:val="single" w:sz="4" w:space="0" w:color="000000"/>
            </w:tcBorders>
          </w:tcPr>
          <w:p>
            <w:pPr/>
          </w:p>
        </w:tc>
        <w:tc>
          <w:tcPr>
            <w:tcW w:w="785" w:type="dxa"/>
            <w:tcBorders>
              <w:top w:val="single" w:sz="4" w:space="0" w:color="000000"/>
              <w:left w:val="single" w:sz="4" w:space="0" w:color="000000"/>
              <w:bottom w:val="nil" w:sz="6" w:space="0" w:color="auto"/>
              <w:right w:val="single" w:sz="4" w:space="0" w:color="000000"/>
            </w:tcBorders>
          </w:tcPr>
          <w:p>
            <w:pPr/>
          </w:p>
        </w:tc>
        <w:tc>
          <w:tcPr>
            <w:tcW w:w="13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left="208" w:right="0"/>
              <w:jc w:val="left"/>
              <w:rPr>
                <w:rFonts w:ascii="Arial Narrow" w:hAnsi="Arial Narrow" w:cs="Arial Narrow" w:eastAsia="Arial Narrow" w:hint="default"/>
                <w:sz w:val="21"/>
                <w:szCs w:val="21"/>
              </w:rPr>
            </w:pPr>
            <w:r>
              <w:rPr>
                <w:rFonts w:ascii="Arial Narrow"/>
                <w:sz w:val="21"/>
              </w:rPr>
              <w:t>5,330,372.25</w:t>
            </w:r>
          </w:p>
        </w:tc>
        <w:tc>
          <w:tcPr>
            <w:tcW w:w="15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3"/>
              <w:ind w:right="99"/>
              <w:jc w:val="right"/>
              <w:rPr>
                <w:rFonts w:ascii="Arial Narrow" w:hAnsi="Arial Narrow" w:cs="Arial Narrow" w:eastAsia="Arial Narrow" w:hint="default"/>
                <w:sz w:val="21"/>
                <w:szCs w:val="21"/>
              </w:rPr>
            </w:pPr>
            <w:r>
              <w:rPr>
                <w:rFonts w:ascii="Arial Narrow"/>
                <w:spacing w:val="-1"/>
                <w:sz w:val="21"/>
              </w:rPr>
              <w:t>47,973,350.23</w:t>
            </w:r>
            <w:r>
              <w:rPr>
                <w:rFonts w:ascii="Arial Narrow"/>
                <w:sz w:val="21"/>
              </w:rPr>
            </w:r>
          </w:p>
        </w:tc>
        <w:tc>
          <w:tcPr>
            <w:tcW w:w="1652" w:type="dxa"/>
            <w:tcBorders>
              <w:top w:val="single" w:sz="4" w:space="0" w:color="000000"/>
              <w:left w:val="single" w:sz="4" w:space="0" w:color="000000"/>
              <w:bottom w:val="nil" w:sz="6" w:space="0" w:color="auto"/>
              <w:right w:val="nil" w:sz="6" w:space="0" w:color="auto"/>
            </w:tcBorders>
          </w:tcPr>
          <w:p>
            <w:pPr>
              <w:pStyle w:val="TableParagraph"/>
              <w:spacing w:line="240" w:lineRule="auto" w:before="33"/>
              <w:ind w:right="106"/>
              <w:jc w:val="right"/>
              <w:rPr>
                <w:rFonts w:ascii="Arial Narrow" w:hAnsi="Arial Narrow" w:cs="Arial Narrow" w:eastAsia="Arial Narrow" w:hint="default"/>
                <w:sz w:val="21"/>
                <w:szCs w:val="21"/>
              </w:rPr>
            </w:pPr>
            <w:r>
              <w:rPr>
                <w:rFonts w:ascii="Arial Narrow"/>
                <w:spacing w:val="-1"/>
                <w:sz w:val="21"/>
              </w:rPr>
              <w:t>482,481,518.31</w:t>
            </w:r>
            <w:r>
              <w:rPr>
                <w:rFonts w:ascii="Arial Narrow"/>
                <w:sz w:val="21"/>
              </w:rPr>
            </w: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90"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二、本年年初余额</w:t>
            </w:r>
            <w:r>
              <w:rPr>
                <w:rFonts w:ascii="宋体" w:hAnsi="宋体" w:cs="宋体" w:eastAsia="宋体" w:hint="default"/>
                <w:sz w:val="21"/>
                <w:szCs w:val="21"/>
              </w:rPr>
            </w:r>
          </w:p>
        </w:tc>
        <w:tc>
          <w:tcPr>
            <w:tcW w:w="158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75,000,000.00</w:t>
            </w:r>
            <w:r>
              <w:rPr>
                <w:rFonts w:ascii="Arial Narrow"/>
                <w:sz w:val="21"/>
              </w:rPr>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354,177,795.83</w:t>
            </w:r>
            <w:r>
              <w:rPr>
                <w:rFonts w:ascii="Arial Narrow"/>
                <w:sz w:val="21"/>
              </w:rPr>
            </w: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08" w:right="0"/>
              <w:jc w:val="left"/>
              <w:rPr>
                <w:rFonts w:ascii="Arial Narrow" w:hAnsi="Arial Narrow" w:cs="Arial Narrow" w:eastAsia="Arial Narrow" w:hint="default"/>
                <w:sz w:val="21"/>
                <w:szCs w:val="21"/>
              </w:rPr>
            </w:pPr>
            <w:r>
              <w:rPr>
                <w:rFonts w:ascii="Arial Narrow"/>
                <w:sz w:val="21"/>
              </w:rPr>
              <w:t>5,330,372.25</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47,973,350.23</w:t>
            </w:r>
            <w:r>
              <w:rPr>
                <w:rFonts w:ascii="Arial Narrow"/>
                <w:sz w:val="21"/>
              </w:rPr>
            </w:r>
          </w:p>
        </w:tc>
        <w:tc>
          <w:tcPr>
            <w:tcW w:w="165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482,481,518.31</w:t>
            </w:r>
            <w:r>
              <w:rPr>
                <w:rFonts w:ascii="Arial Narrow"/>
                <w:sz w:val="21"/>
              </w:rPr>
            </w:r>
          </w:p>
        </w:tc>
      </w:tr>
      <w:tr>
        <w:trPr>
          <w:trHeight w:val="471"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07" w:right="0"/>
              <w:jc w:val="left"/>
              <w:rPr>
                <w:rFonts w:ascii="宋体" w:hAnsi="宋体" w:cs="宋体" w:eastAsia="宋体" w:hint="default"/>
                <w:sz w:val="21"/>
                <w:szCs w:val="21"/>
              </w:rPr>
            </w:pPr>
            <w:r>
              <w:rPr>
                <w:rFonts w:ascii="宋体" w:hAnsi="宋体" w:cs="宋体" w:eastAsia="宋体" w:hint="default"/>
                <w:b/>
                <w:bCs/>
                <w:sz w:val="21"/>
                <w:szCs w:val="21"/>
              </w:rPr>
              <w:t>三、本年增减变动金额（减少以</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号填列）</w:t>
            </w:r>
            <w:r>
              <w:rPr>
                <w:rFonts w:ascii="宋体" w:hAnsi="宋体" w:cs="宋体" w:eastAsia="宋体" w:hint="default"/>
                <w:sz w:val="21"/>
                <w:szCs w:val="21"/>
              </w:rPr>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99"/>
              <w:jc w:val="right"/>
              <w:rPr>
                <w:rFonts w:ascii="Arial Narrow" w:hAnsi="Arial Narrow" w:cs="Arial Narrow" w:eastAsia="Arial Narrow" w:hint="default"/>
                <w:sz w:val="21"/>
                <w:szCs w:val="21"/>
              </w:rPr>
            </w:pPr>
            <w:r>
              <w:rPr>
                <w:rFonts w:ascii="Arial Narrow"/>
                <w:spacing w:val="-1"/>
                <w:sz w:val="21"/>
              </w:rPr>
              <w:t>260,900.00</w:t>
            </w:r>
            <w:r>
              <w:rPr>
                <w:rFonts w:ascii="Arial Narrow"/>
                <w:sz w:val="21"/>
              </w:rPr>
            </w: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left="208" w:right="0"/>
              <w:jc w:val="left"/>
              <w:rPr>
                <w:rFonts w:ascii="Arial Narrow" w:hAnsi="Arial Narrow" w:cs="Arial Narrow" w:eastAsia="Arial Narrow" w:hint="default"/>
                <w:sz w:val="21"/>
                <w:szCs w:val="21"/>
              </w:rPr>
            </w:pPr>
            <w:r>
              <w:rPr>
                <w:rFonts w:ascii="Arial Narrow"/>
                <w:sz w:val="21"/>
              </w:rPr>
              <w:t>4,186,828.19</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7"/>
              <w:ind w:right="99"/>
              <w:jc w:val="right"/>
              <w:rPr>
                <w:rFonts w:ascii="Arial Narrow" w:hAnsi="Arial Narrow" w:cs="Arial Narrow" w:eastAsia="Arial Narrow" w:hint="default"/>
                <w:sz w:val="21"/>
                <w:szCs w:val="21"/>
              </w:rPr>
            </w:pPr>
            <w:r>
              <w:rPr>
                <w:rFonts w:ascii="Arial Narrow"/>
                <w:spacing w:val="-1"/>
                <w:sz w:val="21"/>
              </w:rPr>
              <w:t>22,681,453.73</w:t>
            </w:r>
            <w:r>
              <w:rPr>
                <w:rFonts w:ascii="Arial Narrow"/>
                <w:sz w:val="21"/>
              </w:rPr>
            </w:r>
          </w:p>
        </w:tc>
        <w:tc>
          <w:tcPr>
            <w:tcW w:w="1652" w:type="dxa"/>
            <w:tcBorders>
              <w:top w:val="nil" w:sz="6" w:space="0" w:color="auto"/>
              <w:left w:val="single" w:sz="4" w:space="0" w:color="000000"/>
              <w:bottom w:val="nil" w:sz="6" w:space="0" w:color="auto"/>
              <w:right w:val="nil" w:sz="6" w:space="0" w:color="auto"/>
            </w:tcBorders>
          </w:tcPr>
          <w:p>
            <w:pPr>
              <w:pStyle w:val="TableParagraph"/>
              <w:spacing w:line="240" w:lineRule="auto" w:before="107"/>
              <w:ind w:right="106"/>
              <w:jc w:val="right"/>
              <w:rPr>
                <w:rFonts w:ascii="Arial Narrow" w:hAnsi="Arial Narrow" w:cs="Arial Narrow" w:eastAsia="Arial Narrow" w:hint="default"/>
                <w:sz w:val="21"/>
                <w:szCs w:val="21"/>
              </w:rPr>
            </w:pPr>
            <w:r>
              <w:rPr>
                <w:rFonts w:ascii="Arial Narrow"/>
                <w:spacing w:val="-1"/>
                <w:sz w:val="21"/>
              </w:rPr>
              <w:t>27,129,181.92</w:t>
            </w:r>
            <w:r>
              <w:rPr>
                <w:rFonts w:ascii="Arial Narrow"/>
                <w:sz w:val="21"/>
              </w:rPr>
            </w:r>
          </w:p>
        </w:tc>
      </w:tr>
      <w:tr>
        <w:trPr>
          <w:trHeight w:val="38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40" w:lineRule="auto" w:before="59"/>
              <w:ind w:left="107"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5"/>
              <w:ind w:right="99"/>
              <w:jc w:val="right"/>
              <w:rPr>
                <w:rFonts w:ascii="Arial Narrow" w:hAnsi="Arial Narrow" w:cs="Arial Narrow" w:eastAsia="Arial Narrow" w:hint="default"/>
                <w:sz w:val="21"/>
                <w:szCs w:val="21"/>
              </w:rPr>
            </w:pPr>
            <w:r>
              <w:rPr>
                <w:rFonts w:ascii="Arial Narrow"/>
                <w:spacing w:val="-1"/>
                <w:sz w:val="21"/>
              </w:rPr>
              <w:t>41,868,281.92</w:t>
            </w:r>
            <w:r>
              <w:rPr>
                <w:rFonts w:ascii="Arial Narrow"/>
                <w:sz w:val="21"/>
              </w:rPr>
            </w:r>
          </w:p>
        </w:tc>
        <w:tc>
          <w:tcPr>
            <w:tcW w:w="1652" w:type="dxa"/>
            <w:tcBorders>
              <w:top w:val="nil" w:sz="6" w:space="0" w:color="auto"/>
              <w:left w:val="single" w:sz="4" w:space="0" w:color="000000"/>
              <w:bottom w:val="nil" w:sz="6" w:space="0" w:color="auto"/>
              <w:right w:val="nil" w:sz="6" w:space="0" w:color="auto"/>
            </w:tcBorders>
          </w:tcPr>
          <w:p>
            <w:pPr>
              <w:pStyle w:val="TableParagraph"/>
              <w:spacing w:line="240" w:lineRule="auto" w:before="105"/>
              <w:ind w:right="106"/>
              <w:jc w:val="right"/>
              <w:rPr>
                <w:rFonts w:ascii="Arial Narrow" w:hAnsi="Arial Narrow" w:cs="Arial Narrow" w:eastAsia="Arial Narrow" w:hint="default"/>
                <w:sz w:val="21"/>
                <w:szCs w:val="21"/>
              </w:rPr>
            </w:pPr>
            <w:r>
              <w:rPr>
                <w:rFonts w:ascii="Arial Narrow"/>
                <w:spacing w:val="-1"/>
                <w:sz w:val="21"/>
              </w:rPr>
              <w:t>41,868,281.92</w:t>
            </w:r>
            <w:r>
              <w:rPr>
                <w:rFonts w:ascii="Arial Narrow"/>
                <w:sz w:val="21"/>
              </w:rPr>
            </w: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41,868,281.92</w:t>
            </w:r>
            <w:r>
              <w:rPr>
                <w:rFonts w:ascii="Arial Narrow"/>
                <w:sz w:val="21"/>
              </w:rPr>
            </w:r>
          </w:p>
        </w:tc>
        <w:tc>
          <w:tcPr>
            <w:tcW w:w="165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41,868,281.92</w:t>
            </w:r>
            <w:r>
              <w:rPr>
                <w:rFonts w:ascii="Arial Narrow"/>
                <w:sz w:val="21"/>
              </w:rPr>
            </w: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58" w:lineRule="exact"/>
              <w:ind w:left="107" w:right="0"/>
              <w:jc w:val="left"/>
              <w:rPr>
                <w:rFonts w:ascii="宋体" w:hAnsi="宋体" w:cs="宋体" w:eastAsia="宋体" w:hint="default"/>
                <w:sz w:val="21"/>
                <w:szCs w:val="21"/>
              </w:rPr>
            </w:pPr>
            <w:r>
              <w:rPr>
                <w:rFonts w:ascii="宋体" w:hAnsi="宋体" w:cs="宋体" w:eastAsia="宋体" w:hint="default"/>
                <w:sz w:val="21"/>
                <w:szCs w:val="21"/>
              </w:rPr>
              <w:t>（三）股东投入和减少资本</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260,900.00</w:t>
            </w:r>
            <w:r>
              <w:rPr>
                <w:rFonts w:ascii="Arial Narrow"/>
                <w:sz w:val="21"/>
              </w:rPr>
            </w: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106"/>
              <w:jc w:val="right"/>
              <w:rPr>
                <w:rFonts w:ascii="Arial Narrow" w:hAnsi="Arial Narrow" w:cs="Arial Narrow" w:eastAsia="Arial Narrow" w:hint="default"/>
                <w:sz w:val="21"/>
                <w:szCs w:val="21"/>
              </w:rPr>
            </w:pPr>
            <w:r>
              <w:rPr>
                <w:rFonts w:ascii="Arial Narrow"/>
                <w:spacing w:val="-1"/>
                <w:sz w:val="21"/>
              </w:rPr>
              <w:t>260,900.00</w:t>
            </w:r>
            <w:r>
              <w:rPr>
                <w:rFonts w:ascii="Arial Narrow"/>
                <w:sz w:val="21"/>
              </w:rPr>
            </w:r>
          </w:p>
        </w:tc>
      </w:tr>
      <w:tr>
        <w:trPr>
          <w:trHeight w:val="314"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．股东投入资本</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．股份支付计入股东权益的金额</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260,900.00</w:t>
            </w:r>
            <w:r>
              <w:rPr>
                <w:rFonts w:ascii="Arial Narrow"/>
                <w:sz w:val="21"/>
              </w:rPr>
            </w: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260,900.00</w:t>
            </w:r>
            <w:r>
              <w:rPr>
                <w:rFonts w:ascii="Arial Narrow"/>
                <w:sz w:val="21"/>
              </w:rPr>
            </w:r>
          </w:p>
        </w:tc>
      </w:tr>
      <w:tr>
        <w:trPr>
          <w:trHeight w:val="310"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08" w:right="0"/>
              <w:jc w:val="left"/>
              <w:rPr>
                <w:rFonts w:ascii="Arial Narrow" w:hAnsi="Arial Narrow" w:cs="Arial Narrow" w:eastAsia="Arial Narrow" w:hint="default"/>
                <w:sz w:val="21"/>
                <w:szCs w:val="21"/>
              </w:rPr>
            </w:pPr>
            <w:r>
              <w:rPr>
                <w:rFonts w:ascii="Arial Narrow"/>
                <w:sz w:val="21"/>
              </w:rPr>
              <w:t>4,186,828.19</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-19,186,828.19</w:t>
            </w:r>
            <w:r>
              <w:rPr>
                <w:rFonts w:ascii="Arial Narrow"/>
                <w:sz w:val="21"/>
              </w:rPr>
            </w:r>
          </w:p>
        </w:tc>
        <w:tc>
          <w:tcPr>
            <w:tcW w:w="1652"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r>
      <w:tr>
        <w:trPr>
          <w:trHeight w:val="315"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08" w:right="0"/>
              <w:jc w:val="left"/>
              <w:rPr>
                <w:rFonts w:ascii="Arial Narrow" w:hAnsi="Arial Narrow" w:cs="Arial Narrow" w:eastAsia="Arial Narrow" w:hint="default"/>
                <w:sz w:val="21"/>
                <w:szCs w:val="21"/>
              </w:rPr>
            </w:pPr>
            <w:r>
              <w:rPr>
                <w:rFonts w:ascii="Arial Narrow"/>
                <w:sz w:val="21"/>
              </w:rPr>
              <w:t>4,186,828.19</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spacing w:val="-1"/>
                <w:sz w:val="21"/>
              </w:rPr>
              <w:t>-4,186,828.19</w:t>
            </w:r>
            <w:r>
              <w:rPr>
                <w:rFonts w:ascii="Arial Narrow"/>
                <w:sz w:val="21"/>
              </w:rPr>
            </w: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．对股东的分配</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99"/>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c>
          <w:tcPr>
            <w:tcW w:w="1652" w:type="dxa"/>
            <w:tcBorders>
              <w:top w:val="nil" w:sz="6" w:space="0" w:color="auto"/>
              <w:left w:val="single" w:sz="4" w:space="0" w:color="000000"/>
              <w:bottom w:val="nil" w:sz="6" w:space="0" w:color="auto"/>
              <w:right w:val="nil" w:sz="6" w:space="0" w:color="auto"/>
            </w:tcBorders>
          </w:tcPr>
          <w:p>
            <w:pPr>
              <w:pStyle w:val="TableParagraph"/>
              <w:spacing w:line="240" w:lineRule="auto" w:before="27"/>
              <w:ind w:right="106"/>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r>
      <w:tr>
        <w:trPr>
          <w:trHeight w:val="312"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0"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（五）股东权益内部结转</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08" w:hRule="exact"/>
        </w:trPr>
        <w:tc>
          <w:tcPr>
            <w:tcW w:w="4268" w:type="dxa"/>
            <w:tcBorders>
              <w:top w:val="nil" w:sz="6" w:space="0" w:color="auto"/>
              <w:left w:val="nil" w:sz="6" w:space="0" w:color="auto"/>
              <w:bottom w:val="nil" w:sz="6" w:space="0" w:color="auto"/>
              <w:right w:val="single" w:sz="4" w:space="0" w:color="000000"/>
            </w:tcBorders>
          </w:tcPr>
          <w:p>
            <w:pPr>
              <w:pStyle w:val="TableParagraph"/>
              <w:spacing w:line="274"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．资本公积转增股本</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bl>
    <w:p>
      <w:pPr>
        <w:spacing w:after="0"/>
        <w:sectPr>
          <w:pgSz w:w="16840" w:h="11910" w:orient="landscape"/>
          <w:pgMar w:header="884" w:footer="1174" w:top="1160" w:bottom="1360" w:left="8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529" w:type="dxa"/>
        <w:tblLayout w:type="fixed"/>
        <w:tblCellMar>
          <w:top w:w="0" w:type="dxa"/>
          <w:left w:w="0" w:type="dxa"/>
          <w:bottom w:w="0" w:type="dxa"/>
          <w:right w:w="0" w:type="dxa"/>
        </w:tblCellMar>
        <w:tblLook w:val="01E0"/>
      </w:tblPr>
      <w:tblGrid>
        <w:gridCol w:w="4283"/>
        <w:gridCol w:w="1584"/>
        <w:gridCol w:w="1414"/>
        <w:gridCol w:w="785"/>
        <w:gridCol w:w="785"/>
        <w:gridCol w:w="1330"/>
        <w:gridCol w:w="1567"/>
        <w:gridCol w:w="1652"/>
      </w:tblGrid>
      <w:tr>
        <w:trPr>
          <w:trHeight w:val="319" w:hRule="exact"/>
        </w:trPr>
        <w:tc>
          <w:tcPr>
            <w:tcW w:w="4283" w:type="dxa"/>
            <w:tcBorders>
              <w:top w:val="nil" w:sz="6" w:space="0" w:color="auto"/>
              <w:left w:val="nil" w:sz="6" w:space="0" w:color="auto"/>
              <w:bottom w:val="nil" w:sz="6" w:space="0" w:color="auto"/>
              <w:right w:val="single" w:sz="4" w:space="0" w:color="000000"/>
            </w:tcBorders>
          </w:tcPr>
          <w:p>
            <w:pPr>
              <w:pStyle w:val="TableParagraph"/>
              <w:spacing w:line="278"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．盈余公积转增股本</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0" w:hRule="exact"/>
        </w:trPr>
        <w:tc>
          <w:tcPr>
            <w:tcW w:w="4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4" w:hRule="exact"/>
        </w:trPr>
        <w:tc>
          <w:tcPr>
            <w:tcW w:w="4283" w:type="dxa"/>
            <w:tcBorders>
              <w:top w:val="nil" w:sz="6" w:space="0" w:color="auto"/>
              <w:left w:val="nil" w:sz="6" w:space="0" w:color="auto"/>
              <w:bottom w:val="nil" w:sz="6" w:space="0" w:color="auto"/>
              <w:right w:val="single" w:sz="4" w:space="0" w:color="000000"/>
            </w:tcBorders>
          </w:tcPr>
          <w:p>
            <w:pPr>
              <w:pStyle w:val="TableParagraph"/>
              <w:spacing w:line="274"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nil" w:sz="6" w:space="0" w:color="auto"/>
              <w:right w:val="single" w:sz="4" w:space="0" w:color="000000"/>
            </w:tcBorders>
          </w:tcPr>
          <w:p>
            <w:pPr>
              <w:pStyle w:val="TableParagraph"/>
              <w:spacing w:line="272"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．本期使用（以负号填列）</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0" w:hRule="exact"/>
        </w:trPr>
        <w:tc>
          <w:tcPr>
            <w:tcW w:w="4283" w:type="dxa"/>
            <w:tcBorders>
              <w:top w:val="nil" w:sz="6" w:space="0" w:color="auto"/>
              <w:left w:val="nil" w:sz="6" w:space="0" w:color="auto"/>
              <w:bottom w:val="nil" w:sz="6" w:space="0" w:color="auto"/>
              <w:right w:val="single" w:sz="4" w:space="0" w:color="000000"/>
            </w:tcBorders>
          </w:tcPr>
          <w:p>
            <w:pPr>
              <w:pStyle w:val="TableParagraph"/>
              <w:spacing w:line="256" w:lineRule="exact"/>
              <w:ind w:left="1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84" w:type="dxa"/>
            <w:tcBorders>
              <w:top w:val="nil" w:sz="6" w:space="0" w:color="auto"/>
              <w:left w:val="single" w:sz="4" w:space="0" w:color="000000"/>
              <w:bottom w:val="nil" w:sz="6" w:space="0" w:color="auto"/>
              <w:right w:val="single" w:sz="4" w:space="0" w:color="000000"/>
            </w:tcBorders>
          </w:tcPr>
          <w:p>
            <w:pPr/>
          </w:p>
        </w:tc>
        <w:tc>
          <w:tcPr>
            <w:tcW w:w="1414"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785" w:type="dxa"/>
            <w:tcBorders>
              <w:top w:val="nil" w:sz="6" w:space="0" w:color="auto"/>
              <w:left w:val="single" w:sz="4" w:space="0" w:color="000000"/>
              <w:bottom w:val="nil" w:sz="6" w:space="0" w:color="auto"/>
              <w:right w:val="single" w:sz="4" w:space="0" w:color="000000"/>
            </w:tcBorders>
          </w:tcPr>
          <w:p>
            <w:pPr/>
          </w:p>
        </w:tc>
        <w:tc>
          <w:tcPr>
            <w:tcW w:w="1330" w:type="dxa"/>
            <w:tcBorders>
              <w:top w:val="nil" w:sz="6" w:space="0" w:color="auto"/>
              <w:left w:val="single" w:sz="4" w:space="0" w:color="000000"/>
              <w:bottom w:val="nil" w:sz="6" w:space="0" w:color="auto"/>
              <w:right w:val="single" w:sz="4" w:space="0" w:color="000000"/>
            </w:tcBorders>
          </w:tcPr>
          <w:p>
            <w:pPr/>
          </w:p>
        </w:tc>
        <w:tc>
          <w:tcPr>
            <w:tcW w:w="1567" w:type="dxa"/>
            <w:tcBorders>
              <w:top w:val="nil" w:sz="6" w:space="0" w:color="auto"/>
              <w:left w:val="single" w:sz="4" w:space="0" w:color="000000"/>
              <w:bottom w:val="nil" w:sz="6" w:space="0" w:color="auto"/>
              <w:right w:val="single" w:sz="4" w:space="0" w:color="000000"/>
            </w:tcBorders>
          </w:tcPr>
          <w:p>
            <w:pPr/>
          </w:p>
        </w:tc>
        <w:tc>
          <w:tcPr>
            <w:tcW w:w="1652" w:type="dxa"/>
            <w:tcBorders>
              <w:top w:val="nil" w:sz="6" w:space="0" w:color="auto"/>
              <w:left w:val="single" w:sz="4" w:space="0" w:color="000000"/>
              <w:bottom w:val="nil" w:sz="6" w:space="0" w:color="auto"/>
              <w:right w:val="nil" w:sz="6" w:space="0" w:color="auto"/>
            </w:tcBorders>
          </w:tcPr>
          <w:p>
            <w:pPr/>
          </w:p>
        </w:tc>
      </w:tr>
      <w:tr>
        <w:trPr>
          <w:trHeight w:val="312" w:hRule="exact"/>
        </w:trPr>
        <w:tc>
          <w:tcPr>
            <w:tcW w:w="4283" w:type="dxa"/>
            <w:tcBorders>
              <w:top w:val="nil" w:sz="6" w:space="0" w:color="auto"/>
              <w:left w:val="nil" w:sz="6" w:space="0" w:color="auto"/>
              <w:bottom w:val="single" w:sz="4" w:space="0" w:color="000000"/>
              <w:right w:val="single" w:sz="4" w:space="0" w:color="000000"/>
            </w:tcBorders>
          </w:tcPr>
          <w:p>
            <w:pPr>
              <w:pStyle w:val="TableParagraph"/>
              <w:spacing w:line="258"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四、本年年末余额</w:t>
            </w:r>
            <w:r>
              <w:rPr>
                <w:rFonts w:ascii="宋体" w:hAnsi="宋体" w:cs="宋体" w:eastAsia="宋体" w:hint="default"/>
                <w:sz w:val="21"/>
                <w:szCs w:val="21"/>
              </w:rPr>
            </w:r>
          </w:p>
        </w:tc>
        <w:tc>
          <w:tcPr>
            <w:tcW w:w="15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369" w:right="0"/>
              <w:jc w:val="left"/>
              <w:rPr>
                <w:rFonts w:ascii="Arial Narrow" w:hAnsi="Arial Narrow" w:cs="Arial Narrow" w:eastAsia="Arial Narrow" w:hint="default"/>
                <w:sz w:val="21"/>
                <w:szCs w:val="21"/>
              </w:rPr>
            </w:pPr>
            <w:r>
              <w:rPr>
                <w:rFonts w:ascii="Arial Narrow"/>
                <w:sz w:val="21"/>
              </w:rPr>
              <w:t>75,000,000.00</w:t>
            </w:r>
          </w:p>
        </w:tc>
        <w:tc>
          <w:tcPr>
            <w:tcW w:w="14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Arial Narrow" w:hAnsi="Arial Narrow" w:cs="Arial Narrow" w:eastAsia="Arial Narrow" w:hint="default"/>
                <w:sz w:val="21"/>
                <w:szCs w:val="21"/>
              </w:rPr>
            </w:pPr>
            <w:r>
              <w:rPr>
                <w:rFonts w:ascii="Arial Narrow"/>
                <w:sz w:val="21"/>
              </w:rPr>
              <w:t>354,438,695.83</w:t>
            </w:r>
          </w:p>
        </w:tc>
        <w:tc>
          <w:tcPr>
            <w:tcW w:w="785" w:type="dxa"/>
            <w:tcBorders>
              <w:top w:val="nil" w:sz="6" w:space="0" w:color="auto"/>
              <w:left w:val="single" w:sz="4" w:space="0" w:color="000000"/>
              <w:bottom w:val="single" w:sz="4" w:space="0" w:color="000000"/>
              <w:right w:val="single" w:sz="4" w:space="0" w:color="000000"/>
            </w:tcBorders>
          </w:tcPr>
          <w:p>
            <w:pPr/>
          </w:p>
        </w:tc>
        <w:tc>
          <w:tcPr>
            <w:tcW w:w="785" w:type="dxa"/>
            <w:tcBorders>
              <w:top w:val="nil" w:sz="6" w:space="0" w:color="auto"/>
              <w:left w:val="single" w:sz="4" w:space="0" w:color="000000"/>
              <w:bottom w:val="single" w:sz="4" w:space="0" w:color="000000"/>
              <w:right w:val="single" w:sz="4" w:space="0" w:color="000000"/>
            </w:tcBorders>
          </w:tcPr>
          <w:p>
            <w:pPr/>
          </w:p>
        </w:tc>
        <w:tc>
          <w:tcPr>
            <w:tcW w:w="133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208" w:right="0"/>
              <w:jc w:val="left"/>
              <w:rPr>
                <w:rFonts w:ascii="Arial Narrow" w:hAnsi="Arial Narrow" w:cs="Arial Narrow" w:eastAsia="Arial Narrow" w:hint="default"/>
                <w:sz w:val="21"/>
                <w:szCs w:val="21"/>
              </w:rPr>
            </w:pPr>
            <w:r>
              <w:rPr>
                <w:rFonts w:ascii="Arial Narrow"/>
                <w:sz w:val="21"/>
              </w:rPr>
              <w:t>9,517,200.44</w:t>
            </w:r>
          </w:p>
        </w:tc>
        <w:tc>
          <w:tcPr>
            <w:tcW w:w="15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9"/>
              <w:ind w:left="352" w:right="0"/>
              <w:jc w:val="left"/>
              <w:rPr>
                <w:rFonts w:ascii="Arial Narrow" w:hAnsi="Arial Narrow" w:cs="Arial Narrow" w:eastAsia="Arial Narrow" w:hint="default"/>
                <w:sz w:val="21"/>
                <w:szCs w:val="21"/>
              </w:rPr>
            </w:pPr>
            <w:r>
              <w:rPr>
                <w:rFonts w:ascii="Arial Narrow"/>
                <w:sz w:val="21"/>
              </w:rPr>
              <w:t>70,654,803.96</w:t>
            </w:r>
          </w:p>
        </w:tc>
        <w:tc>
          <w:tcPr>
            <w:tcW w:w="1652" w:type="dxa"/>
            <w:tcBorders>
              <w:top w:val="nil" w:sz="6" w:space="0" w:color="auto"/>
              <w:left w:val="single" w:sz="4" w:space="0" w:color="000000"/>
              <w:bottom w:val="single" w:sz="4" w:space="0" w:color="000000"/>
              <w:right w:val="nil" w:sz="6" w:space="0" w:color="auto"/>
            </w:tcBorders>
          </w:tcPr>
          <w:p>
            <w:pPr>
              <w:pStyle w:val="TableParagraph"/>
              <w:spacing w:line="240" w:lineRule="auto" w:before="29"/>
              <w:ind w:left="338" w:right="0"/>
              <w:jc w:val="left"/>
              <w:rPr>
                <w:rFonts w:ascii="Arial Narrow" w:hAnsi="Arial Narrow" w:cs="Arial Narrow" w:eastAsia="Arial Narrow" w:hint="default"/>
                <w:sz w:val="21"/>
                <w:szCs w:val="21"/>
              </w:rPr>
            </w:pPr>
            <w:r>
              <w:rPr>
                <w:rFonts w:ascii="Arial Narrow"/>
                <w:sz w:val="21"/>
              </w:rPr>
              <w:t>509,610,700.23</w:t>
            </w:r>
          </w:p>
        </w:tc>
      </w:tr>
    </w:tbl>
    <w:p>
      <w:pPr>
        <w:spacing w:after="0" w:line="240" w:lineRule="auto"/>
        <w:jc w:val="left"/>
        <w:rPr>
          <w:rFonts w:ascii="Arial Narrow" w:hAnsi="Arial Narrow" w:cs="Arial Narrow" w:eastAsia="Arial Narrow" w:hint="default"/>
          <w:sz w:val="21"/>
          <w:szCs w:val="21"/>
        </w:rPr>
        <w:sectPr>
          <w:pgSz w:w="16840" w:h="11910" w:orient="landscape"/>
          <w:pgMar w:header="884" w:footer="1174" w:top="1160" w:bottom="1360" w:left="860" w:right="1300"/>
        </w:sectPr>
      </w:pPr>
    </w:p>
    <w:p>
      <w:pPr>
        <w:spacing w:line="240" w:lineRule="auto" w:before="9"/>
        <w:rPr>
          <w:rFonts w:ascii="Times New Roman" w:hAnsi="Times New Roman" w:cs="Times New Roman" w:eastAsia="Times New Roman" w:hint="default"/>
          <w:sz w:val="24"/>
          <w:szCs w:val="24"/>
        </w:rPr>
      </w:pPr>
    </w:p>
    <w:p>
      <w:pPr>
        <w:spacing w:before="0"/>
        <w:ind w:left="4645" w:right="0" w:firstLine="0"/>
        <w:jc w:val="left"/>
        <w:rPr>
          <w:rFonts w:ascii="宋体" w:hAnsi="宋体" w:cs="宋体" w:eastAsia="宋体" w:hint="default"/>
          <w:sz w:val="32"/>
          <w:szCs w:val="32"/>
        </w:rPr>
      </w:pPr>
      <w:r>
        <w:rPr>
          <w:rFonts w:ascii="宋体" w:hAnsi="宋体" w:cs="宋体" w:eastAsia="宋体" w:hint="default"/>
          <w:b/>
          <w:bCs/>
          <w:spacing w:val="2"/>
          <w:sz w:val="32"/>
          <w:szCs w:val="32"/>
        </w:rPr>
        <w:t>财务报表附注</w:t>
      </w:r>
      <w:r>
        <w:rPr>
          <w:rFonts w:ascii="宋体" w:hAnsi="宋体" w:cs="宋体" w:eastAsia="宋体" w:hint="default"/>
          <w:sz w:val="32"/>
          <w:szCs w:val="32"/>
        </w:rPr>
      </w:r>
    </w:p>
    <w:p>
      <w:pPr>
        <w:spacing w:line="240" w:lineRule="auto" w:before="4"/>
        <w:rPr>
          <w:rFonts w:ascii="宋体" w:hAnsi="宋体" w:cs="宋体" w:eastAsia="宋体" w:hint="default"/>
          <w:b/>
          <w:bCs/>
          <w:sz w:val="15"/>
          <w:szCs w:val="15"/>
        </w:rPr>
      </w:pPr>
    </w:p>
    <w:p>
      <w:pPr>
        <w:pStyle w:val="Heading5"/>
        <w:spacing w:line="240" w:lineRule="auto" w:before="26"/>
        <w:ind w:left="142" w:right="0"/>
        <w:jc w:val="left"/>
        <w:rPr>
          <w:b w:val="0"/>
          <w:bCs w:val="0"/>
        </w:rPr>
      </w:pPr>
      <w:r>
        <w:rPr/>
        <w:t>一、公司基本情况</w:t>
      </w:r>
      <w:r>
        <w:rPr>
          <w:b w:val="0"/>
          <w:bCs w:val="0"/>
        </w:rPr>
      </w:r>
    </w:p>
    <w:p>
      <w:pPr>
        <w:spacing w:line="240" w:lineRule="auto" w:before="8"/>
        <w:rPr>
          <w:rFonts w:ascii="宋体" w:hAnsi="宋体" w:cs="宋体" w:eastAsia="宋体" w:hint="default"/>
          <w:b/>
          <w:bCs/>
          <w:sz w:val="17"/>
          <w:szCs w:val="17"/>
        </w:rPr>
      </w:pPr>
    </w:p>
    <w:p>
      <w:pPr>
        <w:pStyle w:val="BodyText"/>
        <w:spacing w:line="225" w:lineRule="auto"/>
        <w:ind w:left="562" w:right="227"/>
        <w:jc w:val="both"/>
      </w:pPr>
      <w:r>
        <w:rPr>
          <w:spacing w:val="-1"/>
        </w:rPr>
        <w:t>北京超图软件股份有限公司（以下简称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）前身为北京超图地理信息技术有限公</w:t>
      </w:r>
      <w:r>
        <w:rPr>
          <w:spacing w:val="-109"/>
        </w:rPr>
        <w:t> </w:t>
      </w:r>
      <w:r>
        <w:rPr>
          <w:spacing w:val="-109"/>
        </w:rPr>
      </w:r>
      <w:r>
        <w:rPr/>
        <w:t>司，系由自然人钟耳顺、吴秋华、苏月明、宋关福共同出资设立，于</w:t>
      </w:r>
      <w:r>
        <w:rPr>
          <w:spacing w:val="-69"/>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0"/>
        </w:rPr>
        <w:t> </w:t>
      </w:r>
      <w:r>
        <w:rPr/>
        <w:t>年</w:t>
      </w:r>
      <w:r>
        <w:rPr>
          <w:spacing w:val="-70"/>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70"/>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 在北京市工商行政管理局登记注册的有限责任公司。</w:t>
      </w:r>
    </w:p>
    <w:p>
      <w:pPr>
        <w:spacing w:line="240" w:lineRule="auto" w:before="5"/>
        <w:rPr>
          <w:rFonts w:ascii="宋体" w:hAnsi="宋体" w:cs="宋体" w:eastAsia="宋体" w:hint="default"/>
          <w:sz w:val="17"/>
          <w:szCs w:val="17"/>
        </w:rPr>
      </w:pPr>
    </w:p>
    <w:p>
      <w:pPr>
        <w:pStyle w:val="BodyText"/>
        <w:spacing w:line="230" w:lineRule="auto"/>
        <w:ind w:left="562" w:right="224"/>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日，经北京超图地理信息技术有限公司股东会批准，以</w:t>
      </w:r>
      <w:r>
        <w:rPr>
          <w:spacing w:val="-5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 </w:t>
      </w:r>
      <w:r>
        <w:rPr>
          <w:spacing w:val="-2"/>
        </w:rPr>
        <w:t>日的净资产为基准，以发起设立的方式整体变更为北京超图软件股份有限公司。变更后</w:t>
      </w:r>
      <w:r>
        <w:rPr>
          <w:spacing w:val="-97"/>
        </w:rPr>
        <w:t> </w:t>
      </w:r>
      <w:r>
        <w:rPr>
          <w:spacing w:val="-97"/>
        </w:rPr>
      </w:r>
      <w:r>
        <w:rPr/>
        <w:t>本公司注册资本</w:t>
      </w:r>
      <w:r>
        <w:rPr>
          <w:spacing w:val="-58"/>
        </w:rPr>
        <w:t> </w:t>
      </w:r>
      <w:r>
        <w:rPr>
          <w:rFonts w:ascii="Times New Roman" w:hAnsi="Times New Roman" w:cs="Times New Roman" w:eastAsia="Times New Roman" w:hint="default"/>
        </w:rPr>
        <w:t>5,600</w:t>
      </w:r>
      <w:r>
        <w:rPr>
          <w:rFonts w:ascii="Times New Roman" w:hAnsi="Times New Roman" w:cs="Times New Roman" w:eastAsia="Times New Roman" w:hint="default"/>
          <w:spacing w:val="3"/>
        </w:rPr>
        <w:t> </w:t>
      </w:r>
      <w:r>
        <w:rPr/>
        <w:t>万元，业经北京京都会计师事务所有限责任公司出具北京京都验</w:t>
      </w:r>
    </w:p>
    <w:p>
      <w:pPr>
        <w:pStyle w:val="BodyText"/>
        <w:spacing w:line="314" w:lineRule="exact"/>
        <w:ind w:left="562" w:right="0"/>
        <w:jc w:val="both"/>
      </w:pPr>
      <w:r>
        <w:rPr/>
        <w:t>字（</w:t>
      </w:r>
      <w:r>
        <w:rPr>
          <w:rFonts w:ascii="Times New Roman" w:hAnsi="Times New Roman" w:cs="Times New Roman" w:eastAsia="Times New Roman" w:hint="default"/>
        </w:rPr>
        <w:t>2008</w:t>
      </w:r>
      <w:r>
        <w:rPr/>
        <w:t>）第</w:t>
      </w:r>
      <w:r>
        <w:rPr>
          <w:spacing w:val="-61"/>
        </w:rPr>
        <w:t> </w:t>
      </w:r>
      <w:r>
        <w:rPr>
          <w:rFonts w:ascii="Times New Roman" w:hAnsi="Times New Roman" w:cs="Times New Roman" w:eastAsia="Times New Roman" w:hint="default"/>
        </w:rPr>
        <w:t>007</w:t>
      </w:r>
      <w:r>
        <w:rPr>
          <w:rFonts w:ascii="Times New Roman" w:hAnsi="Times New Roman" w:cs="Times New Roman" w:eastAsia="Times New Roman" w:hint="default"/>
          <w:spacing w:val="-1"/>
        </w:rPr>
        <w:t> </w:t>
      </w:r>
      <w:r>
        <w:rPr/>
        <w:t>号验资报告予以验证。</w:t>
      </w:r>
    </w:p>
    <w:p>
      <w:pPr>
        <w:pStyle w:val="BodyText"/>
        <w:spacing w:line="321" w:lineRule="exact" w:before="195"/>
        <w:ind w:left="562" w:right="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日，经本公司</w:t>
      </w:r>
      <w:r>
        <w:rPr>
          <w:spacing w:val="-5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年度第二次临时股东大会批准，申请首次公开发行</w:t>
      </w:r>
    </w:p>
    <w:p>
      <w:pPr>
        <w:pStyle w:val="BodyText"/>
        <w:spacing w:line="225" w:lineRule="auto" w:before="5"/>
        <w:ind w:left="562" w:right="226"/>
        <w:jc w:val="both"/>
      </w:pPr>
      <w:r>
        <w:rPr>
          <w:rFonts w:ascii="Times New Roman" w:hAnsi="Times New Roman" w:cs="Times New Roman" w:eastAsia="Times New Roman" w:hint="default"/>
        </w:rPr>
        <w:t>1,900</w:t>
      </w:r>
      <w:r>
        <w:rPr>
          <w:rFonts w:ascii="Times New Roman" w:hAnsi="Times New Roman" w:cs="Times New Roman" w:eastAsia="Times New Roman" w:hint="default"/>
          <w:spacing w:val="5"/>
        </w:rPr>
        <w:t> </w:t>
      </w:r>
      <w:r>
        <w:rPr/>
        <w:t>万股人民币普通股股票并在创业板上市。根据中国证券监督管理委员会证监许可 </w:t>
      </w:r>
      <w:r>
        <w:rPr>
          <w:rFonts w:ascii="Times New Roman" w:hAnsi="Times New Roman" w:cs="Times New Roman" w:eastAsia="Times New Roman" w:hint="default"/>
        </w:rPr>
        <w:t>[2009]1313</w:t>
      </w:r>
      <w:r>
        <w:rPr>
          <w:rFonts w:ascii="Times New Roman" w:hAnsi="Times New Roman" w:cs="Times New Roman" w:eastAsia="Times New Roman" w:hint="default"/>
          <w:spacing w:val="-33"/>
        </w:rPr>
        <w:t> </w:t>
      </w:r>
      <w:r>
        <w:rPr/>
        <w:t>号《关于核准北京超图软件股份有限公司首次公开发行股票并在创业板上市 </w:t>
      </w:r>
      <w:r>
        <w:rPr>
          <w:spacing w:val="1"/>
          <w:w w:val="99"/>
        </w:rPr>
        <w:t>的批复》核准，本公司公开发行人民币普通股（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w w:val="99"/>
        </w:rPr>
        <w:t> </w:t>
      </w:r>
      <w:r>
        <w:rPr/>
        <w:t>股）</w:t>
      </w:r>
      <w:r>
        <w:rPr>
          <w:rFonts w:ascii="Times New Roman" w:hAnsi="Times New Roman" w:cs="Times New Roman" w:eastAsia="Times New Roman" w:hint="default"/>
        </w:rPr>
        <w:t>1,900 </w:t>
      </w:r>
      <w:r>
        <w:rPr>
          <w:spacing w:val="4"/>
        </w:rPr>
        <w:t>万股（每股面值</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6"/>
        </w:rPr>
        <w:t>元）。</w:t>
      </w:r>
      <w:r>
        <w:rPr/>
        <w:t> 增发后本公司注册资本</w:t>
      </w:r>
      <w:r>
        <w:rPr>
          <w:spacing w:val="-63"/>
        </w:rPr>
        <w:t> </w:t>
      </w:r>
      <w:r>
        <w:rPr>
          <w:rFonts w:ascii="Times New Roman" w:hAnsi="Times New Roman" w:cs="Times New Roman" w:eastAsia="Times New Roman" w:hint="default"/>
        </w:rPr>
        <w:t>7,500</w:t>
      </w:r>
      <w:r>
        <w:rPr>
          <w:rFonts w:ascii="Times New Roman" w:hAnsi="Times New Roman" w:cs="Times New Roman" w:eastAsia="Times New Roman" w:hint="default"/>
          <w:spacing w:val="-3"/>
        </w:rPr>
        <w:t> </w:t>
      </w:r>
      <w:r>
        <w:rPr/>
        <w:t>万元，业经京都天华会计师事务所有限公司出具京都天华 验字（</w:t>
      </w:r>
      <w:r>
        <w:rPr>
          <w:rFonts w:ascii="Times New Roman" w:hAnsi="Times New Roman" w:cs="Times New Roman" w:eastAsia="Times New Roman" w:hint="default"/>
        </w:rPr>
        <w:t>2009</w:t>
      </w:r>
      <w:r>
        <w:rPr/>
        <w:t>）第</w:t>
      </w:r>
      <w:r>
        <w:rPr>
          <w:spacing w:val="7"/>
        </w:rPr>
        <w:t> </w:t>
      </w:r>
      <w:r>
        <w:rPr>
          <w:rFonts w:ascii="Times New Roman" w:hAnsi="Times New Roman" w:cs="Times New Roman" w:eastAsia="Times New Roman" w:hint="default"/>
        </w:rPr>
        <w:t>109</w:t>
      </w:r>
      <w:r>
        <w:rPr>
          <w:rFonts w:ascii="Times New Roman" w:hAnsi="Times New Roman" w:cs="Times New Roman" w:eastAsia="Times New Roman" w:hint="default"/>
          <w:spacing w:val="49"/>
        </w:rPr>
        <w:t> </w:t>
      </w:r>
      <w:r>
        <w:rPr>
          <w:spacing w:val="2"/>
        </w:rPr>
        <w:t>号验资报告予以验证。经北京市工商行政管理局批准，本公司于</w:t>
      </w:r>
      <w:r>
        <w:rPr>
          <w:spacing w:val="-118"/>
        </w:rPr>
        <w:t> </w:t>
      </w:r>
      <w:r>
        <w:rPr>
          <w:spacing w:val="-118"/>
        </w:rPr>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日取得了注册号为</w:t>
      </w:r>
      <w:r>
        <w:rPr>
          <w:spacing w:val="-62"/>
        </w:rPr>
        <w:t> </w:t>
      </w:r>
      <w:r>
        <w:rPr>
          <w:rFonts w:ascii="Times New Roman" w:hAnsi="Times New Roman" w:cs="Times New Roman" w:eastAsia="Times New Roman" w:hint="default"/>
        </w:rPr>
        <w:t>110105002483632</w:t>
      </w:r>
      <w:r>
        <w:rPr>
          <w:rFonts w:ascii="Times New Roman" w:hAnsi="Times New Roman" w:cs="Times New Roman" w:eastAsia="Times New Roman" w:hint="default"/>
          <w:spacing w:val="-2"/>
        </w:rPr>
        <w:t> </w:t>
      </w:r>
      <w:r>
        <w:rPr/>
        <w:t>的企业法人营业执照。</w:t>
      </w:r>
    </w:p>
    <w:p>
      <w:pPr>
        <w:spacing w:line="240" w:lineRule="auto" w:before="5"/>
        <w:rPr>
          <w:rFonts w:ascii="宋体" w:hAnsi="宋体" w:cs="宋体" w:eastAsia="宋体" w:hint="default"/>
          <w:sz w:val="17"/>
          <w:szCs w:val="17"/>
        </w:rPr>
      </w:pPr>
    </w:p>
    <w:p>
      <w:pPr>
        <w:pStyle w:val="BodyText"/>
        <w:spacing w:line="312" w:lineRule="exact"/>
        <w:ind w:left="562" w:right="233"/>
        <w:jc w:val="both"/>
      </w:pPr>
      <w:r>
        <w:rPr/>
        <w:t>限售流通股东持有的</w:t>
      </w:r>
      <w:r>
        <w:rPr>
          <w:spacing w:val="-48"/>
        </w:rPr>
        <w:t> </w:t>
      </w:r>
      <w:r>
        <w:rPr>
          <w:rFonts w:ascii="Times New Roman" w:hAnsi="Times New Roman" w:cs="Times New Roman" w:eastAsia="Times New Roman" w:hint="default"/>
        </w:rPr>
        <w:t>23,504,000.00</w:t>
      </w:r>
      <w:r>
        <w:rPr>
          <w:rFonts w:ascii="Times New Roman" w:hAnsi="Times New Roman" w:cs="Times New Roman" w:eastAsia="Times New Roman" w:hint="default"/>
          <w:spacing w:val="12"/>
        </w:rPr>
        <w:t> </w:t>
      </w:r>
      <w:r>
        <w:rPr/>
        <w:t>股有限售条件的流通股于</w:t>
      </w:r>
      <w:r>
        <w:rPr>
          <w:spacing w:val="-48"/>
        </w:rPr>
        <w:t> </w:t>
      </w:r>
      <w:r>
        <w:rPr>
          <w:rFonts w:ascii="Times New Roman" w:hAnsi="Times New Roman" w:cs="Times New Roman" w:eastAsia="Times New Roman" w:hint="default"/>
        </w:rPr>
        <w:t>2010 </w:t>
      </w:r>
      <w:r>
        <w:rPr/>
        <w:t>年</w:t>
      </w:r>
      <w:r>
        <w:rPr>
          <w:spacing w:val="-48"/>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27 </w:t>
      </w:r>
      <w:r>
        <w:rPr/>
        <w:t>日上市 流通。</w:t>
      </w:r>
    </w:p>
    <w:p>
      <w:pPr>
        <w:pStyle w:val="BodyText"/>
        <w:spacing w:line="321" w:lineRule="exact" w:before="185"/>
        <w:ind w:left="562" w:right="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16</w:t>
      </w:r>
      <w:r>
        <w:rPr>
          <w:rFonts w:ascii="Times New Roman" w:hAnsi="Times New Roman" w:cs="Times New Roman" w:eastAsia="Times New Roman" w:hint="default"/>
          <w:spacing w:val="6"/>
        </w:rPr>
        <w:t> </w:t>
      </w:r>
      <w:r>
        <w:rPr/>
        <w:t>日，经本公司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年度股东大会批准，以</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年末总股本</w:t>
      </w:r>
      <w:r>
        <w:rPr>
          <w:spacing w:val="-54"/>
        </w:rPr>
        <w:t> </w:t>
      </w:r>
      <w:r>
        <w:rPr>
          <w:rFonts w:ascii="Times New Roman" w:hAnsi="Times New Roman" w:cs="Times New Roman" w:eastAsia="Times New Roman" w:hint="default"/>
        </w:rPr>
        <w:t>7,500</w:t>
      </w:r>
      <w:r>
        <w:rPr>
          <w:rFonts w:ascii="Times New Roman" w:hAnsi="Times New Roman" w:cs="Times New Roman" w:eastAsia="Times New Roman" w:hint="default"/>
          <w:spacing w:val="6"/>
        </w:rPr>
        <w:t> </w:t>
      </w:r>
      <w:r>
        <w:rPr/>
        <w:t>万股</w:t>
      </w:r>
    </w:p>
    <w:p>
      <w:pPr>
        <w:pStyle w:val="BodyText"/>
        <w:spacing w:line="311" w:lineRule="exact"/>
        <w:ind w:left="562" w:right="0"/>
        <w:jc w:val="both"/>
      </w:pPr>
      <w:r>
        <w:rPr>
          <w:spacing w:val="-3"/>
        </w:rPr>
        <w:t>为基数，由资本公积向全体股东每</w:t>
      </w:r>
      <w:r>
        <w:rPr>
          <w:spacing w:val="-5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spacing w:val="-8"/>
        </w:rPr>
        <w:t>股，共转增</w:t>
      </w:r>
      <w:r>
        <w:rPr>
          <w:spacing w:val="-59"/>
        </w:rPr>
        <w:t> </w:t>
      </w:r>
      <w:r>
        <w:rPr>
          <w:rFonts w:ascii="Times New Roman" w:hAnsi="Times New Roman" w:cs="Times New Roman" w:eastAsia="Times New Roman" w:hint="default"/>
        </w:rPr>
        <w:t>4,500</w:t>
      </w:r>
      <w:r>
        <w:rPr>
          <w:rFonts w:ascii="Times New Roman" w:hAnsi="Times New Roman" w:cs="Times New Roman" w:eastAsia="Times New Roman" w:hint="default"/>
          <w:spacing w:val="1"/>
        </w:rPr>
        <w:t> </w:t>
      </w:r>
      <w:r>
        <w:rPr>
          <w:spacing w:val="-4"/>
        </w:rPr>
        <w:t>万股。转增后的股本总</w:t>
      </w:r>
    </w:p>
    <w:p>
      <w:pPr>
        <w:pStyle w:val="BodyText"/>
        <w:spacing w:line="312" w:lineRule="exact"/>
        <w:ind w:left="562" w:right="0"/>
        <w:jc w:val="both"/>
      </w:pPr>
      <w:r>
        <w:rPr/>
        <w:t>额为</w:t>
      </w:r>
      <w:r>
        <w:rPr>
          <w:spacing w:val="-44"/>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6"/>
        </w:rPr>
        <w:t> </w:t>
      </w:r>
      <w:r>
        <w:rPr/>
        <w:t>万股，注册资本变更为人民币</w:t>
      </w:r>
      <w:r>
        <w:rPr>
          <w:spacing w:val="-43"/>
        </w:rPr>
        <w:t> </w:t>
      </w:r>
      <w:r>
        <w:rPr>
          <w:rFonts w:ascii="Times New Roman" w:hAnsi="Times New Roman" w:cs="Times New Roman" w:eastAsia="Times New Roman" w:hint="default"/>
        </w:rPr>
        <w:t>12,000</w:t>
      </w:r>
      <w:r>
        <w:rPr>
          <w:rFonts w:ascii="Times New Roman" w:hAnsi="Times New Roman" w:cs="Times New Roman" w:eastAsia="Times New Roman" w:hint="default"/>
          <w:spacing w:val="16"/>
        </w:rPr>
        <w:t> </w:t>
      </w:r>
      <w:r>
        <w:rPr/>
        <w:t>万元，业经京都天华会计师事务所出</w:t>
      </w:r>
    </w:p>
    <w:p>
      <w:pPr>
        <w:pStyle w:val="BodyText"/>
        <w:spacing w:line="322" w:lineRule="exact"/>
        <w:ind w:left="562" w:right="0"/>
        <w:jc w:val="both"/>
      </w:pPr>
      <w:r>
        <w:rPr>
          <w:spacing w:val="2"/>
        </w:rPr>
        <w:t>具京都天华验字（</w:t>
      </w:r>
      <w:r>
        <w:rPr>
          <w:rFonts w:ascii="Times New Roman" w:hAnsi="Times New Roman" w:cs="Times New Roman" w:eastAsia="Times New Roman" w:hint="default"/>
          <w:spacing w:val="2"/>
        </w:rPr>
        <w:t>2011</w:t>
      </w:r>
      <w:r>
        <w:rPr>
          <w:spacing w:val="2"/>
        </w:rPr>
        <w:t>）第 </w:t>
      </w:r>
      <w:r>
        <w:rPr>
          <w:rFonts w:ascii="Times New Roman" w:hAnsi="Times New Roman" w:cs="Times New Roman" w:eastAsia="Times New Roman" w:hint="default"/>
          <w:spacing w:val="-3"/>
        </w:rPr>
        <w:t>0112</w:t>
      </w:r>
      <w:r>
        <w:rPr>
          <w:rFonts w:ascii="Times New Roman" w:hAnsi="Times New Roman" w:cs="Times New Roman" w:eastAsia="Times New Roman" w:hint="default"/>
          <w:spacing w:val="7"/>
        </w:rPr>
        <w:t> </w:t>
      </w:r>
      <w:r>
        <w:rPr>
          <w:spacing w:val="2"/>
        </w:rPr>
        <w:t>号验资报告予以验证。</w:t>
      </w:r>
    </w:p>
    <w:p>
      <w:pPr>
        <w:pStyle w:val="BodyText"/>
        <w:spacing w:line="240" w:lineRule="auto" w:before="193"/>
        <w:ind w:left="562" w:right="0"/>
        <w:jc w:val="both"/>
      </w:pPr>
      <w:r>
        <w:rPr/>
        <w:t>截至</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日，本公司股本结构为：</w:t>
      </w:r>
    </w:p>
    <w:p>
      <w:pPr>
        <w:spacing w:line="240" w:lineRule="auto" w:before="1"/>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153"/>
        <w:gridCol w:w="3503"/>
        <w:gridCol w:w="1760"/>
      </w:tblGrid>
      <w:tr>
        <w:trPr>
          <w:trHeight w:val="420" w:hRule="exact"/>
        </w:trPr>
        <w:tc>
          <w:tcPr>
            <w:tcW w:w="3153"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left="105" w:right="0"/>
              <w:jc w:val="left"/>
              <w:rPr>
                <w:rFonts w:ascii="宋体" w:hAnsi="宋体" w:cs="宋体" w:eastAsia="宋体" w:hint="default"/>
                <w:sz w:val="24"/>
                <w:szCs w:val="24"/>
              </w:rPr>
            </w:pPr>
            <w:r>
              <w:rPr>
                <w:rFonts w:ascii="宋体" w:hAnsi="宋体" w:cs="宋体" w:eastAsia="宋体" w:hint="default"/>
                <w:b/>
                <w:bCs/>
                <w:sz w:val="24"/>
                <w:szCs w:val="24"/>
              </w:rPr>
              <w:t>股东名称</w:t>
            </w:r>
            <w:r>
              <w:rPr>
                <w:rFonts w:ascii="宋体" w:hAnsi="宋体" w:cs="宋体" w:eastAsia="宋体" w:hint="default"/>
                <w:sz w:val="24"/>
                <w:szCs w:val="24"/>
              </w:rPr>
            </w:r>
          </w:p>
        </w:tc>
        <w:tc>
          <w:tcPr>
            <w:tcW w:w="3503"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687"/>
              <w:jc w:val="right"/>
              <w:rPr>
                <w:rFonts w:ascii="宋体" w:hAnsi="宋体" w:cs="宋体" w:eastAsia="宋体" w:hint="default"/>
                <w:sz w:val="24"/>
                <w:szCs w:val="24"/>
              </w:rPr>
            </w:pPr>
            <w:r>
              <w:rPr>
                <w:rFonts w:ascii="宋体" w:hAnsi="宋体" w:cs="宋体" w:eastAsia="宋体" w:hint="default"/>
                <w:b/>
                <w:bCs/>
                <w:w w:val="95"/>
                <w:sz w:val="24"/>
                <w:szCs w:val="24"/>
              </w:rPr>
              <w:t>持股数量（万股）</w:t>
            </w:r>
            <w:r>
              <w:rPr>
                <w:rFonts w:ascii="宋体" w:hAnsi="宋体" w:cs="宋体" w:eastAsia="宋体" w:hint="default"/>
                <w:sz w:val="24"/>
                <w:szCs w:val="24"/>
              </w:rPr>
            </w:r>
          </w:p>
        </w:tc>
        <w:tc>
          <w:tcPr>
            <w:tcW w:w="1760"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106"/>
              <w:jc w:val="right"/>
              <w:rPr>
                <w:rFonts w:ascii="宋体" w:hAnsi="宋体" w:cs="宋体" w:eastAsia="宋体" w:hint="default"/>
                <w:sz w:val="24"/>
                <w:szCs w:val="24"/>
              </w:rPr>
            </w:pPr>
            <w:r>
              <w:rPr>
                <w:rFonts w:ascii="宋体" w:hAnsi="宋体" w:cs="宋体" w:eastAsia="宋体" w:hint="default"/>
                <w:b/>
                <w:bCs/>
                <w:sz w:val="24"/>
                <w:szCs w:val="24"/>
              </w:rPr>
              <w:t>持股比例</w:t>
            </w:r>
            <w:r>
              <w:rPr>
                <w:rFonts w:ascii="宋体" w:hAnsi="宋体" w:cs="宋体" w:eastAsia="宋体" w:hint="default"/>
                <w:sz w:val="24"/>
                <w:szCs w:val="24"/>
              </w:rPr>
            </w:r>
          </w:p>
        </w:tc>
      </w:tr>
      <w:tr>
        <w:trPr>
          <w:trHeight w:val="412" w:hRule="exact"/>
        </w:trPr>
        <w:tc>
          <w:tcPr>
            <w:tcW w:w="3153"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5" w:right="0"/>
              <w:jc w:val="left"/>
              <w:rPr>
                <w:rFonts w:ascii="宋体" w:hAnsi="宋体" w:cs="宋体" w:eastAsia="宋体" w:hint="default"/>
                <w:sz w:val="24"/>
                <w:szCs w:val="24"/>
              </w:rPr>
            </w:pPr>
            <w:r>
              <w:rPr>
                <w:rFonts w:ascii="宋体" w:hAnsi="宋体" w:cs="宋体" w:eastAsia="宋体" w:hint="default"/>
                <w:sz w:val="24"/>
                <w:szCs w:val="24"/>
              </w:rPr>
              <w:t>发起人股（限售）</w:t>
            </w:r>
          </w:p>
        </w:tc>
        <w:tc>
          <w:tcPr>
            <w:tcW w:w="350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685"/>
              <w:jc w:val="right"/>
              <w:rPr>
                <w:rFonts w:ascii="Times New Roman" w:hAnsi="Times New Roman" w:cs="Times New Roman" w:eastAsia="Times New Roman" w:hint="default"/>
                <w:sz w:val="24"/>
                <w:szCs w:val="24"/>
              </w:rPr>
            </w:pPr>
            <w:r>
              <w:rPr>
                <w:rFonts w:ascii="Times New Roman"/>
                <w:sz w:val="24"/>
              </w:rPr>
              <w:t>5,199.36</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4"/>
                <w:szCs w:val="24"/>
              </w:rPr>
            </w:pPr>
            <w:r>
              <w:rPr>
                <w:rFonts w:ascii="Times New Roman"/>
                <w:w w:val="95"/>
                <w:sz w:val="24"/>
              </w:rPr>
              <w:t>43.33%</w:t>
            </w:r>
            <w:r>
              <w:rPr>
                <w:rFonts w:ascii="Times New Roman"/>
                <w:sz w:val="24"/>
              </w:rPr>
            </w:r>
          </w:p>
        </w:tc>
      </w:tr>
      <w:tr>
        <w:trPr>
          <w:trHeight w:val="404" w:hRule="exact"/>
        </w:trPr>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0"/>
              <w:jc w:val="left"/>
              <w:rPr>
                <w:rFonts w:ascii="宋体" w:hAnsi="宋体" w:cs="宋体" w:eastAsia="宋体" w:hint="default"/>
                <w:sz w:val="24"/>
                <w:szCs w:val="24"/>
              </w:rPr>
            </w:pPr>
            <w:r>
              <w:rPr>
                <w:rFonts w:ascii="宋体" w:hAnsi="宋体" w:cs="宋体" w:eastAsia="宋体" w:hint="default"/>
                <w:sz w:val="24"/>
                <w:szCs w:val="24"/>
              </w:rPr>
              <w:t>发起人股（非限售）</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85"/>
              <w:jc w:val="right"/>
              <w:rPr>
                <w:rFonts w:ascii="Times New Roman" w:hAnsi="Times New Roman" w:cs="Times New Roman" w:eastAsia="Times New Roman" w:hint="default"/>
                <w:sz w:val="24"/>
                <w:szCs w:val="24"/>
              </w:rPr>
            </w:pPr>
            <w:r>
              <w:rPr>
                <w:rFonts w:ascii="Times New Roman"/>
                <w:sz w:val="24"/>
              </w:rPr>
              <w:t>3,760.64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24"/>
                <w:szCs w:val="24"/>
              </w:rPr>
            </w:pPr>
            <w:r>
              <w:rPr>
                <w:rFonts w:ascii="Times New Roman"/>
                <w:w w:val="95"/>
                <w:sz w:val="24"/>
              </w:rPr>
              <w:t>31.34%</w:t>
            </w:r>
            <w:r>
              <w:rPr>
                <w:rFonts w:ascii="Times New Roman"/>
                <w:sz w:val="24"/>
              </w:rPr>
            </w:r>
          </w:p>
        </w:tc>
      </w:tr>
      <w:tr>
        <w:trPr>
          <w:trHeight w:val="410" w:hRule="exact"/>
        </w:trPr>
        <w:tc>
          <w:tcPr>
            <w:tcW w:w="315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5" w:right="0"/>
              <w:jc w:val="left"/>
              <w:rPr>
                <w:rFonts w:ascii="宋体" w:hAnsi="宋体" w:cs="宋体" w:eastAsia="宋体" w:hint="default"/>
                <w:sz w:val="24"/>
                <w:szCs w:val="24"/>
              </w:rPr>
            </w:pPr>
            <w:r>
              <w:rPr>
                <w:rFonts w:ascii="宋体" w:hAnsi="宋体" w:cs="宋体" w:eastAsia="宋体" w:hint="default"/>
                <w:sz w:val="24"/>
                <w:szCs w:val="24"/>
              </w:rPr>
              <w:t>社会公众股</w:t>
            </w:r>
          </w:p>
        </w:tc>
        <w:tc>
          <w:tcPr>
            <w:tcW w:w="3503"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685"/>
              <w:jc w:val="right"/>
              <w:rPr>
                <w:rFonts w:ascii="Times New Roman" w:hAnsi="Times New Roman" w:cs="Times New Roman" w:eastAsia="Times New Roman" w:hint="default"/>
                <w:sz w:val="24"/>
                <w:szCs w:val="24"/>
              </w:rPr>
            </w:pPr>
            <w:r>
              <w:rPr>
                <w:rFonts w:ascii="Times New Roman"/>
                <w:sz w:val="24"/>
              </w:rPr>
              <w:t>3,040.00</w:t>
            </w: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24"/>
                <w:szCs w:val="24"/>
              </w:rPr>
            </w:pPr>
            <w:r>
              <w:rPr>
                <w:rFonts w:ascii="Times New Roman"/>
                <w:w w:val="95"/>
                <w:sz w:val="24"/>
              </w:rPr>
              <w:t>25.33%</w:t>
            </w:r>
            <w:r>
              <w:rPr>
                <w:rFonts w:ascii="Times New Roman"/>
                <w:sz w:val="24"/>
              </w:rPr>
            </w:r>
          </w:p>
        </w:tc>
      </w:tr>
      <w:tr>
        <w:trPr>
          <w:trHeight w:val="420" w:hRule="exact"/>
        </w:trPr>
        <w:tc>
          <w:tcPr>
            <w:tcW w:w="3153" w:type="dxa"/>
            <w:tcBorders>
              <w:top w:val="single" w:sz="4" w:space="0" w:color="000000"/>
              <w:left w:val="nil" w:sz="6" w:space="0" w:color="auto"/>
              <w:bottom w:val="single" w:sz="8" w:space="0" w:color="000000"/>
              <w:right w:val="nil" w:sz="6" w:space="0" w:color="auto"/>
            </w:tcBorders>
          </w:tcPr>
          <w:p>
            <w:pPr>
              <w:pStyle w:val="TableParagraph"/>
              <w:tabs>
                <w:tab w:pos="587" w:val="left" w:leader="none"/>
              </w:tabs>
              <w:spacing w:line="240" w:lineRule="auto" w:before="5"/>
              <w:ind w:left="105"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503"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685"/>
              <w:jc w:val="right"/>
              <w:rPr>
                <w:rFonts w:ascii="Times New Roman" w:hAnsi="Times New Roman" w:cs="Times New Roman" w:eastAsia="Times New Roman" w:hint="default"/>
                <w:sz w:val="24"/>
                <w:szCs w:val="24"/>
              </w:rPr>
            </w:pPr>
            <w:r>
              <w:rPr>
                <w:rFonts w:ascii="Times New Roman"/>
                <w:b/>
                <w:sz w:val="24"/>
              </w:rPr>
              <w:t>12,000.00</w:t>
            </w:r>
            <w:r>
              <w:rPr>
                <w:rFonts w:ascii="Times New Roman"/>
                <w:sz w:val="24"/>
              </w:rPr>
            </w:r>
          </w:p>
        </w:tc>
        <w:tc>
          <w:tcPr>
            <w:tcW w:w="1760" w:type="dxa"/>
            <w:tcBorders>
              <w:top w:val="single" w:sz="4" w:space="0" w:color="000000"/>
              <w:left w:val="nil" w:sz="6" w:space="0" w:color="auto"/>
              <w:bottom w:val="single" w:sz="8" w:space="0" w:color="000000"/>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24"/>
                <w:szCs w:val="24"/>
              </w:rPr>
            </w:pPr>
            <w:r>
              <w:rPr>
                <w:rFonts w:ascii="Times New Roman"/>
                <w:b/>
                <w:sz w:val="24"/>
              </w:rPr>
              <w:t>100.00%</w:t>
            </w:r>
            <w:r>
              <w:rPr>
                <w:rFonts w:ascii="Times New Roman"/>
                <w:sz w:val="24"/>
              </w:rPr>
            </w:r>
          </w:p>
        </w:tc>
      </w:tr>
    </w:tbl>
    <w:p>
      <w:pPr>
        <w:pStyle w:val="BodyText"/>
        <w:spacing w:line="235" w:lineRule="auto" w:before="85"/>
        <w:ind w:left="562" w:right="0"/>
        <w:jc w:val="left"/>
      </w:pPr>
      <w:r>
        <w:rPr>
          <w:spacing w:val="-5"/>
        </w:rPr>
        <w:t>本公司建立了股东大会、董事会、监事会的法人治理结构，目前设总裁办公室、业务部、</w:t>
      </w:r>
      <w:r>
        <w:rPr>
          <w:spacing w:val="-101"/>
        </w:rPr>
        <w:t> </w:t>
      </w:r>
      <w:r>
        <w:rPr>
          <w:spacing w:val="-101"/>
        </w:rPr>
      </w:r>
      <w:r>
        <w:rPr/>
        <w:t>市场部、人力资源部、企管部、合同与项目管理部、财务中心、研发中心等部门，拥有</w:t>
      </w:r>
      <w:r>
        <w:rPr/>
        <w:t> 超图信息技术有限公司等三家子公司以及广州、上海、杭州、成都等七家分公司。本公 司法定代表人：钟耳顺，住所：北京市朝阳区将台路乙</w:t>
      </w:r>
      <w:r>
        <w:rPr>
          <w:spacing w:val="-67"/>
        </w:rPr>
        <w:t> </w:t>
      </w:r>
      <w:r>
        <w:rPr>
          <w:rFonts w:ascii="Times New Roman" w:hAnsi="Times New Roman" w:cs="Times New Roman" w:eastAsia="Times New Roman" w:hint="default"/>
        </w:rPr>
        <w:t>21</w:t>
      </w:r>
      <w:r>
        <w:rPr>
          <w:rFonts w:ascii="Times New Roman" w:hAnsi="Times New Roman" w:cs="Times New Roman" w:eastAsia="Times New Roman" w:hint="default"/>
          <w:spacing w:val="-7"/>
        </w:rPr>
        <w:t> </w:t>
      </w:r>
      <w:r>
        <w:rPr/>
        <w:t>号佳丽饭店</w:t>
      </w:r>
      <w:r>
        <w:rPr>
          <w:spacing w:val="-67"/>
        </w:rPr>
        <w:t> </w:t>
      </w:r>
      <w:r>
        <w:rPr>
          <w:rFonts w:ascii="Times New Roman" w:hAnsi="Times New Roman" w:cs="Times New Roman" w:eastAsia="Times New Roman" w:hint="default"/>
          <w:spacing w:val="-5"/>
        </w:rPr>
        <w:t>1116</w:t>
      </w:r>
      <w:r>
        <w:rPr>
          <w:rFonts w:ascii="Times New Roman" w:hAnsi="Times New Roman" w:cs="Times New Roman" w:eastAsia="Times New Roman" w:hint="default"/>
          <w:spacing w:val="-7"/>
        </w:rPr>
        <w:t> </w:t>
      </w:r>
      <w:r>
        <w:rPr/>
        <w:t>室，经批准 的经营范围为：地理信息系统、遥感、全球定位系统、办公自动化软件技术开发、技术 咨询、技术转让、技术服务；电子计算机系统集成；销售开发后的产品；经营本企业和 成员企业自产产品及技术出口业务；本企业和成员企业所需的原辅材料、机械设备、仪 </w:t>
      </w:r>
      <w:r>
        <w:rPr>
          <w:spacing w:val="-5"/>
        </w:rPr>
        <w:t>器仪表、零配件及技术的进口业务（国家限定公司经营和国家禁止进出口的商品除外）；</w:t>
      </w:r>
    </w:p>
    <w:p>
      <w:pPr>
        <w:spacing w:after="0" w:line="235" w:lineRule="auto"/>
        <w:jc w:val="left"/>
        <w:sectPr>
          <w:headerReference w:type="default" r:id="rId55"/>
          <w:footerReference w:type="default" r:id="rId56"/>
          <w:pgSz w:w="11900" w:h="16850"/>
          <w:pgMar w:header="771" w:footer="919" w:top="1640" w:bottom="1100" w:left="1140" w:right="900"/>
          <w:pgNumType w:start="115"/>
        </w:sectPr>
      </w:pPr>
    </w:p>
    <w:p>
      <w:pPr>
        <w:spacing w:line="240" w:lineRule="auto" w:before="10"/>
        <w:rPr>
          <w:rFonts w:ascii="宋体" w:hAnsi="宋体" w:cs="宋体" w:eastAsia="宋体" w:hint="default"/>
          <w:sz w:val="14"/>
          <w:szCs w:val="14"/>
        </w:rPr>
      </w:pPr>
    </w:p>
    <w:p>
      <w:pPr>
        <w:spacing w:line="403" w:lineRule="auto" w:before="26"/>
        <w:ind w:left="142" w:right="2957" w:firstLine="420"/>
        <w:jc w:val="left"/>
        <w:rPr>
          <w:rFonts w:ascii="宋体" w:hAnsi="宋体" w:cs="宋体" w:eastAsia="宋体" w:hint="default"/>
          <w:sz w:val="24"/>
          <w:szCs w:val="24"/>
        </w:rPr>
      </w:pPr>
      <w:r>
        <w:rPr>
          <w:rFonts w:ascii="宋体" w:hAnsi="宋体" w:cs="宋体" w:eastAsia="宋体" w:hint="default"/>
          <w:sz w:val="24"/>
          <w:szCs w:val="24"/>
        </w:rPr>
        <w:t>经营进料加工和三来一补业务；技术培训；出租办公用房。 </w:t>
      </w:r>
      <w:r>
        <w:rPr>
          <w:rFonts w:ascii="宋体" w:hAnsi="宋体" w:cs="宋体" w:eastAsia="宋体" w:hint="default"/>
          <w:b/>
          <w:bCs/>
          <w:sz w:val="24"/>
          <w:szCs w:val="24"/>
        </w:rPr>
        <w:t>二、公司主要会计政策、会计估计和前期差错</w:t>
      </w:r>
      <w:r>
        <w:rPr>
          <w:rFonts w:ascii="宋体" w:hAnsi="宋体" w:cs="宋体" w:eastAsia="宋体" w:hint="default"/>
          <w:b/>
          <w:bCs/>
          <w:w w:val="99"/>
          <w:sz w:val="24"/>
          <w:szCs w:val="24"/>
        </w:rPr>
        <w:t> </w:t>
      </w:r>
      <w:r>
        <w:rPr>
          <w:rFonts w:ascii="Times New Roman" w:hAnsi="Times New Roman" w:cs="Times New Roman" w:eastAsia="Times New Roman" w:hint="default"/>
          <w:sz w:val="24"/>
          <w:szCs w:val="24"/>
        </w:rPr>
        <w:t>1</w:t>
      </w:r>
      <w:r>
        <w:rPr>
          <w:rFonts w:ascii="宋体" w:hAnsi="宋体" w:cs="宋体" w:eastAsia="宋体" w:hint="default"/>
          <w:sz w:val="24"/>
          <w:szCs w:val="24"/>
        </w:rPr>
        <w:t>、财务报表的编制基础</w:t>
      </w:r>
    </w:p>
    <w:p>
      <w:pPr>
        <w:pStyle w:val="BodyText"/>
        <w:spacing w:line="225" w:lineRule="auto" w:before="32"/>
        <w:ind w:left="562" w:right="144"/>
        <w:jc w:val="both"/>
      </w:pPr>
      <w:r>
        <w:rPr/>
        <w:t>本财务报表按照财政部</w:t>
      </w:r>
      <w:r>
        <w:rPr>
          <w:spacing w:val="-60"/>
        </w:rPr>
        <w:t> </w:t>
      </w:r>
      <w:r>
        <w:rPr>
          <w:rFonts w:ascii="Times New Roman" w:hAnsi="Times New Roman" w:cs="Times New Roman" w:eastAsia="Times New Roman" w:hint="default"/>
        </w:rPr>
        <w:t>2006 </w:t>
      </w:r>
      <w:r>
        <w:rPr/>
        <w:t>年</w:t>
      </w:r>
      <w:r>
        <w:rPr>
          <w:spacing w:val="-60"/>
        </w:rPr>
        <w:t> </w:t>
      </w:r>
      <w:r>
        <w:rPr>
          <w:rFonts w:ascii="Times New Roman" w:hAnsi="Times New Roman" w:cs="Times New Roman" w:eastAsia="Times New Roman" w:hint="default"/>
        </w:rPr>
        <w:t>2 </w:t>
      </w:r>
      <w:r>
        <w:rPr>
          <w:spacing w:val="-3"/>
        </w:rPr>
        <w:t>月颁布的《企业会计准则</w:t>
      </w:r>
      <w:r>
        <w:rPr>
          <w:rFonts w:ascii="Times New Roman" w:hAnsi="Times New Roman" w:cs="Times New Roman" w:eastAsia="Times New Roman" w:hint="default"/>
          <w:spacing w:val="-3"/>
        </w:rPr>
        <w:t>—</w:t>
      </w:r>
      <w:r>
        <w:rPr>
          <w:spacing w:val="-3"/>
        </w:rPr>
        <w:t>基本准则》和</w:t>
      </w:r>
      <w:r>
        <w:rPr>
          <w:spacing w:val="-60"/>
        </w:rPr>
        <w:t> </w:t>
      </w:r>
      <w:r>
        <w:rPr>
          <w:rFonts w:ascii="Times New Roman" w:hAnsi="Times New Roman" w:cs="Times New Roman" w:eastAsia="Times New Roman" w:hint="default"/>
        </w:rPr>
        <w:t>38 </w:t>
      </w:r>
      <w:r>
        <w:rPr/>
        <w:t>项具体会 </w:t>
      </w:r>
      <w:r>
        <w:rPr>
          <w:spacing w:val="-1"/>
        </w:rPr>
        <w:t>计准则及其应用指南、解释及其他有关规定（统称</w:t>
      </w:r>
      <w:r>
        <w:rPr>
          <w:rFonts w:ascii="Times New Roman" w:hAnsi="Times New Roman" w:cs="Times New Roman" w:eastAsia="Times New Roman" w:hint="default"/>
          <w:spacing w:val="-1"/>
        </w:rPr>
        <w:t>“</w:t>
      </w:r>
      <w:r>
        <w:rPr>
          <w:spacing w:val="-1"/>
        </w:rPr>
        <w:t>企业会计准则</w:t>
      </w:r>
      <w:r>
        <w:rPr>
          <w:rFonts w:ascii="Times New Roman" w:hAnsi="Times New Roman" w:cs="Times New Roman" w:eastAsia="Times New Roman" w:hint="default"/>
          <w:spacing w:val="-1"/>
        </w:rPr>
        <w:t>”</w:t>
      </w:r>
      <w:r>
        <w:rPr>
          <w:spacing w:val="-1"/>
        </w:rPr>
        <w:t>）编制。此外，本公</w:t>
      </w:r>
      <w:r>
        <w:rPr>
          <w:spacing w:val="-106"/>
        </w:rPr>
        <w:t> </w:t>
      </w:r>
      <w:r>
        <w:rPr>
          <w:spacing w:val="-106"/>
        </w:rPr>
      </w:r>
      <w:r>
        <w:rPr/>
        <w:t>司还按照中国证监会《公开发行证券的公司信息披露编报规则第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财务报告的一 </w:t>
      </w:r>
      <w:r>
        <w:rPr>
          <w:spacing w:val="-14"/>
        </w:rPr>
        <w:t>般规定》（</w:t>
      </w:r>
      <w:r>
        <w:rPr>
          <w:rFonts w:ascii="Times New Roman" w:hAnsi="Times New Roman" w:cs="Times New Roman" w:eastAsia="Times New Roman" w:hint="default"/>
          <w:spacing w:val="-14"/>
        </w:rPr>
        <w:t>2010</w:t>
      </w:r>
      <w:r>
        <w:rPr>
          <w:rFonts w:ascii="Times New Roman" w:hAnsi="Times New Roman" w:cs="Times New Roman" w:eastAsia="Times New Roman" w:hint="default"/>
          <w:spacing w:val="5"/>
        </w:rPr>
        <w:t> </w:t>
      </w:r>
      <w:r>
        <w:rPr/>
        <w:t>年修订）披露有关财务信息。</w:t>
      </w:r>
    </w:p>
    <w:p>
      <w:pPr>
        <w:pStyle w:val="BodyText"/>
        <w:spacing w:line="240" w:lineRule="auto" w:before="199"/>
        <w:ind w:left="562" w:right="0"/>
        <w:jc w:val="both"/>
      </w:pPr>
      <w:r>
        <w:rPr/>
        <w:t>本财务报表以持续经营为基础列报。</w:t>
      </w:r>
    </w:p>
    <w:p>
      <w:pPr>
        <w:pStyle w:val="BodyText"/>
        <w:spacing w:line="520" w:lineRule="atLeast" w:before="26"/>
        <w:ind w:left="562" w:right="136" w:hanging="420"/>
        <w:jc w:val="left"/>
      </w:pPr>
      <w:r>
        <w:rPr>
          <w:rFonts w:ascii="Times New Roman" w:hAnsi="Times New Roman" w:cs="Times New Roman" w:eastAsia="Times New Roman" w:hint="default"/>
        </w:rPr>
        <w:t>2</w:t>
      </w:r>
      <w:r>
        <w:rPr/>
        <w:t>、遵循企业会计准则的声明 本财务报表符合企业会计准则的要求，真实、完整地反映了本公司</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w:t>
      </w:r>
    </w:p>
    <w:p>
      <w:pPr>
        <w:pStyle w:val="BodyText"/>
        <w:spacing w:line="312" w:lineRule="exact" w:before="10"/>
        <w:ind w:left="562" w:right="148"/>
        <w:jc w:val="both"/>
      </w:pPr>
      <w:r>
        <w:rPr/>
        <w:t>的合并及公司财务状况以及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年度的合并及公司经营成果和合并及公司现金流量等 有关信息。</w:t>
      </w:r>
    </w:p>
    <w:p>
      <w:pPr>
        <w:pStyle w:val="BodyText"/>
        <w:spacing w:line="240" w:lineRule="auto" w:before="183"/>
        <w:ind w:left="142" w:right="2957"/>
        <w:jc w:val="left"/>
      </w:pPr>
      <w:r>
        <w:rPr>
          <w:rFonts w:ascii="Times New Roman" w:hAnsi="Times New Roman" w:cs="Times New Roman" w:eastAsia="Times New Roman" w:hint="default"/>
        </w:rPr>
        <w:t>3</w:t>
      </w:r>
      <w:r>
        <w:rPr/>
        <w:t>、会计期间</w:t>
      </w:r>
    </w:p>
    <w:p>
      <w:pPr>
        <w:pStyle w:val="BodyText"/>
        <w:spacing w:line="240" w:lineRule="auto" w:before="196"/>
        <w:ind w:left="562" w:right="0"/>
        <w:jc w:val="both"/>
      </w:pPr>
      <w:r>
        <w:rPr/>
        <w:t>本公司会计期间采用公历年度，即每年自</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 </w:t>
      </w:r>
      <w:r>
        <w:rPr/>
        <w:t>日起至</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日止。</w:t>
      </w:r>
    </w:p>
    <w:p>
      <w:pPr>
        <w:pStyle w:val="BodyText"/>
        <w:spacing w:line="379" w:lineRule="auto" w:before="135"/>
        <w:ind w:left="562" w:right="5837" w:hanging="420"/>
        <w:jc w:val="left"/>
      </w:pPr>
      <w:r>
        <w:rPr>
          <w:rFonts w:ascii="Times New Roman" w:hAnsi="Times New Roman" w:cs="Times New Roman" w:eastAsia="Times New Roman" w:hint="default"/>
        </w:rPr>
        <w:t>4</w:t>
      </w:r>
      <w:r>
        <w:rPr/>
        <w:t>、记账本位币 本公司以人民币为记账本位币。</w:t>
      </w:r>
    </w:p>
    <w:p>
      <w:pPr>
        <w:pStyle w:val="BodyText"/>
        <w:spacing w:line="312" w:lineRule="exact" w:before="105"/>
        <w:ind w:left="562" w:right="147"/>
        <w:jc w:val="both"/>
      </w:pPr>
      <w:r>
        <w:rPr>
          <w:spacing w:val="-2"/>
        </w:rPr>
        <w:t>本公司下属子公司、合营企业及联营企业，根据其经营所处的主要经济环境自行决定其</w:t>
      </w:r>
      <w:r>
        <w:rPr>
          <w:spacing w:val="-98"/>
        </w:rPr>
        <w:t> </w:t>
      </w:r>
      <w:r>
        <w:rPr>
          <w:spacing w:val="-98"/>
        </w:rPr>
      </w:r>
      <w:r>
        <w:rPr/>
        <w:t>记账本位币，编制财务报表时折算为人民币。</w:t>
      </w:r>
    </w:p>
    <w:p>
      <w:pPr>
        <w:pStyle w:val="BodyText"/>
        <w:spacing w:line="240" w:lineRule="auto" w:before="183"/>
        <w:ind w:left="142" w:right="2957"/>
        <w:jc w:val="left"/>
      </w:pPr>
      <w:r>
        <w:rPr>
          <w:rFonts w:ascii="Times New Roman" w:hAnsi="Times New Roman" w:cs="Times New Roman" w:eastAsia="Times New Roman" w:hint="default"/>
        </w:rPr>
        <w:t>5</w:t>
      </w:r>
      <w:r>
        <w:rPr/>
        <w:t>、同一控制下和非同一控制下企业合并的会计处理方法</w:t>
      </w:r>
    </w:p>
    <w:p>
      <w:pPr>
        <w:pStyle w:val="BodyText"/>
        <w:spacing w:line="240" w:lineRule="auto" w:before="196"/>
        <w:ind w:left="142" w:right="2957"/>
        <w:jc w:val="left"/>
      </w:pPr>
      <w:r>
        <w:rPr/>
        <w:t>（</w:t>
      </w:r>
      <w:r>
        <w:rPr>
          <w:rFonts w:ascii="Times New Roman" w:hAnsi="Times New Roman" w:cs="Times New Roman" w:eastAsia="Times New Roman" w:hint="default"/>
        </w:rPr>
        <w:t>1</w:t>
      </w:r>
      <w:r>
        <w:rPr/>
        <w:t>）同一控制下的企业合并</w:t>
      </w:r>
    </w:p>
    <w:p>
      <w:pPr>
        <w:pStyle w:val="BodyText"/>
        <w:spacing w:line="237" w:lineRule="auto" w:before="198"/>
        <w:ind w:left="562" w:right="147"/>
        <w:jc w:val="both"/>
      </w:pPr>
      <w:r>
        <w:rPr>
          <w:spacing w:val="-2"/>
        </w:rPr>
        <w:t>对于同一控制下的企业合并，本公司采用权益结合法进行会计处理。合并取得的被合并</w:t>
      </w:r>
      <w:r>
        <w:rPr>
          <w:spacing w:val="-98"/>
        </w:rPr>
        <w:t> </w:t>
      </w:r>
      <w:r>
        <w:rPr>
          <w:spacing w:val="-98"/>
        </w:rPr>
      </w:r>
      <w:r>
        <w:rPr>
          <w:spacing w:val="-2"/>
        </w:rPr>
        <w:t>方的资产、负债，除因会计政策不同而进行的调整以外，按合并日被合并方的原账面价</w:t>
      </w:r>
      <w:r>
        <w:rPr>
          <w:spacing w:val="-102"/>
        </w:rPr>
        <w:t> </w:t>
      </w:r>
      <w:r>
        <w:rPr>
          <w:spacing w:val="-102"/>
        </w:rPr>
      </w:r>
      <w:r>
        <w:rPr>
          <w:spacing w:val="-2"/>
        </w:rPr>
        <w:t>值计量。合并对价的账面价值（或发行股份面值总额）与合并中取得的净资产账面价值</w:t>
      </w:r>
      <w:r>
        <w:rPr>
          <w:spacing w:val="-104"/>
        </w:rPr>
        <w:t> </w:t>
      </w:r>
      <w:r>
        <w:rPr>
          <w:spacing w:val="-104"/>
        </w:rPr>
      </w:r>
      <w:r>
        <w:rPr/>
        <w:t>份额的差额调整资本公积，资本公积不足冲减的，调整留存收益。</w:t>
      </w:r>
    </w:p>
    <w:p>
      <w:pPr>
        <w:pStyle w:val="BodyText"/>
        <w:spacing w:line="240" w:lineRule="auto" w:before="212"/>
        <w:ind w:left="562" w:right="0"/>
        <w:jc w:val="both"/>
      </w:pPr>
      <w:r>
        <w:rPr/>
        <w:t>为进行企业合并发生的直接相关费用于发生时计入当期损益。</w:t>
      </w:r>
    </w:p>
    <w:p>
      <w:pPr>
        <w:pStyle w:val="BodyText"/>
        <w:spacing w:line="240" w:lineRule="auto" w:before="214"/>
        <w:ind w:left="142" w:right="2957"/>
        <w:jc w:val="left"/>
      </w:pPr>
      <w:r>
        <w:rPr/>
        <w:t>（</w:t>
      </w:r>
      <w:r>
        <w:rPr>
          <w:rFonts w:ascii="Times New Roman" w:hAnsi="Times New Roman" w:cs="Times New Roman" w:eastAsia="Times New Roman" w:hint="default"/>
        </w:rPr>
        <w:t>2</w:t>
      </w:r>
      <w:r>
        <w:rPr/>
        <w:t>）非同一控制下的企业合并</w:t>
      </w:r>
    </w:p>
    <w:p>
      <w:pPr>
        <w:pStyle w:val="BodyText"/>
        <w:spacing w:line="237" w:lineRule="auto" w:before="198"/>
        <w:ind w:left="562" w:right="147"/>
        <w:jc w:val="both"/>
      </w:pPr>
      <w:r>
        <w:rPr>
          <w:spacing w:val="-2"/>
        </w:rPr>
        <w:t>对于非同一控制下的企业合并，本公司采用购买法进行会计处理。合并成本为本公司在</w:t>
      </w:r>
      <w:r>
        <w:rPr>
          <w:spacing w:val="-98"/>
        </w:rPr>
        <w:t> </w:t>
      </w:r>
      <w:r>
        <w:rPr>
          <w:spacing w:val="-98"/>
        </w:rPr>
      </w:r>
      <w:r>
        <w:rPr>
          <w:spacing w:val="-2"/>
        </w:rPr>
        <w:t>购买日为取得对被购买方的控制权而付出的资产、发生或承担的负债以及发行的权益性</w:t>
      </w:r>
      <w:r>
        <w:rPr>
          <w:spacing w:val="-100"/>
        </w:rPr>
        <w:t> </w:t>
      </w:r>
      <w:r>
        <w:rPr>
          <w:spacing w:val="-100"/>
        </w:rPr>
      </w:r>
      <w:r>
        <w:rPr>
          <w:spacing w:val="-2"/>
        </w:rPr>
        <w:t>证券的公允价值。在购买日，本公司取得的被购买方的资产、负债及或有负债按公允价</w:t>
      </w:r>
      <w:r>
        <w:rPr>
          <w:spacing w:val="-104"/>
        </w:rPr>
        <w:t> </w:t>
      </w:r>
      <w:r>
        <w:rPr>
          <w:spacing w:val="-104"/>
        </w:rPr>
      </w:r>
      <w:r>
        <w:rPr/>
        <w:t>值确认。</w:t>
      </w:r>
    </w:p>
    <w:p>
      <w:pPr>
        <w:pStyle w:val="BodyText"/>
        <w:spacing w:line="240" w:lineRule="auto" w:before="214"/>
        <w:ind w:left="562" w:right="0"/>
        <w:jc w:val="both"/>
      </w:pPr>
      <w:r>
        <w:rPr/>
        <w:t>本公司对合并成本大于合并中取得的被购买方可辨认净资产公允价值份额的差额，确认</w:t>
      </w:r>
    </w:p>
    <w:p>
      <w:pPr>
        <w:spacing w:after="0" w:line="240" w:lineRule="auto"/>
        <w:jc w:val="both"/>
        <w:sectPr>
          <w:pgSz w:w="11900" w:h="16850"/>
          <w:pgMar w:header="771" w:footer="919" w:top="1720" w:bottom="1100" w:left="1140" w:right="980"/>
        </w:sectPr>
      </w:pPr>
    </w:p>
    <w:p>
      <w:pPr>
        <w:spacing w:line="240" w:lineRule="auto" w:before="10"/>
        <w:rPr>
          <w:rFonts w:ascii="宋体" w:hAnsi="宋体" w:cs="宋体" w:eastAsia="宋体" w:hint="default"/>
          <w:sz w:val="14"/>
          <w:szCs w:val="14"/>
        </w:rPr>
      </w:pPr>
    </w:p>
    <w:p>
      <w:pPr>
        <w:pStyle w:val="BodyText"/>
        <w:spacing w:line="312" w:lineRule="exact" w:before="56"/>
        <w:ind w:left="562" w:right="227"/>
        <w:jc w:val="both"/>
      </w:pPr>
      <w:r>
        <w:rPr>
          <w:spacing w:val="-2"/>
        </w:rPr>
        <w:t>为商誉，按成本扣除累计减值准备后的金额计量；对合并成本小于合并中取得的被购买</w:t>
      </w:r>
      <w:r>
        <w:rPr>
          <w:spacing w:val="-98"/>
        </w:rPr>
        <w:t> </w:t>
      </w:r>
      <w:r>
        <w:rPr>
          <w:spacing w:val="-98"/>
        </w:rPr>
      </w:r>
      <w:r>
        <w:rPr/>
        <w:t>方可辨认净资产公允价值份额的差额，经复核后计入当期损益。</w:t>
      </w:r>
    </w:p>
    <w:p>
      <w:pPr>
        <w:pStyle w:val="BodyText"/>
        <w:spacing w:line="240" w:lineRule="auto" w:before="183"/>
        <w:ind w:left="562" w:right="0"/>
        <w:jc w:val="both"/>
      </w:pPr>
      <w:r>
        <w:rPr/>
        <w:t>为进行企业合并发生的直接相关费用于发生时计入当期损益。</w:t>
      </w:r>
    </w:p>
    <w:p>
      <w:pPr>
        <w:spacing w:line="240" w:lineRule="auto" w:before="7"/>
        <w:rPr>
          <w:rFonts w:ascii="宋体" w:hAnsi="宋体" w:cs="宋体" w:eastAsia="宋体" w:hint="default"/>
          <w:sz w:val="16"/>
          <w:szCs w:val="16"/>
        </w:rPr>
      </w:pPr>
    </w:p>
    <w:p>
      <w:pPr>
        <w:pStyle w:val="BodyText"/>
        <w:spacing w:line="237" w:lineRule="auto"/>
        <w:ind w:left="562" w:right="227"/>
        <w:jc w:val="both"/>
      </w:pPr>
      <w:r>
        <w:rPr>
          <w:spacing w:val="-2"/>
        </w:rPr>
        <w:t>如果企业合并是通过多次交易分步实现，对于购买日之前持有的被购买方的股权，按照</w:t>
      </w:r>
      <w:r>
        <w:rPr>
          <w:spacing w:val="-98"/>
        </w:rPr>
        <w:t> </w:t>
      </w:r>
      <w:r>
        <w:rPr>
          <w:spacing w:val="-98"/>
        </w:rPr>
      </w:r>
      <w:r>
        <w:rPr>
          <w:spacing w:val="-2"/>
        </w:rPr>
        <w:t>该股权在购买日的公允价值进行重新计量，公允价值与其账面价值的差额计入当期投资</w:t>
      </w:r>
      <w:r>
        <w:rPr>
          <w:spacing w:val="-100"/>
        </w:rPr>
        <w:t> </w:t>
      </w:r>
      <w:r>
        <w:rPr>
          <w:spacing w:val="-100"/>
        </w:rPr>
      </w:r>
      <w:r>
        <w:rPr>
          <w:spacing w:val="-2"/>
        </w:rPr>
        <w:t>收益。购买日之前持有的被购买方的股权涉及其他综合收益的，与其相关的其他综合收</w:t>
      </w:r>
      <w:r>
        <w:rPr>
          <w:spacing w:val="-98"/>
        </w:rPr>
        <w:t> </w:t>
      </w:r>
      <w:r>
        <w:rPr>
          <w:spacing w:val="-98"/>
        </w:rPr>
      </w:r>
      <w:r>
        <w:rPr/>
        <w:t>益应当转为购买日所属当期投资收益。</w:t>
      </w:r>
    </w:p>
    <w:p>
      <w:pPr>
        <w:spacing w:line="240" w:lineRule="auto" w:before="8"/>
        <w:rPr>
          <w:rFonts w:ascii="宋体" w:hAnsi="宋体" w:cs="宋体" w:eastAsia="宋体" w:hint="default"/>
          <w:sz w:val="16"/>
          <w:szCs w:val="16"/>
        </w:rPr>
      </w:pPr>
    </w:p>
    <w:p>
      <w:pPr>
        <w:pStyle w:val="BodyText"/>
        <w:spacing w:line="237" w:lineRule="auto"/>
        <w:ind w:left="562" w:right="230"/>
        <w:jc w:val="both"/>
      </w:pPr>
      <w:r>
        <w:rPr>
          <w:spacing w:val="-2"/>
        </w:rPr>
        <w:t>子公司中的少数股东权益应与本公司的权益分开确定。少数股东权益按少数股东享有被</w:t>
      </w:r>
      <w:r>
        <w:rPr>
          <w:spacing w:val="-100"/>
        </w:rPr>
        <w:t> </w:t>
      </w:r>
      <w:r>
        <w:rPr>
          <w:spacing w:val="-100"/>
        </w:rPr>
      </w:r>
      <w:r>
        <w:rPr>
          <w:spacing w:val="-2"/>
        </w:rPr>
        <w:t>购买方可辨认净资产公允价值的份额进行初始计量。购买后，少数股东权益的账面金额</w:t>
      </w:r>
      <w:r>
        <w:rPr>
          <w:spacing w:val="-101"/>
        </w:rPr>
        <w:t> </w:t>
      </w:r>
      <w:r>
        <w:rPr>
          <w:spacing w:val="-101"/>
        </w:rPr>
      </w:r>
      <w:r>
        <w:rPr>
          <w:spacing w:val="-2"/>
        </w:rPr>
        <w:t>等于初始确认金额加上其享有后续权益变动的份额。综合收益总额会分摊到少数股东权</w:t>
      </w:r>
      <w:r>
        <w:rPr>
          <w:spacing w:val="-100"/>
        </w:rPr>
        <w:t> </w:t>
      </w:r>
      <w:r>
        <w:rPr>
          <w:spacing w:val="-100"/>
        </w:rPr>
      </w:r>
      <w:r>
        <w:rPr/>
        <w:t>益，可能导致少数股东权益的金额为负数。</w:t>
      </w:r>
    </w:p>
    <w:p>
      <w:pPr>
        <w:spacing w:line="240" w:lineRule="auto" w:before="8"/>
        <w:rPr>
          <w:rFonts w:ascii="宋体" w:hAnsi="宋体" w:cs="宋体" w:eastAsia="宋体" w:hint="default"/>
          <w:sz w:val="16"/>
          <w:szCs w:val="16"/>
        </w:rPr>
      </w:pPr>
    </w:p>
    <w:p>
      <w:pPr>
        <w:pStyle w:val="BodyText"/>
        <w:spacing w:line="237" w:lineRule="auto"/>
        <w:ind w:left="562" w:right="227"/>
        <w:jc w:val="both"/>
      </w:pPr>
      <w:r>
        <w:rPr>
          <w:spacing w:val="-2"/>
        </w:rPr>
        <w:t>本公司将子公司中不导致丧失控制权的权益变动作为权益性交易核算。本公司持有的权</w:t>
      </w:r>
      <w:r>
        <w:rPr>
          <w:spacing w:val="-100"/>
        </w:rPr>
        <w:t> </w:t>
      </w:r>
      <w:r>
        <w:rPr>
          <w:spacing w:val="-100"/>
        </w:rPr>
      </w:r>
      <w:r>
        <w:rPr>
          <w:spacing w:val="-2"/>
        </w:rPr>
        <w:t>益和少数股东权益的账面金额应予调整以反映子公司中相关权益的变动。调整的少数股</w:t>
      </w:r>
      <w:r>
        <w:rPr>
          <w:spacing w:val="-100"/>
        </w:rPr>
        <w:t> </w:t>
      </w:r>
      <w:r>
        <w:rPr>
          <w:spacing w:val="-100"/>
        </w:rPr>
      </w:r>
      <w:r>
        <w:rPr/>
        <w:t>东权益的金额与收取或支付的对价的公允价值之间差额直接计入资本公积。</w:t>
      </w:r>
    </w:p>
    <w:p>
      <w:pPr>
        <w:spacing w:line="240" w:lineRule="auto" w:before="11"/>
        <w:rPr>
          <w:rFonts w:ascii="宋体" w:hAnsi="宋体" w:cs="宋体" w:eastAsia="宋体" w:hint="default"/>
          <w:sz w:val="18"/>
          <w:szCs w:val="18"/>
        </w:rPr>
      </w:pPr>
    </w:p>
    <w:p>
      <w:pPr>
        <w:pStyle w:val="BodyText"/>
        <w:spacing w:line="310" w:lineRule="exact"/>
        <w:ind w:left="562" w:right="227"/>
        <w:jc w:val="both"/>
      </w:pPr>
      <w:r>
        <w:rPr>
          <w:spacing w:val="-2"/>
        </w:rPr>
        <w:t>当本公司丧失对子公司的控制权时，处置股权取得的对价与剩余股权公允价值之和，减</w:t>
      </w:r>
      <w:r>
        <w:rPr>
          <w:spacing w:val="-98"/>
        </w:rPr>
        <w:t> </w:t>
      </w:r>
      <w:r>
        <w:rPr>
          <w:spacing w:val="-98"/>
        </w:rPr>
      </w:r>
      <w:r>
        <w:rPr>
          <w:spacing w:val="4"/>
        </w:rPr>
        <w:t>去按原持股比例计算应享有原有子公司自购买日开始持续计算的净资产的份额之间的</w:t>
      </w:r>
      <w:r>
        <w:rPr/>
      </w:r>
    </w:p>
    <w:p>
      <w:pPr>
        <w:pStyle w:val="BodyText"/>
        <w:spacing w:line="283" w:lineRule="exact"/>
        <w:ind w:left="562" w:right="0"/>
        <w:jc w:val="both"/>
      </w:pPr>
      <w:r>
        <w:rPr>
          <w:spacing w:val="-5"/>
        </w:rPr>
        <w:t>差额，计入丧失控制权当期的投资收益。此前计入其他综合收益的与子公司相关的金额，</w:t>
      </w:r>
    </w:p>
    <w:p>
      <w:pPr>
        <w:pStyle w:val="BodyText"/>
        <w:spacing w:line="310" w:lineRule="exact" w:before="31"/>
        <w:ind w:left="562" w:right="230"/>
        <w:jc w:val="both"/>
      </w:pPr>
      <w:r>
        <w:rPr>
          <w:spacing w:val="-2"/>
        </w:rPr>
        <w:t>应在丧失控制权时转入当期投资收益。剩余股权按照其在丧失控制权日的公允价值进行</w:t>
      </w:r>
      <w:r>
        <w:rPr>
          <w:spacing w:val="-100"/>
        </w:rPr>
        <w:t> </w:t>
      </w:r>
      <w:r>
        <w:rPr>
          <w:spacing w:val="-100"/>
        </w:rPr>
      </w:r>
      <w:r>
        <w:rPr/>
        <w:t>重新计量，确认为长期股权投资或其他相关金融资产。</w:t>
      </w:r>
    </w:p>
    <w:p>
      <w:pPr>
        <w:pStyle w:val="BodyText"/>
        <w:spacing w:line="403" w:lineRule="auto" w:before="185"/>
        <w:ind w:left="562" w:right="3757" w:hanging="420"/>
        <w:jc w:val="left"/>
      </w:pPr>
      <w:r>
        <w:rPr>
          <w:rFonts w:ascii="Times New Roman" w:hAnsi="Times New Roman" w:cs="Times New Roman" w:eastAsia="Times New Roman" w:hint="default"/>
        </w:rPr>
        <w:t>6</w:t>
      </w:r>
      <w:r>
        <w:rPr/>
        <w:t>、合并财务报表编制方法 合并财务报表的合并范围包括本公司及全部子公司。</w:t>
      </w:r>
    </w:p>
    <w:p>
      <w:pPr>
        <w:pStyle w:val="BodyText"/>
        <w:spacing w:line="259" w:lineRule="auto" w:before="79"/>
        <w:ind w:left="562" w:right="227"/>
        <w:jc w:val="both"/>
      </w:pPr>
      <w:r>
        <w:rPr>
          <w:spacing w:val="-2"/>
        </w:rPr>
        <w:t>本公司合并财务报表以本公司和子公司的财务报表为基础，根据其他有关资料，按照权</w:t>
      </w:r>
      <w:r>
        <w:rPr>
          <w:spacing w:val="-98"/>
        </w:rPr>
        <w:t> </w:t>
      </w:r>
      <w:r>
        <w:rPr>
          <w:spacing w:val="-98"/>
        </w:rPr>
      </w:r>
      <w:r>
        <w:rPr>
          <w:spacing w:val="-2"/>
        </w:rPr>
        <w:t>益法调整对子公司的长期股权投资后，由本公司编制。在编制合并财务报表时，本公司</w:t>
      </w:r>
      <w:r>
        <w:rPr>
          <w:spacing w:val="-104"/>
        </w:rPr>
        <w:t> </w:t>
      </w:r>
      <w:r>
        <w:rPr>
          <w:spacing w:val="-104"/>
        </w:rPr>
      </w:r>
      <w:r>
        <w:rPr>
          <w:spacing w:val="4"/>
        </w:rPr>
        <w:t>和子公司的会计政策和会计期间要求保持一致，公司间的重大交易和往来余额予以抵</w:t>
      </w:r>
      <w:r>
        <w:rPr>
          <w:spacing w:val="-113"/>
        </w:rPr>
        <w:t> </w:t>
      </w:r>
      <w:r>
        <w:rPr>
          <w:spacing w:val="-113"/>
        </w:rPr>
      </w:r>
      <w:r>
        <w:rPr>
          <w:spacing w:val="-2"/>
        </w:rPr>
        <w:t>销。子公司的股东权益中不属于母公司所拥有的部分作为少数股东权益在合并财务报表</w:t>
      </w:r>
      <w:r>
        <w:rPr>
          <w:spacing w:val="-100"/>
        </w:rPr>
        <w:t> </w:t>
      </w:r>
      <w:r>
        <w:rPr>
          <w:spacing w:val="-100"/>
        </w:rPr>
      </w:r>
      <w:r>
        <w:rPr/>
        <w:t>中股东权益项下单独列示。</w:t>
      </w:r>
    </w:p>
    <w:p>
      <w:pPr>
        <w:pStyle w:val="BodyText"/>
        <w:spacing w:line="237" w:lineRule="auto" w:before="197"/>
        <w:ind w:left="562" w:right="0"/>
        <w:jc w:val="left"/>
      </w:pPr>
      <w:r>
        <w:rPr/>
        <w:t>在报告期内因同一控制下企业合并增加的子公司，本公司将该子公司合并当期期初至报 告期末的收入、费用、利润纳入合并利润表，将其现金流量纳入合并现金流量表；因非 </w:t>
      </w:r>
      <w:r>
        <w:rPr>
          <w:spacing w:val="-5"/>
        </w:rPr>
        <w:t>同一控制下企业合并增加的子公司，本公司将该子公司购买日至报告期末的收入、费用、</w:t>
      </w:r>
      <w:r>
        <w:rPr>
          <w:spacing w:val="-98"/>
        </w:rPr>
        <w:t> </w:t>
      </w:r>
      <w:r>
        <w:rPr>
          <w:spacing w:val="-98"/>
        </w:rPr>
      </w:r>
      <w:r>
        <w:rPr/>
        <w:t>利润纳入合并利润表，将其现金流量纳入合并现金流量表。</w:t>
      </w:r>
    </w:p>
    <w:p>
      <w:pPr>
        <w:pStyle w:val="BodyText"/>
        <w:spacing w:line="240" w:lineRule="auto" w:before="214"/>
        <w:ind w:left="142" w:right="0"/>
        <w:jc w:val="left"/>
      </w:pPr>
      <w:r>
        <w:rPr>
          <w:rFonts w:ascii="Times New Roman" w:hAnsi="Times New Roman" w:cs="Times New Roman" w:eastAsia="Times New Roman" w:hint="default"/>
        </w:rPr>
        <w:t>7</w:t>
      </w:r>
      <w:r>
        <w:rPr/>
        <w:t>、现金等价物的确定标准</w:t>
      </w:r>
    </w:p>
    <w:p>
      <w:pPr>
        <w:spacing w:line="240" w:lineRule="auto" w:before="2"/>
        <w:rPr>
          <w:rFonts w:ascii="宋体" w:hAnsi="宋体" w:cs="宋体" w:eastAsia="宋体" w:hint="default"/>
          <w:sz w:val="17"/>
          <w:szCs w:val="17"/>
        </w:rPr>
      </w:pPr>
    </w:p>
    <w:p>
      <w:pPr>
        <w:pStyle w:val="BodyText"/>
        <w:spacing w:line="312" w:lineRule="exact"/>
        <w:ind w:left="562" w:right="232"/>
        <w:jc w:val="both"/>
      </w:pPr>
      <w:r>
        <w:rPr>
          <w:spacing w:val="-2"/>
        </w:rPr>
        <w:t>现金等价物，是指本公司持有的期限短、流动性强、易于转换为已知金额现金、价值变</w:t>
      </w:r>
      <w:r>
        <w:rPr>
          <w:spacing w:val="-104"/>
        </w:rPr>
        <w:t> </w:t>
      </w:r>
      <w:r>
        <w:rPr>
          <w:spacing w:val="-104"/>
        </w:rPr>
      </w:r>
      <w:r>
        <w:rPr/>
        <w:t>动风险很小的投资。</w:t>
      </w:r>
    </w:p>
    <w:p>
      <w:pPr>
        <w:pStyle w:val="BodyText"/>
        <w:spacing w:line="240" w:lineRule="auto" w:before="185"/>
        <w:ind w:left="142" w:right="0"/>
        <w:jc w:val="left"/>
      </w:pPr>
      <w:r>
        <w:rPr>
          <w:rFonts w:ascii="Times New Roman" w:hAnsi="Times New Roman" w:cs="Times New Roman" w:eastAsia="Times New Roman" w:hint="default"/>
        </w:rPr>
        <w:t>8</w:t>
      </w:r>
      <w:r>
        <w:rPr/>
        <w:t>、外币业务和外币报表折算</w:t>
      </w:r>
    </w:p>
    <w:p>
      <w:pPr>
        <w:spacing w:after="0" w:line="240" w:lineRule="auto"/>
        <w:jc w:val="left"/>
        <w:sectPr>
          <w:pgSz w:w="11900" w:h="16850"/>
          <w:pgMar w:header="771" w:footer="919" w:top="1720" w:bottom="1100" w:left="1140" w:right="900"/>
        </w:sectPr>
      </w:pPr>
    </w:p>
    <w:p>
      <w:pPr>
        <w:spacing w:line="240" w:lineRule="auto" w:before="10"/>
        <w:rPr>
          <w:rFonts w:ascii="宋体" w:hAnsi="宋体" w:cs="宋体" w:eastAsia="宋体" w:hint="default"/>
          <w:sz w:val="14"/>
          <w:szCs w:val="14"/>
        </w:rPr>
      </w:pPr>
    </w:p>
    <w:p>
      <w:pPr>
        <w:pStyle w:val="BodyText"/>
        <w:spacing w:line="381" w:lineRule="auto" w:before="26"/>
        <w:ind w:left="562" w:right="1597" w:hanging="420"/>
        <w:jc w:val="left"/>
      </w:pPr>
      <w:r>
        <w:rPr/>
        <w:t>（</w:t>
      </w:r>
      <w:r>
        <w:rPr>
          <w:rFonts w:ascii="Times New Roman" w:hAnsi="Times New Roman" w:cs="Times New Roman" w:eastAsia="Times New Roman" w:hint="default"/>
        </w:rPr>
        <w:t>1</w:t>
      </w:r>
      <w:r>
        <w:rPr/>
        <w:t>）外币业务 本公司发生外币业务，按交易发生日的即期汇率折算为记账本位币金额。</w:t>
      </w:r>
    </w:p>
    <w:p>
      <w:pPr>
        <w:pStyle w:val="BodyText"/>
        <w:spacing w:line="237" w:lineRule="auto" w:before="72"/>
        <w:ind w:left="562" w:right="175"/>
        <w:jc w:val="both"/>
      </w:pPr>
      <w:r>
        <w:rPr>
          <w:spacing w:val="-2"/>
        </w:rPr>
        <w:t>期末，对外币货币性项目，采用资产负债表日即期汇率折算。因资产负债表日即期汇率</w:t>
      </w:r>
      <w:r>
        <w:rPr>
          <w:spacing w:val="-104"/>
        </w:rPr>
        <w:t> </w:t>
      </w:r>
      <w:r>
        <w:rPr>
          <w:spacing w:val="-104"/>
        </w:rPr>
      </w:r>
      <w:r>
        <w:rPr/>
        <w:t>与初始确认时或者前一资产负债表日即期汇率不同而产生的汇兑差额，计入当期损益； </w:t>
      </w:r>
      <w:r>
        <w:rPr>
          <w:spacing w:val="-2"/>
        </w:rPr>
        <w:t>对以历史成本计量的外币非货币性项目，仍采用交易发生日的即期汇率折算；对以公允</w:t>
      </w:r>
      <w:r>
        <w:rPr>
          <w:spacing w:val="-97"/>
        </w:rPr>
        <w:t> </w:t>
      </w:r>
      <w:r>
        <w:rPr>
          <w:spacing w:val="-97"/>
        </w:rPr>
      </w:r>
      <w:r>
        <w:rPr>
          <w:spacing w:val="-2"/>
        </w:rPr>
        <w:t>价值计量的外币非货币性项目，采用公允价值确定日的即期汇率折算，折算后的记账本</w:t>
      </w:r>
      <w:r>
        <w:rPr>
          <w:spacing w:val="-98"/>
        </w:rPr>
        <w:t> </w:t>
      </w:r>
      <w:r>
        <w:rPr>
          <w:spacing w:val="-98"/>
        </w:rPr>
      </w:r>
      <w:r>
        <w:rPr/>
        <w:t>位币金额与原记账本位币金额的差额，计入当期损益。</w:t>
      </w:r>
    </w:p>
    <w:p>
      <w:pPr>
        <w:pStyle w:val="BodyText"/>
        <w:spacing w:line="240" w:lineRule="auto" w:before="215"/>
        <w:ind w:left="142" w:right="0"/>
        <w:jc w:val="left"/>
      </w:pPr>
      <w:r>
        <w:rPr/>
        <w:t>（</w:t>
      </w:r>
      <w:r>
        <w:rPr>
          <w:rFonts w:ascii="Times New Roman" w:hAnsi="Times New Roman" w:cs="Times New Roman" w:eastAsia="Times New Roman" w:hint="default"/>
        </w:rPr>
        <w:t>2</w:t>
      </w:r>
      <w:r>
        <w:rPr/>
        <w:t>）外币财务报表的折算</w:t>
      </w:r>
    </w:p>
    <w:p>
      <w:pPr>
        <w:pStyle w:val="BodyText"/>
        <w:spacing w:line="230" w:lineRule="auto" w:before="207"/>
        <w:ind w:left="562" w:right="0"/>
        <w:jc w:val="left"/>
      </w:pPr>
      <w:r>
        <w:rPr>
          <w:spacing w:val="-5"/>
        </w:rPr>
        <w:t>期末，本公司对境外子公司外币财务报表进行折算时，资产负债表中的资产和负债项目，</w:t>
      </w:r>
      <w:r>
        <w:rPr>
          <w:spacing w:val="-99"/>
        </w:rPr>
        <w:t> </w:t>
      </w:r>
      <w:r>
        <w:rPr>
          <w:spacing w:val="-99"/>
        </w:rPr>
      </w:r>
      <w:r>
        <w:rPr/>
        <w:t>采用资产负债表日的即期汇率折算，股东权益项目除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 生日的即期汇率折算。</w:t>
      </w:r>
    </w:p>
    <w:p>
      <w:pPr>
        <w:pStyle w:val="BodyText"/>
        <w:spacing w:line="240" w:lineRule="auto" w:before="215"/>
        <w:ind w:left="562" w:right="0"/>
        <w:jc w:val="both"/>
      </w:pPr>
      <w:r>
        <w:rPr/>
        <w:t>利润表中的收入和费用项目，采用交易发生日的即期汇率折算。</w:t>
      </w:r>
    </w:p>
    <w:p>
      <w:pPr>
        <w:spacing w:line="240" w:lineRule="auto" w:before="7"/>
        <w:rPr>
          <w:rFonts w:ascii="宋体" w:hAnsi="宋体" w:cs="宋体" w:eastAsia="宋体" w:hint="default"/>
          <w:sz w:val="18"/>
          <w:szCs w:val="18"/>
        </w:rPr>
      </w:pPr>
    </w:p>
    <w:p>
      <w:pPr>
        <w:pStyle w:val="BodyText"/>
        <w:spacing w:line="312" w:lineRule="exact"/>
        <w:ind w:left="562" w:right="228"/>
        <w:jc w:val="both"/>
      </w:pPr>
      <w:r>
        <w:rPr>
          <w:spacing w:val="-2"/>
        </w:rPr>
        <w:t>现金流量表所有项目均按照现金流量发生日的即期汇率折算。汇率变动对现金的影响额</w:t>
      </w:r>
      <w:r>
        <w:rPr>
          <w:spacing w:val="-100"/>
        </w:rPr>
        <w:t> </w:t>
      </w:r>
      <w:r>
        <w:rPr>
          <w:spacing w:val="-100"/>
        </w:rPr>
      </w:r>
      <w:r>
        <w:rPr>
          <w:spacing w:val="2"/>
        </w:rPr>
        <w:t>作为调节项目，在现金流量表中单独列示</w:t>
      </w:r>
      <w:r>
        <w:rPr>
          <w:rFonts w:ascii="Times New Roman" w:hAnsi="Times New Roman" w:cs="Times New Roman" w:eastAsia="Times New Roman" w:hint="default"/>
          <w:spacing w:val="2"/>
        </w:rPr>
        <w:t>“</w:t>
      </w:r>
      <w:r>
        <w:rPr>
          <w:spacing w:val="2"/>
        </w:rPr>
        <w:t>汇率变动对现金及现金等价物的影响</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
        </w:rPr>
        <w:t> </w:t>
      </w:r>
      <w:r>
        <w:rPr/>
        <w:t>项目</w:t>
      </w:r>
      <w:r>
        <w:rPr>
          <w:spacing w:val="2"/>
        </w:rPr>
        <w:t> </w:t>
      </w:r>
      <w:r>
        <w:rPr/>
        <w:t>反映。</w:t>
      </w:r>
    </w:p>
    <w:p>
      <w:pPr>
        <w:pStyle w:val="BodyText"/>
        <w:spacing w:line="312" w:lineRule="exact" w:before="213"/>
        <w:ind w:left="562" w:right="224"/>
        <w:jc w:val="both"/>
      </w:pPr>
      <w:r>
        <w:rPr/>
        <w:t>由于财务报表折算而产生的差额，在资产负债表股东权益项目下单独列示</w:t>
      </w:r>
      <w:r>
        <w:rPr>
          <w:rFonts w:ascii="Times New Roman" w:hAnsi="Times New Roman" w:cs="Times New Roman" w:eastAsia="Times New Roman" w:hint="default"/>
        </w:rPr>
        <w:t>“</w:t>
      </w:r>
      <w:r>
        <w:rPr/>
        <w:t>外币报表折</w:t>
      </w:r>
      <w:r>
        <w:rPr>
          <w:spacing w:val="-51"/>
        </w:rPr>
        <w:t> </w:t>
      </w:r>
      <w:r>
        <w:rPr/>
        <w:t>算差额</w:t>
      </w:r>
      <w:r>
        <w:rPr>
          <w:rFonts w:ascii="Times New Roman" w:hAnsi="Times New Roman" w:cs="Times New Roman" w:eastAsia="Times New Roman" w:hint="default"/>
        </w:rPr>
        <w:t>”</w:t>
      </w:r>
      <w:r>
        <w:rPr/>
        <w:t>项目反映。</w:t>
      </w:r>
    </w:p>
    <w:p>
      <w:pPr>
        <w:pStyle w:val="BodyText"/>
        <w:spacing w:line="240" w:lineRule="auto" w:before="185"/>
        <w:ind w:left="142" w:right="0"/>
        <w:jc w:val="left"/>
      </w:pPr>
      <w:r>
        <w:rPr>
          <w:rFonts w:ascii="Times New Roman" w:hAnsi="Times New Roman" w:cs="Times New Roman" w:eastAsia="Times New Roman" w:hint="default"/>
        </w:rPr>
        <w:t>9</w:t>
      </w:r>
      <w:r>
        <w:rPr/>
        <w:t>、金融工具</w:t>
      </w:r>
    </w:p>
    <w:p>
      <w:pPr>
        <w:spacing w:line="240" w:lineRule="auto" w:before="2"/>
        <w:rPr>
          <w:rFonts w:ascii="宋体" w:hAnsi="宋体" w:cs="宋体" w:eastAsia="宋体" w:hint="default"/>
          <w:sz w:val="17"/>
          <w:szCs w:val="17"/>
        </w:rPr>
      </w:pPr>
    </w:p>
    <w:p>
      <w:pPr>
        <w:pStyle w:val="BodyText"/>
        <w:spacing w:line="312" w:lineRule="exact"/>
        <w:ind w:left="562" w:right="228"/>
        <w:jc w:val="both"/>
      </w:pPr>
      <w:r>
        <w:rPr>
          <w:spacing w:val="4"/>
        </w:rPr>
        <w:t>金融工具是指形成一个企业的金融资产，并形成其他单位的金融负债或权益工具的合</w:t>
      </w:r>
      <w:r>
        <w:rPr>
          <w:spacing w:val="-113"/>
        </w:rPr>
        <w:t> </w:t>
      </w:r>
      <w:r>
        <w:rPr>
          <w:spacing w:val="-113"/>
        </w:rPr>
      </w:r>
      <w:r>
        <w:rPr/>
        <w:t>同。</w:t>
      </w:r>
    </w:p>
    <w:p>
      <w:pPr>
        <w:pStyle w:val="BodyText"/>
        <w:spacing w:line="391" w:lineRule="auto" w:before="185"/>
        <w:ind w:left="562" w:right="2077" w:hanging="420"/>
        <w:jc w:val="left"/>
      </w:pPr>
      <w:r>
        <w:rPr/>
        <w:t>（</w:t>
      </w:r>
      <w:r>
        <w:rPr>
          <w:rFonts w:ascii="Times New Roman" w:hAnsi="Times New Roman" w:cs="Times New Roman" w:eastAsia="Times New Roman" w:hint="default"/>
        </w:rPr>
        <w:t>1</w:t>
      </w:r>
      <w:r>
        <w:rPr/>
        <w:t>）金融工具的确认和终止确认 本公司于成为金融工具合同的一方时确认一项金融资产或金融负债。 金融资产满足下列条件之一的，终止确认：</w:t>
      </w:r>
    </w:p>
    <w:p>
      <w:pPr>
        <w:pStyle w:val="BodyText"/>
        <w:spacing w:line="240" w:lineRule="auto" w:before="62"/>
        <w:ind w:left="562" w:right="0"/>
        <w:jc w:val="both"/>
      </w:pPr>
      <w:r>
        <w:rPr/>
        <w:t>①</w:t>
      </w:r>
      <w:r>
        <w:rPr>
          <w:spacing w:val="-1"/>
        </w:rPr>
        <w:t> </w:t>
      </w:r>
      <w:r>
        <w:rPr/>
        <w:t>收取该金融资产现金流量的合同权利终止；</w:t>
      </w:r>
    </w:p>
    <w:p>
      <w:pPr>
        <w:pStyle w:val="BodyText"/>
        <w:spacing w:line="400" w:lineRule="auto" w:before="214"/>
        <w:ind w:left="562" w:right="877"/>
        <w:jc w:val="left"/>
      </w:pPr>
      <w:r>
        <w:rPr/>
        <w:t>②</w:t>
      </w:r>
      <w:r>
        <w:rPr>
          <w:spacing w:val="-1"/>
        </w:rPr>
        <w:t> </w:t>
      </w:r>
      <w:r>
        <w:rPr/>
        <w:t>该金融资产已转移，且符合下述金融资产转移的终止确认条件。</w:t>
      </w:r>
      <w:r>
        <w:rPr/>
        <w:t> 金融负债的现时义务全部或部分已经解除的，终止确认该金融负债或其一部分。</w:t>
      </w:r>
    </w:p>
    <w:p>
      <w:pPr>
        <w:pStyle w:val="BodyText"/>
        <w:spacing w:line="240" w:lineRule="auto" w:before="53"/>
        <w:ind w:left="142" w:right="0"/>
        <w:jc w:val="left"/>
      </w:pPr>
      <w:r>
        <w:rPr/>
        <w:t>（</w:t>
      </w:r>
      <w:r>
        <w:rPr>
          <w:rFonts w:ascii="Times New Roman" w:hAnsi="Times New Roman" w:cs="Times New Roman" w:eastAsia="Times New Roman" w:hint="default"/>
        </w:rPr>
        <w:t>2</w:t>
      </w:r>
      <w:r>
        <w:rPr/>
        <w:t>）金融资产分类和计量</w:t>
      </w:r>
    </w:p>
    <w:p>
      <w:pPr>
        <w:pStyle w:val="BodyText"/>
        <w:spacing w:line="237" w:lineRule="auto" w:before="199"/>
        <w:ind w:left="562" w:right="175"/>
        <w:jc w:val="both"/>
      </w:pPr>
      <w:r>
        <w:rPr>
          <w:spacing w:val="-2"/>
        </w:rPr>
        <w:t>本公司的金融资产于初始确认时分为以下四类：以公允价值计量且其变动计入当期损益</w:t>
      </w:r>
      <w:r>
        <w:rPr>
          <w:spacing w:val="-100"/>
        </w:rPr>
        <w:t> </w:t>
      </w:r>
      <w:r>
        <w:rPr>
          <w:spacing w:val="-100"/>
        </w:rPr>
      </w:r>
      <w:r>
        <w:rPr>
          <w:spacing w:val="-2"/>
        </w:rPr>
        <w:t>的金融资产、持有至到期投资、贷款和应收款项、可供出售金融资产。金融资产在初始</w:t>
      </w:r>
      <w:r>
        <w:rPr>
          <w:spacing w:val="-104"/>
        </w:rPr>
        <w:t> </w:t>
      </w:r>
      <w:r>
        <w:rPr>
          <w:spacing w:val="-104"/>
        </w:rPr>
      </w:r>
      <w:r>
        <w:rPr>
          <w:spacing w:val="-2"/>
        </w:rPr>
        <w:t>确认时以公允价值计量。对于以公允价值计量且其变动计入当期损益的金融资产，相关</w:t>
      </w:r>
      <w:r>
        <w:rPr>
          <w:spacing w:val="-98"/>
        </w:rPr>
        <w:t> </w:t>
      </w:r>
      <w:r>
        <w:rPr>
          <w:spacing w:val="-98"/>
        </w:rPr>
      </w:r>
      <w:r>
        <w:rPr/>
        <w:t>交易费用直接计入当期损益，其他类别的金融资产相关交易费用计入其初始确认金额。</w:t>
      </w:r>
    </w:p>
    <w:p>
      <w:pPr>
        <w:spacing w:after="0" w:line="237" w:lineRule="auto"/>
        <w:jc w:val="both"/>
        <w:sectPr>
          <w:pgSz w:w="11900" w:h="16850"/>
          <w:pgMar w:header="771" w:footer="919" w:top="1720" w:bottom="1100" w:left="1140" w:right="900"/>
        </w:sectPr>
      </w:pPr>
    </w:p>
    <w:p>
      <w:pPr>
        <w:spacing w:line="240" w:lineRule="auto" w:before="10"/>
        <w:rPr>
          <w:rFonts w:ascii="宋体" w:hAnsi="宋体" w:cs="宋体" w:eastAsia="宋体" w:hint="default"/>
          <w:sz w:val="14"/>
          <w:szCs w:val="14"/>
        </w:rPr>
      </w:pPr>
    </w:p>
    <w:p>
      <w:pPr>
        <w:pStyle w:val="BodyText"/>
        <w:spacing w:line="240" w:lineRule="auto" w:before="26"/>
        <w:ind w:left="562" w:right="0"/>
        <w:jc w:val="both"/>
      </w:pPr>
      <w:r>
        <w:rPr/>
        <w:t>以公允价值计量且其变动计入当期损益的金融资产</w:t>
      </w:r>
    </w:p>
    <w:p>
      <w:pPr>
        <w:spacing w:line="240" w:lineRule="auto" w:before="7"/>
        <w:rPr>
          <w:rFonts w:ascii="宋体" w:hAnsi="宋体" w:cs="宋体" w:eastAsia="宋体" w:hint="default"/>
          <w:sz w:val="16"/>
          <w:szCs w:val="16"/>
        </w:rPr>
      </w:pPr>
    </w:p>
    <w:p>
      <w:pPr>
        <w:pStyle w:val="BodyText"/>
        <w:spacing w:line="237" w:lineRule="auto"/>
        <w:ind w:left="562" w:right="149"/>
        <w:jc w:val="both"/>
      </w:pPr>
      <w:r>
        <w:rPr>
          <w:spacing w:val="-2"/>
        </w:rPr>
        <w:t>以公允价值计量且其变动计入当期损益的金融资产，包括交易性金融资产和初始确认时</w:t>
      </w:r>
      <w:r>
        <w:rPr>
          <w:spacing w:val="-100"/>
        </w:rPr>
        <w:t> </w:t>
      </w:r>
      <w:r>
        <w:rPr>
          <w:spacing w:val="-100"/>
        </w:rPr>
      </w:r>
      <w:r>
        <w:rPr>
          <w:spacing w:val="-2"/>
        </w:rPr>
        <w:t>指定为以公允价值计量且其变动计入当期损益的金融资产。交易性金融资产包括为了在</w:t>
      </w:r>
      <w:r>
        <w:rPr>
          <w:spacing w:val="-100"/>
        </w:rPr>
        <w:t> </w:t>
      </w:r>
      <w:r>
        <w:rPr>
          <w:spacing w:val="-100"/>
        </w:rPr>
      </w:r>
      <w:r>
        <w:rPr>
          <w:spacing w:val="-2"/>
        </w:rPr>
        <w:t>短期内出售而取得的金融资产，以及衍生金融工具。对于此类金融资产，采用公允价值</w:t>
      </w:r>
      <w:r>
        <w:rPr>
          <w:spacing w:val="-104"/>
        </w:rPr>
        <w:t> </w:t>
      </w:r>
      <w:r>
        <w:rPr>
          <w:spacing w:val="-104"/>
        </w:rPr>
      </w:r>
      <w:r>
        <w:rPr/>
        <w:t>进行后续计量，所有已实现和未实现的损益均计入当期损益。</w:t>
      </w:r>
    </w:p>
    <w:p>
      <w:pPr>
        <w:pStyle w:val="BodyText"/>
        <w:spacing w:line="240" w:lineRule="auto" w:before="214"/>
        <w:ind w:left="562" w:right="0"/>
        <w:jc w:val="both"/>
      </w:pPr>
      <w:r>
        <w:rPr/>
        <w:t>持有至到期投资</w:t>
      </w:r>
    </w:p>
    <w:p>
      <w:pPr>
        <w:spacing w:line="240" w:lineRule="auto" w:before="7"/>
        <w:rPr>
          <w:rFonts w:ascii="宋体" w:hAnsi="宋体" w:cs="宋体" w:eastAsia="宋体" w:hint="default"/>
          <w:sz w:val="18"/>
          <w:szCs w:val="18"/>
        </w:rPr>
      </w:pPr>
    </w:p>
    <w:p>
      <w:pPr>
        <w:pStyle w:val="BodyText"/>
        <w:spacing w:line="312" w:lineRule="exact"/>
        <w:ind w:left="562" w:right="147"/>
        <w:jc w:val="both"/>
      </w:pPr>
      <w:r>
        <w:rPr>
          <w:spacing w:val="-2"/>
        </w:rPr>
        <w:t>持有至到期投资，是指到期日固定、回收金额固定或可确定，且本公司有明确意图和能</w:t>
      </w:r>
      <w:r>
        <w:rPr>
          <w:spacing w:val="-104"/>
        </w:rPr>
        <w:t> </w:t>
      </w:r>
      <w:r>
        <w:rPr>
          <w:spacing w:val="-104"/>
        </w:rPr>
      </w:r>
      <w:r>
        <w:rPr>
          <w:spacing w:val="-2"/>
        </w:rPr>
        <w:t>力持有至到期的非衍生金融资产。持有至到期投资采用实际利率法，按照摊余成本进行</w:t>
      </w:r>
      <w:r>
        <w:rPr>
          <w:spacing w:val="-98"/>
        </w:rPr>
        <w:t> </w:t>
      </w:r>
      <w:r>
        <w:rPr>
          <w:spacing w:val="-98"/>
        </w:rPr>
      </w:r>
      <w:r>
        <w:rPr/>
        <w:t>后续计量，其终止确认、发生减值或摊销产生的利得或损失，均计入当期损益。</w:t>
      </w:r>
    </w:p>
    <w:p>
      <w:pPr>
        <w:pStyle w:val="BodyText"/>
        <w:spacing w:line="240" w:lineRule="auto" w:before="183"/>
        <w:ind w:left="562" w:right="0"/>
        <w:jc w:val="both"/>
      </w:pPr>
      <w:r>
        <w:rPr/>
        <w:t>应收款项</w:t>
      </w:r>
    </w:p>
    <w:p>
      <w:pPr>
        <w:spacing w:line="240" w:lineRule="auto" w:before="9"/>
        <w:rPr>
          <w:rFonts w:ascii="宋体" w:hAnsi="宋体" w:cs="宋体" w:eastAsia="宋体" w:hint="default"/>
          <w:sz w:val="18"/>
          <w:szCs w:val="18"/>
        </w:rPr>
      </w:pPr>
    </w:p>
    <w:p>
      <w:pPr>
        <w:pStyle w:val="BodyText"/>
        <w:spacing w:line="312" w:lineRule="exact"/>
        <w:ind w:left="562" w:right="151"/>
        <w:jc w:val="both"/>
      </w:pPr>
      <w:r>
        <w:rPr>
          <w:spacing w:val="-2"/>
        </w:rPr>
        <w:t>应收款项，是指在活跃市场中没有报价、回收金额固定或可确定的非衍生金融资产，包</w:t>
      </w:r>
      <w:r>
        <w:rPr>
          <w:spacing w:val="-103"/>
        </w:rPr>
        <w:t> </w:t>
      </w:r>
      <w:r>
        <w:rPr>
          <w:spacing w:val="-103"/>
        </w:rPr>
      </w:r>
      <w:r>
        <w:rPr>
          <w:spacing w:val="-10"/>
        </w:rPr>
        <w:t>括应收账款、其他应收款和长期应收款（附注二、</w:t>
      </w:r>
      <w:r>
        <w:rPr>
          <w:rFonts w:ascii="Times New Roman" w:hAnsi="Times New Roman" w:cs="Times New Roman" w:eastAsia="Times New Roman" w:hint="default"/>
          <w:spacing w:val="-10"/>
        </w:rPr>
        <w:t>10</w:t>
      </w:r>
      <w:r>
        <w:rPr>
          <w:spacing w:val="-10"/>
        </w:rPr>
        <w:t>）。</w:t>
      </w:r>
      <w:r>
        <w:rPr/>
      </w:r>
    </w:p>
    <w:p>
      <w:pPr>
        <w:pStyle w:val="BodyText"/>
        <w:spacing w:line="240" w:lineRule="auto" w:before="183"/>
        <w:ind w:left="562" w:right="0"/>
        <w:jc w:val="both"/>
      </w:pPr>
      <w:r>
        <w:rPr/>
        <w:t>可供出售金融资产</w:t>
      </w:r>
    </w:p>
    <w:p>
      <w:pPr>
        <w:spacing w:line="240" w:lineRule="auto" w:before="8"/>
        <w:rPr>
          <w:rFonts w:ascii="宋体" w:hAnsi="宋体" w:cs="宋体" w:eastAsia="宋体" w:hint="default"/>
          <w:sz w:val="16"/>
          <w:szCs w:val="16"/>
        </w:rPr>
      </w:pPr>
    </w:p>
    <w:p>
      <w:pPr>
        <w:pStyle w:val="BodyText"/>
        <w:spacing w:line="237" w:lineRule="auto"/>
        <w:ind w:left="562" w:right="147"/>
        <w:jc w:val="both"/>
      </w:pPr>
      <w:r>
        <w:rPr>
          <w:spacing w:val="-2"/>
        </w:rPr>
        <w:t>可供出售金融资产，是指初始确认时即指定为可供出售的非衍生金融资产，以及除上述</w:t>
      </w:r>
      <w:r>
        <w:rPr>
          <w:spacing w:val="-98"/>
        </w:rPr>
        <w:t> </w:t>
      </w:r>
      <w:r>
        <w:rPr>
          <w:spacing w:val="-98"/>
        </w:rPr>
      </w:r>
      <w:r>
        <w:rPr>
          <w:spacing w:val="-2"/>
        </w:rPr>
        <w:t>金融资产类别以外的金融资产。可供出售金融资产采用公允价值进行后续计量，其折溢</w:t>
      </w:r>
      <w:r>
        <w:rPr>
          <w:spacing w:val="-98"/>
        </w:rPr>
        <w:t> </w:t>
      </w:r>
      <w:r>
        <w:rPr>
          <w:spacing w:val="-98"/>
        </w:rPr>
      </w:r>
      <w:r>
        <w:rPr>
          <w:spacing w:val="-2"/>
        </w:rPr>
        <w:t>价采用实际利率法摊销并确认为利息收入。除减值损失及外币货币性金融资产的汇兑差</w:t>
      </w:r>
      <w:r>
        <w:rPr>
          <w:spacing w:val="-100"/>
        </w:rPr>
        <w:t> </w:t>
      </w:r>
      <w:r>
        <w:rPr>
          <w:spacing w:val="-100"/>
        </w:rPr>
      </w:r>
      <w:r>
        <w:rPr>
          <w:spacing w:val="-2"/>
        </w:rPr>
        <w:t>额确认为当期损益外，可供出售金融资产的公允价值变动作为资本公积的单独部分予以</w:t>
      </w:r>
      <w:r>
        <w:rPr>
          <w:spacing w:val="-100"/>
        </w:rPr>
        <w:t> </w:t>
      </w:r>
      <w:r>
        <w:rPr>
          <w:spacing w:val="-100"/>
        </w:rPr>
      </w:r>
      <w:r>
        <w:rPr>
          <w:spacing w:val="-2"/>
        </w:rPr>
        <w:t>确认，直到该金融资产终止确认或发生减值时，在此之前在资本公积中确认的累计利得</w:t>
      </w:r>
      <w:r>
        <w:rPr>
          <w:spacing w:val="-98"/>
        </w:rPr>
        <w:t> </w:t>
      </w:r>
      <w:r>
        <w:rPr>
          <w:spacing w:val="-98"/>
        </w:rPr>
      </w:r>
      <w:r>
        <w:rPr/>
        <w:t>或损失转入当期损益。与可供出售金融资产相关的股利或利息收入，计入当期损益。</w:t>
      </w:r>
    </w:p>
    <w:p>
      <w:pPr>
        <w:pStyle w:val="BodyText"/>
        <w:spacing w:line="240" w:lineRule="auto" w:before="214"/>
        <w:ind w:left="142" w:right="2957"/>
        <w:jc w:val="left"/>
      </w:pPr>
      <w:r>
        <w:rPr/>
        <w:t>（</w:t>
      </w:r>
      <w:r>
        <w:rPr>
          <w:rFonts w:ascii="Times New Roman" w:hAnsi="Times New Roman" w:cs="Times New Roman" w:eastAsia="Times New Roman" w:hint="default"/>
        </w:rPr>
        <w:t>3</w:t>
      </w:r>
      <w:r>
        <w:rPr/>
        <w:t>）金融负债分类和计量</w:t>
      </w:r>
    </w:p>
    <w:p>
      <w:pPr>
        <w:pStyle w:val="BodyText"/>
        <w:spacing w:line="237" w:lineRule="auto" w:before="198"/>
        <w:ind w:left="562" w:right="150"/>
        <w:jc w:val="both"/>
      </w:pPr>
      <w:r>
        <w:rPr>
          <w:spacing w:val="-2"/>
        </w:rPr>
        <w:t>本公司的金融负债于初始确认时分类为：以公允价值计量且其变动计入当期损益的金融</w:t>
      </w:r>
      <w:r>
        <w:rPr>
          <w:spacing w:val="-100"/>
        </w:rPr>
        <w:t> </w:t>
      </w:r>
      <w:r>
        <w:rPr>
          <w:spacing w:val="-100"/>
        </w:rPr>
      </w:r>
      <w:r>
        <w:rPr>
          <w:spacing w:val="-2"/>
        </w:rPr>
        <w:t>负债、其他金融负债。对于未划分为以公允价值计量且其变动计入当期损益的金融负债</w:t>
      </w:r>
      <w:r>
        <w:rPr>
          <w:spacing w:val="-100"/>
        </w:rPr>
        <w:t> </w:t>
      </w:r>
      <w:r>
        <w:rPr>
          <w:spacing w:val="-100"/>
        </w:rPr>
      </w:r>
      <w:r>
        <w:rPr/>
        <w:t>的，相关交易费用计入其初始确认金额。</w:t>
      </w:r>
    </w:p>
    <w:p>
      <w:pPr>
        <w:pStyle w:val="BodyText"/>
        <w:spacing w:line="240" w:lineRule="auto" w:before="214"/>
        <w:ind w:left="562" w:right="0"/>
        <w:jc w:val="both"/>
      </w:pPr>
      <w:r>
        <w:rPr/>
        <w:t>以公允价值计量且其变动计入当期损益的金融负债</w:t>
      </w:r>
    </w:p>
    <w:p>
      <w:pPr>
        <w:spacing w:line="240" w:lineRule="auto" w:before="7"/>
        <w:rPr>
          <w:rFonts w:ascii="宋体" w:hAnsi="宋体" w:cs="宋体" w:eastAsia="宋体" w:hint="default"/>
          <w:sz w:val="16"/>
          <w:szCs w:val="16"/>
        </w:rPr>
      </w:pPr>
    </w:p>
    <w:p>
      <w:pPr>
        <w:pStyle w:val="BodyText"/>
        <w:spacing w:line="237" w:lineRule="auto"/>
        <w:ind w:left="562" w:right="147"/>
        <w:jc w:val="both"/>
      </w:pPr>
      <w:r>
        <w:rPr>
          <w:spacing w:val="-2"/>
        </w:rPr>
        <w:t>以公允价值计量且其变动计入当期损益的金融负债，包括交易性金融负债和初始确认时</w:t>
      </w:r>
      <w:r>
        <w:rPr>
          <w:spacing w:val="-100"/>
        </w:rPr>
        <w:t> </w:t>
      </w:r>
      <w:r>
        <w:rPr>
          <w:spacing w:val="-100"/>
        </w:rPr>
      </w:r>
      <w:r>
        <w:rPr>
          <w:spacing w:val="-2"/>
        </w:rPr>
        <w:t>指定为以公允价值计量且其变动计入当期损益的金融负债。对于此类金融负债，按照公</w:t>
      </w:r>
      <w:r>
        <w:rPr>
          <w:spacing w:val="-98"/>
        </w:rPr>
        <w:t> </w:t>
      </w:r>
      <w:r>
        <w:rPr>
          <w:spacing w:val="-98"/>
        </w:rPr>
      </w:r>
      <w:r>
        <w:rPr/>
        <w:t>允价值进行后续计量，所有已实现和未实现的损益均计入当期损益。</w:t>
      </w:r>
    </w:p>
    <w:p>
      <w:pPr>
        <w:pStyle w:val="BodyText"/>
        <w:spacing w:line="400" w:lineRule="auto" w:before="214"/>
        <w:ind w:left="562" w:right="4157"/>
        <w:jc w:val="left"/>
      </w:pPr>
      <w:r>
        <w:rPr/>
        <w:t>其他金融负债 采用实际利率法，按照摊余成本进行后续计量。</w:t>
      </w:r>
    </w:p>
    <w:p>
      <w:pPr>
        <w:pStyle w:val="BodyText"/>
        <w:spacing w:line="240" w:lineRule="auto" w:before="53"/>
        <w:ind w:left="142" w:right="2957"/>
        <w:jc w:val="left"/>
      </w:pPr>
      <w:r>
        <w:rPr/>
        <w:t>（</w:t>
      </w:r>
      <w:r>
        <w:rPr>
          <w:rFonts w:ascii="Times New Roman" w:hAnsi="Times New Roman" w:cs="Times New Roman" w:eastAsia="Times New Roman" w:hint="default"/>
        </w:rPr>
        <w:t>4</w:t>
      </w:r>
      <w:r>
        <w:rPr/>
        <w:t>）衍生金融工具</w:t>
      </w:r>
    </w:p>
    <w:p>
      <w:pPr>
        <w:pStyle w:val="BodyText"/>
        <w:spacing w:line="237" w:lineRule="auto" w:before="198"/>
        <w:ind w:left="562" w:right="147"/>
        <w:jc w:val="both"/>
      </w:pPr>
      <w:r>
        <w:rPr>
          <w:spacing w:val="-2"/>
        </w:rPr>
        <w:t>本公司衍生金融工具初始以衍生交易合同签订当日的公允价值进行计量，并以其公允价</w:t>
      </w:r>
      <w:r>
        <w:rPr>
          <w:spacing w:val="-100"/>
        </w:rPr>
        <w:t> </w:t>
      </w:r>
      <w:r>
        <w:rPr>
          <w:spacing w:val="-100"/>
        </w:rPr>
      </w:r>
      <w:r>
        <w:rPr>
          <w:spacing w:val="-2"/>
        </w:rPr>
        <w:t>值进行后续计量。公允价值为正数的衍生金融工具确认为一项资产，公允价值为负数的</w:t>
      </w:r>
      <w:r>
        <w:rPr>
          <w:spacing w:val="-98"/>
        </w:rPr>
        <w:t> </w:t>
      </w:r>
      <w:r>
        <w:rPr>
          <w:spacing w:val="-98"/>
        </w:rPr>
      </w:r>
      <w:r>
        <w:rPr/>
        <w:t>确认为一项负债。</w:t>
      </w:r>
    </w:p>
    <w:p>
      <w:pPr>
        <w:spacing w:after="0" w:line="237" w:lineRule="auto"/>
        <w:jc w:val="both"/>
        <w:sectPr>
          <w:pgSz w:w="11900" w:h="16850"/>
          <w:pgMar w:header="771" w:footer="919" w:top="1720" w:bottom="1100" w:left="1140" w:right="980"/>
        </w:sectPr>
      </w:pPr>
    </w:p>
    <w:p>
      <w:pPr>
        <w:spacing w:line="240" w:lineRule="auto" w:before="10"/>
        <w:rPr>
          <w:rFonts w:ascii="宋体" w:hAnsi="宋体" w:cs="宋体" w:eastAsia="宋体" w:hint="default"/>
          <w:sz w:val="14"/>
          <w:szCs w:val="14"/>
        </w:rPr>
      </w:pPr>
    </w:p>
    <w:p>
      <w:pPr>
        <w:pStyle w:val="BodyText"/>
        <w:spacing w:line="240" w:lineRule="auto" w:before="26"/>
        <w:ind w:left="562" w:right="0"/>
        <w:jc w:val="both"/>
      </w:pPr>
      <w:r>
        <w:rPr/>
        <w:t>因公允价值变动而产生的任何不符合套期会计规定的利得或损失，直接计入当期损益。</w:t>
      </w:r>
    </w:p>
    <w:p>
      <w:pPr>
        <w:pStyle w:val="BodyText"/>
        <w:spacing w:line="240" w:lineRule="auto" w:before="214"/>
        <w:ind w:left="142" w:right="4177"/>
        <w:jc w:val="left"/>
      </w:pPr>
      <w:r>
        <w:rPr/>
        <w:t>（</w:t>
      </w:r>
      <w:r>
        <w:rPr>
          <w:rFonts w:ascii="Times New Roman" w:hAnsi="Times New Roman" w:cs="Times New Roman" w:eastAsia="Times New Roman" w:hint="default"/>
        </w:rPr>
        <w:t>5</w:t>
      </w:r>
      <w:r>
        <w:rPr/>
        <w:t>）金融工具的公允价值</w:t>
      </w:r>
    </w:p>
    <w:p>
      <w:pPr>
        <w:spacing w:line="240" w:lineRule="auto" w:before="2"/>
        <w:rPr>
          <w:rFonts w:ascii="宋体" w:hAnsi="宋体" w:cs="宋体" w:eastAsia="宋体" w:hint="default"/>
          <w:sz w:val="17"/>
          <w:szCs w:val="17"/>
        </w:rPr>
      </w:pPr>
    </w:p>
    <w:p>
      <w:pPr>
        <w:pStyle w:val="BodyText"/>
        <w:spacing w:line="312" w:lineRule="exact"/>
        <w:ind w:left="562" w:right="167"/>
        <w:jc w:val="both"/>
      </w:pPr>
      <w:r>
        <w:rPr>
          <w:spacing w:val="-2"/>
        </w:rPr>
        <w:t>存在活跃市场的金融资产或金融负债，本公司将活跃市场中的现行出价或现行要价用于</w:t>
      </w:r>
      <w:r>
        <w:rPr>
          <w:spacing w:val="-100"/>
        </w:rPr>
        <w:t> </w:t>
      </w:r>
      <w:r>
        <w:rPr>
          <w:spacing w:val="-100"/>
        </w:rPr>
      </w:r>
      <w:r>
        <w:rPr/>
        <w:t>确定其公允价值。</w:t>
      </w:r>
    </w:p>
    <w:p>
      <w:pPr>
        <w:pStyle w:val="BodyText"/>
        <w:spacing w:line="237" w:lineRule="auto" w:before="188"/>
        <w:ind w:left="562" w:right="167"/>
        <w:jc w:val="both"/>
      </w:pPr>
      <w:r>
        <w:rPr>
          <w:spacing w:val="-2"/>
        </w:rPr>
        <w:t>金融工具不存在活跃市场的，本公司采用估值技术确定其公允价值。采用估值技术得出</w:t>
      </w:r>
      <w:r>
        <w:rPr>
          <w:spacing w:val="-98"/>
        </w:rPr>
        <w:t> </w:t>
      </w:r>
      <w:r>
        <w:rPr>
          <w:spacing w:val="-98"/>
        </w:rPr>
      </w:r>
      <w:r>
        <w:rPr>
          <w:spacing w:val="-2"/>
        </w:rPr>
        <w:t>的结果，反映估值日在公平交易中可能采用的交易价格。估值技术包括参考熟悉情况并</w:t>
      </w:r>
      <w:r>
        <w:rPr>
          <w:spacing w:val="-99"/>
        </w:rPr>
        <w:t> </w:t>
      </w:r>
      <w:r>
        <w:rPr>
          <w:spacing w:val="-99"/>
        </w:rPr>
      </w:r>
      <w:r>
        <w:rPr>
          <w:spacing w:val="-2"/>
        </w:rPr>
        <w:t>自愿交易的各方最近进行的市场交易中使用的价格、参照实质上相同的其他金融工具的</w:t>
      </w:r>
      <w:r>
        <w:rPr>
          <w:spacing w:val="-100"/>
        </w:rPr>
        <w:t> </w:t>
      </w:r>
      <w:r>
        <w:rPr>
          <w:spacing w:val="-100"/>
        </w:rPr>
      </w:r>
      <w:r>
        <w:rPr/>
        <w:t>当前公允价值、现金流量折现法和期权定价模型等。</w:t>
      </w:r>
    </w:p>
    <w:p>
      <w:pPr>
        <w:spacing w:line="240" w:lineRule="auto" w:before="8"/>
        <w:rPr>
          <w:rFonts w:ascii="宋体" w:hAnsi="宋体" w:cs="宋体" w:eastAsia="宋体" w:hint="default"/>
          <w:sz w:val="16"/>
          <w:szCs w:val="16"/>
        </w:rPr>
      </w:pPr>
    </w:p>
    <w:p>
      <w:pPr>
        <w:pStyle w:val="BodyText"/>
        <w:spacing w:line="237" w:lineRule="auto"/>
        <w:ind w:left="562" w:right="166"/>
        <w:jc w:val="both"/>
      </w:pPr>
      <w:r>
        <w:rPr>
          <w:spacing w:val="-2"/>
        </w:rPr>
        <w:t>本公司选择市场参与者普遍认同，且被以往市场实际交易价格验证具有可靠性的估值技</w:t>
      </w:r>
      <w:r>
        <w:rPr>
          <w:spacing w:val="-101"/>
        </w:rPr>
        <w:t> </w:t>
      </w:r>
      <w:r>
        <w:rPr>
          <w:spacing w:val="-101"/>
        </w:rPr>
      </w:r>
      <w:r>
        <w:rPr>
          <w:spacing w:val="-2"/>
        </w:rPr>
        <w:t>术确定金融工具的公允价值。采用估值技术确定金融工具的公允价值时，本公司尽可能</w:t>
      </w:r>
      <w:r>
        <w:rPr>
          <w:spacing w:val="-97"/>
        </w:rPr>
        <w:t> </w:t>
      </w:r>
      <w:r>
        <w:rPr>
          <w:spacing w:val="-97"/>
        </w:rPr>
      </w:r>
      <w:r>
        <w:rPr>
          <w:spacing w:val="4"/>
        </w:rPr>
        <w:t>使用市场参与者在金融工具定价时考虑的所有市场参数和相同金融工具当前市场的可</w:t>
      </w:r>
      <w:r>
        <w:rPr>
          <w:spacing w:val="-113"/>
        </w:rPr>
        <w:t> </w:t>
      </w:r>
      <w:r>
        <w:rPr>
          <w:spacing w:val="-113"/>
        </w:rPr>
      </w:r>
      <w:r>
        <w:rPr/>
        <w:t>观察到的交易价格来测试估值技术的有效性。</w:t>
      </w:r>
    </w:p>
    <w:p>
      <w:pPr>
        <w:pStyle w:val="BodyText"/>
        <w:spacing w:line="240" w:lineRule="auto" w:before="212"/>
        <w:ind w:left="142" w:right="4177"/>
        <w:jc w:val="left"/>
      </w:pPr>
      <w:r>
        <w:rPr/>
        <w:t>（</w:t>
      </w:r>
      <w:r>
        <w:rPr>
          <w:rFonts w:ascii="Times New Roman" w:hAnsi="Times New Roman" w:cs="Times New Roman" w:eastAsia="Times New Roman" w:hint="default"/>
        </w:rPr>
        <w:t>6</w:t>
      </w:r>
      <w:r>
        <w:rPr/>
        <w:t>）金融资产减值</w:t>
      </w:r>
    </w:p>
    <w:p>
      <w:pPr>
        <w:pStyle w:val="BodyText"/>
        <w:spacing w:line="237" w:lineRule="auto" w:before="198"/>
        <w:ind w:left="562" w:right="167"/>
        <w:jc w:val="both"/>
      </w:pPr>
      <w:r>
        <w:rPr>
          <w:spacing w:val="-2"/>
        </w:rPr>
        <w:t>本公司于资产负债表日对金融资产的账面价值进行检查，有客观证据表明该金融资产发</w:t>
      </w:r>
      <w:r>
        <w:rPr>
          <w:spacing w:val="-100"/>
        </w:rPr>
        <w:t> </w:t>
      </w:r>
      <w:r>
        <w:rPr>
          <w:spacing w:val="-100"/>
        </w:rPr>
      </w:r>
      <w:r>
        <w:rPr>
          <w:spacing w:val="-2"/>
        </w:rPr>
        <w:t>生减值的，计提减值准备。表明金融资产发生减值的客观证据，是指金融资产初始确认</w:t>
      </w:r>
      <w:r>
        <w:rPr>
          <w:spacing w:val="-104"/>
        </w:rPr>
        <w:t> </w:t>
      </w:r>
      <w:r>
        <w:rPr>
          <w:spacing w:val="-104"/>
        </w:rPr>
      </w:r>
      <w:r>
        <w:rPr>
          <w:spacing w:val="-2"/>
        </w:rPr>
        <w:t>后实际发生的、对该金融资产的预计未来现金流量有影响，且企业能够对该影响进行可</w:t>
      </w:r>
      <w:r>
        <w:rPr>
          <w:spacing w:val="-98"/>
        </w:rPr>
        <w:t> </w:t>
      </w:r>
      <w:r>
        <w:rPr>
          <w:spacing w:val="-98"/>
        </w:rPr>
      </w:r>
      <w:r>
        <w:rPr/>
        <w:t>靠计量的事项。</w:t>
      </w:r>
    </w:p>
    <w:p>
      <w:pPr>
        <w:pStyle w:val="BodyText"/>
        <w:spacing w:line="240" w:lineRule="auto" w:before="214"/>
        <w:ind w:left="562" w:right="0"/>
        <w:jc w:val="both"/>
      </w:pPr>
      <w:r>
        <w:rPr/>
        <w:t>以摊余成本计量的金融资产</w:t>
      </w:r>
    </w:p>
    <w:p>
      <w:pPr>
        <w:spacing w:line="240" w:lineRule="auto" w:before="7"/>
        <w:rPr>
          <w:rFonts w:ascii="宋体" w:hAnsi="宋体" w:cs="宋体" w:eastAsia="宋体" w:hint="default"/>
          <w:sz w:val="18"/>
          <w:szCs w:val="18"/>
        </w:rPr>
      </w:pPr>
    </w:p>
    <w:p>
      <w:pPr>
        <w:pStyle w:val="BodyText"/>
        <w:spacing w:line="312" w:lineRule="exact"/>
        <w:ind w:left="562" w:right="167"/>
        <w:jc w:val="both"/>
      </w:pPr>
      <w:r>
        <w:rPr>
          <w:spacing w:val="-2"/>
        </w:rPr>
        <w:t>如果有客观证据表明该金融资产发生减值，则将该金融资产的账面价值减记至预计未来</w:t>
      </w:r>
      <w:r>
        <w:rPr>
          <w:spacing w:val="-100"/>
        </w:rPr>
        <w:t> </w:t>
      </w:r>
      <w:r>
        <w:rPr>
          <w:spacing w:val="-100"/>
        </w:rPr>
      </w:r>
      <w:r>
        <w:rPr>
          <w:spacing w:val="-2"/>
        </w:rPr>
        <w:t>现金流量（不包括尚未发生的未来信用损失）现值，减记金额计入当期损益。预计未来</w:t>
      </w:r>
      <w:r>
        <w:rPr>
          <w:spacing w:val="-104"/>
        </w:rPr>
        <w:t> </w:t>
      </w:r>
      <w:r>
        <w:rPr>
          <w:spacing w:val="-104"/>
        </w:rPr>
      </w:r>
      <w:r>
        <w:rPr/>
        <w:t>现金流量现值，按照该金融资产原实际利率折现确定，并考虑相关担保物的价值。</w:t>
      </w:r>
    </w:p>
    <w:p>
      <w:pPr>
        <w:pStyle w:val="BodyText"/>
        <w:spacing w:line="237" w:lineRule="auto" w:before="188"/>
        <w:ind w:left="562" w:right="167"/>
        <w:jc w:val="both"/>
      </w:pPr>
      <w:r>
        <w:rPr>
          <w:spacing w:val="-2"/>
        </w:rPr>
        <w:t>对单项金额重大的金融资产单独进行减值测试，如有客观证据表明其已发生减值，确认</w:t>
      </w:r>
      <w:r>
        <w:rPr>
          <w:spacing w:val="-98"/>
        </w:rPr>
        <w:t> </w:t>
      </w:r>
      <w:r>
        <w:rPr>
          <w:spacing w:val="-98"/>
        </w:rPr>
      </w:r>
      <w:r>
        <w:rPr>
          <w:spacing w:val="-2"/>
        </w:rPr>
        <w:t>减值损失，计入当期损益。对单项金额不重大的金融资产，包括在具有类似信用风险特</w:t>
      </w:r>
      <w:r>
        <w:rPr>
          <w:spacing w:val="-104"/>
        </w:rPr>
        <w:t> </w:t>
      </w:r>
      <w:r>
        <w:rPr>
          <w:spacing w:val="-104"/>
        </w:rPr>
      </w:r>
      <w:r>
        <w:rPr>
          <w:spacing w:val="-2"/>
        </w:rPr>
        <w:t>征的金融资产组合中进行减值测试。单独测试未发生减值的金融资产（包括单项金额重</w:t>
      </w:r>
      <w:r>
        <w:rPr>
          <w:spacing w:val="-98"/>
        </w:rPr>
        <w:t> </w:t>
      </w:r>
      <w:r>
        <w:rPr>
          <w:spacing w:val="-98"/>
        </w:rPr>
      </w:r>
      <w:r>
        <w:rPr>
          <w:spacing w:val="-2"/>
        </w:rPr>
        <w:t>大和不重大的金融资产），包括在具有类似信用风险特征的金融资产组合中再进行减值</w:t>
      </w:r>
      <w:r>
        <w:rPr>
          <w:spacing w:val="-111"/>
        </w:rPr>
        <w:t> </w:t>
      </w:r>
      <w:r>
        <w:rPr>
          <w:spacing w:val="-111"/>
        </w:rPr>
      </w:r>
      <w:r>
        <w:rPr>
          <w:spacing w:val="-2"/>
        </w:rPr>
        <w:t>测试。已单项确认减值损失的金融资产，不包括在具有类似信用风险特征的金融资产组</w:t>
      </w:r>
      <w:r>
        <w:rPr>
          <w:spacing w:val="-98"/>
        </w:rPr>
        <w:t> </w:t>
      </w:r>
      <w:r>
        <w:rPr>
          <w:spacing w:val="-98"/>
        </w:rPr>
      </w:r>
      <w:r>
        <w:rPr/>
        <w:t>合中进行减值测试。</w:t>
      </w:r>
    </w:p>
    <w:p>
      <w:pPr>
        <w:spacing w:line="240" w:lineRule="auto" w:before="8"/>
        <w:rPr>
          <w:rFonts w:ascii="宋体" w:hAnsi="宋体" w:cs="宋体" w:eastAsia="宋体" w:hint="default"/>
          <w:sz w:val="16"/>
          <w:szCs w:val="16"/>
        </w:rPr>
      </w:pPr>
    </w:p>
    <w:p>
      <w:pPr>
        <w:pStyle w:val="BodyText"/>
        <w:spacing w:line="237" w:lineRule="auto"/>
        <w:ind w:left="562" w:right="170"/>
        <w:jc w:val="both"/>
      </w:pPr>
      <w:r>
        <w:rPr>
          <w:spacing w:val="-2"/>
        </w:rPr>
        <w:t>本公司对以摊余成本计量的金融资产确认减值损失后，如有客观证据表明该金融资产价</w:t>
      </w:r>
      <w:r>
        <w:rPr>
          <w:spacing w:val="-100"/>
        </w:rPr>
        <w:t> </w:t>
      </w:r>
      <w:r>
        <w:rPr>
          <w:spacing w:val="-100"/>
        </w:rPr>
      </w:r>
      <w:r>
        <w:rPr>
          <w:spacing w:val="-2"/>
        </w:rPr>
        <w:t>值已恢复，且客观上与确认该损失后发生的事项有关，原确认的减值损失予以转回，计</w:t>
      </w:r>
      <w:r>
        <w:rPr>
          <w:spacing w:val="-104"/>
        </w:rPr>
        <w:t> </w:t>
      </w:r>
      <w:r>
        <w:rPr>
          <w:spacing w:val="-104"/>
        </w:rPr>
      </w:r>
      <w:r>
        <w:rPr>
          <w:spacing w:val="-2"/>
        </w:rPr>
        <w:t>入当期损益。但是，该转回后的账面价值不超过假定不计提减值准备情况下该金融资产</w:t>
      </w:r>
      <w:r>
        <w:rPr>
          <w:spacing w:val="-102"/>
        </w:rPr>
        <w:t> </w:t>
      </w:r>
      <w:r>
        <w:rPr>
          <w:spacing w:val="-102"/>
        </w:rPr>
      </w:r>
      <w:r>
        <w:rPr/>
        <w:t>在转回日的摊余成本。</w:t>
      </w:r>
    </w:p>
    <w:p>
      <w:pPr>
        <w:pStyle w:val="BodyText"/>
        <w:spacing w:line="240" w:lineRule="auto" w:before="212"/>
        <w:ind w:left="562" w:right="0"/>
        <w:jc w:val="both"/>
      </w:pPr>
      <w:r>
        <w:rPr/>
        <w:t>可供出售金融资产</w:t>
      </w:r>
    </w:p>
    <w:p>
      <w:pPr>
        <w:spacing w:line="240" w:lineRule="auto" w:before="7"/>
        <w:rPr>
          <w:rFonts w:ascii="宋体" w:hAnsi="宋体" w:cs="宋体" w:eastAsia="宋体" w:hint="default"/>
          <w:sz w:val="16"/>
          <w:szCs w:val="16"/>
        </w:rPr>
      </w:pPr>
    </w:p>
    <w:p>
      <w:pPr>
        <w:pStyle w:val="BodyText"/>
        <w:spacing w:line="237" w:lineRule="auto"/>
        <w:ind w:left="562" w:right="170"/>
        <w:jc w:val="both"/>
      </w:pPr>
      <w:r>
        <w:rPr>
          <w:spacing w:val="-2"/>
        </w:rPr>
        <w:t>如果有客观证据表明该金融资产发生减值，原直接计入资本公积的因公允价值下降形成</w:t>
      </w:r>
      <w:r>
        <w:rPr>
          <w:spacing w:val="-100"/>
        </w:rPr>
        <w:t> </w:t>
      </w:r>
      <w:r>
        <w:rPr>
          <w:spacing w:val="-100"/>
        </w:rPr>
      </w:r>
      <w:r>
        <w:rPr>
          <w:spacing w:val="-2"/>
        </w:rPr>
        <w:t>的累计损失，予以转出，计入当期损益。该转出的累计损失，为可供出售金融资产的初</w:t>
      </w:r>
      <w:r>
        <w:rPr>
          <w:spacing w:val="-102"/>
        </w:rPr>
        <w:t> </w:t>
      </w:r>
      <w:r>
        <w:rPr>
          <w:spacing w:val="-102"/>
        </w:rPr>
      </w:r>
      <w:r>
        <w:rPr>
          <w:spacing w:val="-2"/>
        </w:rPr>
        <w:t>始取得成本扣除已收回本金和已摊销金额、当前公允价值和原已计入损益的减值损失后</w:t>
      </w:r>
    </w:p>
    <w:p>
      <w:pPr>
        <w:spacing w:after="0" w:line="237" w:lineRule="auto"/>
        <w:jc w:val="both"/>
        <w:sectPr>
          <w:footerReference w:type="default" r:id="rId57"/>
          <w:pgSz w:w="11900" w:h="16850"/>
          <w:pgMar w:footer="919" w:header="771" w:top="1720" w:bottom="1100" w:left="1140" w:right="960"/>
        </w:sectPr>
      </w:pPr>
    </w:p>
    <w:p>
      <w:pPr>
        <w:spacing w:line="240" w:lineRule="auto" w:before="10"/>
        <w:rPr>
          <w:rFonts w:ascii="宋体" w:hAnsi="宋体" w:cs="宋体" w:eastAsia="宋体" w:hint="default"/>
          <w:sz w:val="14"/>
          <w:szCs w:val="14"/>
        </w:rPr>
      </w:pPr>
    </w:p>
    <w:p>
      <w:pPr>
        <w:pStyle w:val="BodyText"/>
        <w:spacing w:line="240" w:lineRule="auto" w:before="26"/>
        <w:ind w:left="562" w:right="0"/>
        <w:jc w:val="both"/>
      </w:pPr>
      <w:r>
        <w:rPr/>
        <w:t>的余额。</w:t>
      </w:r>
    </w:p>
    <w:p>
      <w:pPr>
        <w:spacing w:line="240" w:lineRule="auto" w:before="7"/>
        <w:rPr>
          <w:rFonts w:ascii="宋体" w:hAnsi="宋体" w:cs="宋体" w:eastAsia="宋体" w:hint="default"/>
          <w:sz w:val="16"/>
          <w:szCs w:val="16"/>
        </w:rPr>
      </w:pPr>
    </w:p>
    <w:p>
      <w:pPr>
        <w:pStyle w:val="BodyText"/>
        <w:spacing w:line="237" w:lineRule="auto"/>
        <w:ind w:left="562" w:right="307"/>
        <w:jc w:val="both"/>
      </w:pPr>
      <w:r>
        <w:rPr>
          <w:spacing w:val="-2"/>
        </w:rPr>
        <w:t>对于已确认减值损失的可供出售债务工具，在随后的会计期间公允价值已上升且客观上</w:t>
      </w:r>
      <w:r>
        <w:rPr>
          <w:spacing w:val="-100"/>
        </w:rPr>
        <w:t> </w:t>
      </w:r>
      <w:r>
        <w:rPr>
          <w:spacing w:val="-100"/>
        </w:rPr>
      </w:r>
      <w:r>
        <w:rPr>
          <w:spacing w:val="-2"/>
        </w:rPr>
        <w:t>与确认原减值损失确认后发生的事项有关的，原确认的减值损失予以转回，计入当期损</w:t>
      </w:r>
      <w:r>
        <w:rPr>
          <w:spacing w:val="-98"/>
        </w:rPr>
        <w:t> </w:t>
      </w:r>
      <w:r>
        <w:rPr>
          <w:spacing w:val="-98"/>
        </w:rPr>
      </w:r>
      <w:r>
        <w:rPr/>
        <w:t>益。可供出售权益工具投资发生的减值损失，不通过损益转回。</w:t>
      </w:r>
    </w:p>
    <w:p>
      <w:pPr>
        <w:pStyle w:val="BodyText"/>
        <w:spacing w:line="240" w:lineRule="auto" w:before="214"/>
        <w:ind w:left="562" w:right="0"/>
        <w:jc w:val="both"/>
      </w:pPr>
      <w:r>
        <w:rPr/>
        <w:t>以成本计量的金融资产</w:t>
      </w:r>
    </w:p>
    <w:p>
      <w:pPr>
        <w:spacing w:line="240" w:lineRule="auto" w:before="7"/>
        <w:rPr>
          <w:rFonts w:ascii="宋体" w:hAnsi="宋体" w:cs="宋体" w:eastAsia="宋体" w:hint="default"/>
          <w:sz w:val="16"/>
          <w:szCs w:val="16"/>
        </w:rPr>
      </w:pPr>
    </w:p>
    <w:p>
      <w:pPr>
        <w:pStyle w:val="BodyText"/>
        <w:spacing w:line="237" w:lineRule="auto"/>
        <w:ind w:left="562" w:right="307"/>
        <w:jc w:val="both"/>
      </w:pPr>
      <w:r>
        <w:rPr>
          <w:spacing w:val="-2"/>
        </w:rPr>
        <w:t>如果有客观证据表明该金融资产发生减值，将该金融资产的账面价值，与按照类似金融</w:t>
      </w:r>
      <w:r>
        <w:rPr>
          <w:spacing w:val="-98"/>
        </w:rPr>
        <w:t> </w:t>
      </w:r>
      <w:r>
        <w:rPr>
          <w:spacing w:val="-98"/>
        </w:rPr>
      </w:r>
      <w:r>
        <w:rPr>
          <w:spacing w:val="-2"/>
        </w:rPr>
        <w:t>资产当时市场收益率对未来现金流量折现确定的现值之间的差额，确认为减值损失，计</w:t>
      </w:r>
      <w:r>
        <w:rPr>
          <w:spacing w:val="-98"/>
        </w:rPr>
        <w:t> </w:t>
      </w:r>
      <w:r>
        <w:rPr>
          <w:spacing w:val="-98"/>
        </w:rPr>
      </w:r>
      <w:r>
        <w:rPr/>
        <w:t>入当期损益。发生的减值损失一经确认，不再转回。</w:t>
      </w:r>
    </w:p>
    <w:p>
      <w:pPr>
        <w:pStyle w:val="BodyText"/>
        <w:spacing w:line="240" w:lineRule="auto" w:before="214"/>
        <w:ind w:left="142" w:right="3837"/>
        <w:jc w:val="left"/>
      </w:pPr>
      <w:r>
        <w:rPr/>
        <w:t>（</w:t>
      </w:r>
      <w:r>
        <w:rPr>
          <w:rFonts w:ascii="Times New Roman" w:hAnsi="Times New Roman" w:cs="Times New Roman" w:eastAsia="Times New Roman" w:hint="default"/>
        </w:rPr>
        <w:t>7</w:t>
      </w:r>
      <w:r>
        <w:rPr/>
        <w:t>）金融资产转移</w:t>
      </w:r>
    </w:p>
    <w:p>
      <w:pPr>
        <w:spacing w:line="240" w:lineRule="auto" w:before="2"/>
        <w:rPr>
          <w:rFonts w:ascii="宋体" w:hAnsi="宋体" w:cs="宋体" w:eastAsia="宋体" w:hint="default"/>
          <w:sz w:val="17"/>
          <w:szCs w:val="17"/>
        </w:rPr>
      </w:pPr>
    </w:p>
    <w:p>
      <w:pPr>
        <w:pStyle w:val="BodyText"/>
        <w:spacing w:line="312" w:lineRule="exact"/>
        <w:ind w:left="562" w:right="308"/>
        <w:jc w:val="both"/>
      </w:pPr>
      <w:r>
        <w:rPr>
          <w:spacing w:val="4"/>
        </w:rPr>
        <w:t>金融资产转移，是指将金融资产让与或交付给该金融资产发行方以外的另一方（转入</w:t>
      </w:r>
      <w:r>
        <w:rPr>
          <w:spacing w:val="-113"/>
        </w:rPr>
        <w:t> </w:t>
      </w:r>
      <w:r>
        <w:rPr>
          <w:spacing w:val="-113"/>
        </w:rPr>
      </w:r>
      <w:r>
        <w:rPr>
          <w:spacing w:val="-40"/>
        </w:rPr>
        <w:t>方）。</w:t>
      </w:r>
    </w:p>
    <w:p>
      <w:pPr>
        <w:spacing w:line="240" w:lineRule="auto" w:before="8"/>
        <w:rPr>
          <w:rFonts w:ascii="宋体" w:hAnsi="宋体" w:cs="宋体" w:eastAsia="宋体" w:hint="default"/>
          <w:sz w:val="16"/>
          <w:szCs w:val="16"/>
        </w:rPr>
      </w:pPr>
    </w:p>
    <w:p>
      <w:pPr>
        <w:pStyle w:val="BodyText"/>
        <w:spacing w:line="310" w:lineRule="exact"/>
        <w:ind w:left="562" w:right="310"/>
        <w:jc w:val="both"/>
      </w:pPr>
      <w:r>
        <w:rPr>
          <w:spacing w:val="-2"/>
        </w:rPr>
        <w:t>本公司已将金融资产所有权上几乎所有的风险和报酬转移给转入方的，终止确认该金融</w:t>
      </w:r>
      <w:r>
        <w:rPr>
          <w:spacing w:val="-100"/>
        </w:rPr>
        <w:t> </w:t>
      </w:r>
      <w:r>
        <w:rPr>
          <w:spacing w:val="-100"/>
        </w:rPr>
      </w:r>
      <w:r>
        <w:rPr/>
        <w:t>资产；保留了金融资产所有权上几乎所有的风险和报酬的，不终止确认该金融资产。</w:t>
      </w:r>
    </w:p>
    <w:p>
      <w:pPr>
        <w:pStyle w:val="BodyText"/>
        <w:spacing w:line="237" w:lineRule="auto" w:before="189"/>
        <w:ind w:left="562" w:right="255"/>
        <w:jc w:val="both"/>
      </w:pPr>
      <w:r>
        <w:rPr>
          <w:spacing w:val="-2"/>
        </w:rPr>
        <w:t>本公司既没有转移也没有保留金融资产所有权上几乎所有的风险和报酬的，分别下列情</w:t>
      </w:r>
      <w:r>
        <w:rPr>
          <w:spacing w:val="-100"/>
        </w:rPr>
        <w:t> </w:t>
      </w:r>
      <w:r>
        <w:rPr>
          <w:spacing w:val="-100"/>
        </w:rPr>
      </w:r>
      <w:r>
        <w:rPr/>
        <w:t>况处理：放弃了对该金融资产控制的，终止确认该金融资产并确认产生的资产和负债； </w:t>
      </w:r>
      <w:r>
        <w:rPr>
          <w:spacing w:val="4"/>
        </w:rPr>
        <w:t>未放弃对该金融资产控制的，按照其继续涉入所转移金融资产的程度确认有关金融资</w:t>
      </w:r>
      <w:r>
        <w:rPr>
          <w:spacing w:val="-113"/>
        </w:rPr>
        <w:t> </w:t>
      </w:r>
      <w:r>
        <w:rPr>
          <w:spacing w:val="-113"/>
        </w:rPr>
      </w:r>
      <w:r>
        <w:rPr/>
        <w:t>产，并相应确认有关负债。</w:t>
      </w:r>
    </w:p>
    <w:p>
      <w:pPr>
        <w:pStyle w:val="BodyText"/>
        <w:spacing w:line="379" w:lineRule="auto" w:before="214"/>
        <w:ind w:left="562" w:right="3837" w:hanging="420"/>
        <w:jc w:val="left"/>
      </w:pPr>
      <w:r>
        <w:rPr>
          <w:rFonts w:ascii="Times New Roman" w:hAnsi="Times New Roman" w:cs="Times New Roman" w:eastAsia="Times New Roman" w:hint="default"/>
        </w:rPr>
        <w:t>10</w:t>
      </w:r>
      <w:r>
        <w:rPr/>
        <w:t>、应收款项 应收款项包括应收账款、其他应收款、长期应收款。</w:t>
      </w:r>
    </w:p>
    <w:p>
      <w:pPr>
        <w:pStyle w:val="BodyText"/>
        <w:spacing w:line="240" w:lineRule="auto" w:before="74"/>
        <w:ind w:left="142" w:right="3837"/>
        <w:jc w:val="left"/>
      </w:pPr>
      <w:r>
        <w:rPr/>
        <w:t>（</w:t>
      </w:r>
      <w:r>
        <w:rPr>
          <w:rFonts w:ascii="Times New Roman" w:hAnsi="Times New Roman" w:cs="Times New Roman" w:eastAsia="Times New Roman" w:hint="default"/>
        </w:rPr>
        <w:t>1</w:t>
      </w:r>
      <w:r>
        <w:rPr/>
        <w:t>）单项金额重大并单项计提坏账准备的应收款项</w:t>
      </w:r>
    </w:p>
    <w:p>
      <w:pPr>
        <w:spacing w:line="240" w:lineRule="auto" w:before="4"/>
        <w:rPr>
          <w:rFonts w:ascii="宋体" w:hAnsi="宋体" w:cs="宋体" w:eastAsia="宋体" w:hint="default"/>
          <w:sz w:val="17"/>
          <w:szCs w:val="17"/>
        </w:rPr>
      </w:pPr>
    </w:p>
    <w:p>
      <w:pPr>
        <w:pStyle w:val="BodyText"/>
        <w:spacing w:line="312" w:lineRule="exact"/>
        <w:ind w:left="562" w:right="309"/>
        <w:jc w:val="both"/>
      </w:pPr>
      <w:r>
        <w:rPr/>
        <w:t>单项金额重大的判断依据或金额标准：期末余额达到</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spacing w:val="-5"/>
        </w:rPr>
        <w:t>万元（含</w:t>
      </w:r>
      <w:r>
        <w:rPr>
          <w:spacing w:val="-65"/>
        </w:rPr>
        <w:t> </w:t>
      </w:r>
      <w:r>
        <w:rPr>
          <w:rFonts w:ascii="Times New Roman" w:hAnsi="Times New Roman" w:cs="Times New Roman" w:eastAsia="Times New Roman" w:hint="default"/>
        </w:rPr>
        <w:t>500</w:t>
      </w:r>
      <w:r>
        <w:rPr>
          <w:rFonts w:ascii="Times New Roman" w:hAnsi="Times New Roman" w:cs="Times New Roman" w:eastAsia="Times New Roman" w:hint="default"/>
          <w:spacing w:val="-5"/>
        </w:rPr>
        <w:t> </w:t>
      </w:r>
      <w:r>
        <w:rPr>
          <w:spacing w:val="-3"/>
        </w:rPr>
        <w:t>万元）以上的应</w:t>
      </w:r>
      <w:r>
        <w:rPr/>
        <w:t> 收款项为单项金额重大的应收款项。</w:t>
      </w:r>
    </w:p>
    <w:p>
      <w:pPr>
        <w:pStyle w:val="BodyText"/>
        <w:spacing w:line="312" w:lineRule="exact" w:before="213"/>
        <w:ind w:left="562" w:right="307"/>
        <w:jc w:val="both"/>
      </w:pPr>
      <w:r>
        <w:rPr>
          <w:spacing w:val="-2"/>
        </w:rPr>
        <w:t>单项金额重大并单项计提坏账准备的计提方法：对于单项金额重大的应收款项单独进行</w:t>
      </w:r>
      <w:r>
        <w:rPr>
          <w:spacing w:val="-99"/>
        </w:rPr>
        <w:t> </w:t>
      </w:r>
      <w:r>
        <w:rPr>
          <w:spacing w:val="-99"/>
        </w:rPr>
      </w:r>
      <w:r>
        <w:rPr>
          <w:spacing w:val="-2"/>
        </w:rPr>
        <w:t>减值测试，有客观证据表明发生了减值，根据其未来现金流量现值低于其账面价值的差</w:t>
      </w:r>
      <w:r>
        <w:rPr>
          <w:spacing w:val="-98"/>
        </w:rPr>
        <w:t> </w:t>
      </w:r>
      <w:r>
        <w:rPr>
          <w:spacing w:val="-98"/>
        </w:rPr>
      </w:r>
      <w:r>
        <w:rPr/>
        <w:t>额计提坏账准备。</w:t>
      </w:r>
    </w:p>
    <w:p>
      <w:pPr>
        <w:pStyle w:val="BodyText"/>
        <w:spacing w:line="240" w:lineRule="auto" w:before="183"/>
        <w:ind w:left="562" w:right="0"/>
        <w:jc w:val="both"/>
      </w:pPr>
      <w:r>
        <w:rPr/>
        <w:t>单项金额重大经单独测试未发生减值的应收款项，再按组合计提坏账准备。</w:t>
      </w:r>
    </w:p>
    <w:p>
      <w:pPr>
        <w:pStyle w:val="BodyText"/>
        <w:spacing w:line="240" w:lineRule="auto" w:before="214"/>
        <w:ind w:left="142" w:right="3837"/>
        <w:jc w:val="left"/>
      </w:pPr>
      <w:r>
        <w:rPr/>
        <w:t>（</w:t>
      </w:r>
      <w:r>
        <w:rPr>
          <w:rFonts w:ascii="Times New Roman" w:hAnsi="Times New Roman" w:cs="Times New Roman" w:eastAsia="Times New Roman" w:hint="default"/>
        </w:rPr>
        <w:t>2</w:t>
      </w:r>
      <w:r>
        <w:rPr/>
        <w:t>）单项金额虽不重大但单项计提坏账准备的应收款项</w:t>
      </w:r>
    </w:p>
    <w:p>
      <w:pPr>
        <w:spacing w:line="240" w:lineRule="auto" w:before="1"/>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2974"/>
        <w:gridCol w:w="6299"/>
      </w:tblGrid>
      <w:tr>
        <w:trPr>
          <w:trHeight w:val="404" w:hRule="exact"/>
        </w:trPr>
        <w:tc>
          <w:tcPr>
            <w:tcW w:w="2974" w:type="dxa"/>
            <w:tcBorders>
              <w:top w:val="single" w:sz="8" w:space="0" w:color="000000"/>
              <w:left w:val="nil" w:sz="6" w:space="0" w:color="auto"/>
              <w:bottom w:val="single" w:sz="4"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单项计提坏账准备的理由</w:t>
            </w:r>
          </w:p>
        </w:tc>
        <w:tc>
          <w:tcPr>
            <w:tcW w:w="6299" w:type="dxa"/>
            <w:tcBorders>
              <w:top w:val="single" w:sz="8" w:space="0" w:color="000000"/>
              <w:left w:val="nil" w:sz="6" w:space="0" w:color="auto"/>
              <w:bottom w:val="single" w:sz="4" w:space="0" w:color="000000"/>
              <w:right w:val="nil" w:sz="6" w:space="0" w:color="auto"/>
            </w:tcBorders>
          </w:tcPr>
          <w:p>
            <w:pPr>
              <w:pStyle w:val="TableParagraph"/>
              <w:spacing w:line="312" w:lineRule="exact"/>
              <w:ind w:left="225" w:right="0"/>
              <w:jc w:val="left"/>
              <w:rPr>
                <w:rFonts w:ascii="宋体" w:hAnsi="宋体" w:cs="宋体" w:eastAsia="宋体" w:hint="default"/>
                <w:sz w:val="24"/>
                <w:szCs w:val="24"/>
              </w:rPr>
            </w:pPr>
            <w:r>
              <w:rPr>
                <w:rFonts w:ascii="宋体" w:hAnsi="宋体" w:cs="宋体" w:eastAsia="宋体" w:hint="default"/>
                <w:sz w:val="24"/>
                <w:szCs w:val="24"/>
              </w:rPr>
              <w:t>涉诉款项、客户信用状况恶化的应收款项</w:t>
            </w:r>
          </w:p>
        </w:tc>
      </w:tr>
      <w:tr>
        <w:trPr>
          <w:trHeight w:val="638" w:hRule="exact"/>
        </w:trPr>
        <w:tc>
          <w:tcPr>
            <w:tcW w:w="2974" w:type="dxa"/>
            <w:tcBorders>
              <w:top w:val="single" w:sz="4" w:space="0" w:color="000000"/>
              <w:left w:val="nil" w:sz="6" w:space="0" w:color="auto"/>
              <w:bottom w:val="single" w:sz="8" w:space="0" w:color="000000"/>
              <w:right w:val="nil" w:sz="6" w:space="0" w:color="auto"/>
            </w:tcBorders>
          </w:tcPr>
          <w:p>
            <w:pPr>
              <w:pStyle w:val="TableParagraph"/>
              <w:spacing w:line="240" w:lineRule="auto" w:before="115"/>
              <w:ind w:left="108" w:right="0"/>
              <w:jc w:val="left"/>
              <w:rPr>
                <w:rFonts w:ascii="宋体" w:hAnsi="宋体" w:cs="宋体" w:eastAsia="宋体" w:hint="default"/>
                <w:sz w:val="24"/>
                <w:szCs w:val="24"/>
              </w:rPr>
            </w:pPr>
            <w:r>
              <w:rPr>
                <w:rFonts w:ascii="宋体" w:hAnsi="宋体" w:cs="宋体" w:eastAsia="宋体" w:hint="default"/>
                <w:sz w:val="24"/>
                <w:szCs w:val="24"/>
              </w:rPr>
              <w:t>坏账准备的计提方法</w:t>
            </w:r>
          </w:p>
        </w:tc>
        <w:tc>
          <w:tcPr>
            <w:tcW w:w="6299" w:type="dxa"/>
            <w:tcBorders>
              <w:top w:val="single" w:sz="4" w:space="0" w:color="000000"/>
              <w:left w:val="nil" w:sz="6" w:space="0" w:color="auto"/>
              <w:bottom w:val="single" w:sz="8" w:space="0" w:color="000000"/>
              <w:right w:val="nil" w:sz="6" w:space="0" w:color="auto"/>
            </w:tcBorders>
          </w:tcPr>
          <w:p>
            <w:pPr>
              <w:pStyle w:val="TableParagraph"/>
              <w:spacing w:line="274" w:lineRule="exact"/>
              <w:ind w:left="225" w:right="0"/>
              <w:jc w:val="left"/>
              <w:rPr>
                <w:rFonts w:ascii="宋体" w:hAnsi="宋体" w:cs="宋体" w:eastAsia="宋体" w:hint="default"/>
                <w:sz w:val="24"/>
                <w:szCs w:val="24"/>
              </w:rPr>
            </w:pPr>
            <w:r>
              <w:rPr>
                <w:rFonts w:ascii="宋体" w:hAnsi="宋体" w:cs="宋体" w:eastAsia="宋体" w:hint="default"/>
                <w:spacing w:val="7"/>
                <w:sz w:val="24"/>
                <w:szCs w:val="24"/>
              </w:rPr>
              <w:t>根据其未来现金流量现值低于其账面价值的差额计提坏</w:t>
            </w:r>
          </w:p>
          <w:p>
            <w:pPr>
              <w:pStyle w:val="TableParagraph"/>
              <w:spacing w:line="312" w:lineRule="exact"/>
              <w:ind w:left="225" w:right="0"/>
              <w:jc w:val="left"/>
              <w:rPr>
                <w:rFonts w:ascii="宋体" w:hAnsi="宋体" w:cs="宋体" w:eastAsia="宋体" w:hint="default"/>
                <w:sz w:val="24"/>
                <w:szCs w:val="24"/>
              </w:rPr>
            </w:pPr>
            <w:r>
              <w:rPr>
                <w:rFonts w:ascii="宋体" w:hAnsi="宋体" w:cs="宋体" w:eastAsia="宋体" w:hint="default"/>
                <w:sz w:val="24"/>
                <w:szCs w:val="24"/>
              </w:rPr>
              <w:t>账准备</w:t>
            </w:r>
          </w:p>
        </w:tc>
      </w:tr>
    </w:tbl>
    <w:p>
      <w:pPr>
        <w:pStyle w:val="BodyText"/>
        <w:spacing w:line="240" w:lineRule="auto" w:before="79"/>
        <w:ind w:left="562" w:right="0"/>
        <w:jc w:val="left"/>
      </w:pPr>
      <w:r>
        <w:rPr/>
        <w:t>本公司之子公司日本超图株式会社的长期房屋租赁押金、电话权押金不计提坏账准备。</w:t>
      </w:r>
    </w:p>
    <w:p>
      <w:pPr>
        <w:pStyle w:val="BodyText"/>
        <w:spacing w:line="240" w:lineRule="auto" w:before="214"/>
        <w:ind w:left="142" w:right="3837"/>
        <w:jc w:val="left"/>
      </w:pPr>
      <w:r>
        <w:rPr/>
        <w:t>（</w:t>
      </w:r>
      <w:r>
        <w:rPr>
          <w:rFonts w:ascii="Times New Roman" w:hAnsi="Times New Roman" w:cs="Times New Roman" w:eastAsia="Times New Roman" w:hint="default"/>
        </w:rPr>
        <w:t>3</w:t>
      </w:r>
      <w:r>
        <w:rPr/>
        <w:t>）按组合计提坏账准备应收款项</w:t>
      </w:r>
    </w:p>
    <w:p>
      <w:pPr>
        <w:spacing w:after="0" w:line="240" w:lineRule="auto"/>
        <w:jc w:val="left"/>
        <w:sectPr>
          <w:footerReference w:type="default" r:id="rId58"/>
          <w:pgSz w:w="11900" w:h="16850"/>
          <w:pgMar w:footer="919" w:header="771" w:top="1720" w:bottom="1100" w:left="1140" w:right="820"/>
          <w:pgNumType w:start="121"/>
        </w:sectPr>
      </w:pPr>
    </w:p>
    <w:p>
      <w:pPr>
        <w:spacing w:line="240" w:lineRule="auto" w:before="10"/>
        <w:rPr>
          <w:rFonts w:ascii="宋体" w:hAnsi="宋体" w:cs="宋体" w:eastAsia="宋体" w:hint="default"/>
          <w:sz w:val="14"/>
          <w:szCs w:val="14"/>
        </w:rPr>
      </w:pPr>
    </w:p>
    <w:p>
      <w:pPr>
        <w:pStyle w:val="BodyText"/>
        <w:spacing w:line="403" w:lineRule="auto" w:before="26"/>
        <w:ind w:left="562" w:right="0"/>
        <w:jc w:val="left"/>
      </w:pPr>
      <w:r>
        <w:rPr>
          <w:spacing w:val="-2"/>
        </w:rPr>
        <w:t>经单独测试后未减值的应收款项（包括单项金额重大和不重大的应收款项）以及未单独</w:t>
      </w:r>
      <w:r>
        <w:rPr>
          <w:spacing w:val="-98"/>
        </w:rPr>
        <w:t> </w:t>
      </w:r>
      <w:r>
        <w:rPr>
          <w:spacing w:val="-98"/>
        </w:rPr>
      </w:r>
      <w:r>
        <w:rPr/>
        <w:t>测试的单项金额不重大的应收款项，按以下信用风险组合计提坏账准备。</w:t>
      </w:r>
    </w:p>
    <w:p>
      <w:pPr>
        <w:spacing w:line="240" w:lineRule="auto" w:before="10"/>
        <w:rPr>
          <w:rFonts w:ascii="宋体" w:hAnsi="宋体" w:cs="宋体" w:eastAsia="宋体" w:hint="default"/>
          <w:sz w:val="6"/>
          <w:szCs w:val="6"/>
        </w:rPr>
      </w:pPr>
    </w:p>
    <w:tbl>
      <w:tblPr>
        <w:tblW w:w="0" w:type="auto"/>
        <w:jc w:val="left"/>
        <w:tblInd w:w="454" w:type="dxa"/>
        <w:tblLayout w:type="fixed"/>
        <w:tblCellMar>
          <w:top w:w="0" w:type="dxa"/>
          <w:left w:w="0" w:type="dxa"/>
          <w:bottom w:w="0" w:type="dxa"/>
          <w:right w:w="0" w:type="dxa"/>
        </w:tblCellMar>
        <w:tblLook w:val="01E0"/>
      </w:tblPr>
      <w:tblGrid>
        <w:gridCol w:w="2275"/>
        <w:gridCol w:w="3207"/>
        <w:gridCol w:w="3800"/>
      </w:tblGrid>
      <w:tr>
        <w:trPr>
          <w:trHeight w:val="406" w:hRule="exact"/>
        </w:trPr>
        <w:tc>
          <w:tcPr>
            <w:tcW w:w="2275" w:type="dxa"/>
            <w:tcBorders>
              <w:top w:val="single" w:sz="8" w:space="0" w:color="000000"/>
              <w:left w:val="nil" w:sz="6" w:space="0" w:color="auto"/>
              <w:bottom w:val="single" w:sz="4" w:space="0" w:color="000000"/>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b/>
                <w:bCs/>
                <w:sz w:val="24"/>
                <w:szCs w:val="24"/>
              </w:rPr>
              <w:t>组合类型</w:t>
            </w:r>
            <w:r>
              <w:rPr>
                <w:rFonts w:ascii="宋体" w:hAnsi="宋体" w:cs="宋体" w:eastAsia="宋体" w:hint="default"/>
                <w:sz w:val="24"/>
                <w:szCs w:val="24"/>
              </w:rPr>
            </w:r>
          </w:p>
        </w:tc>
        <w:tc>
          <w:tcPr>
            <w:tcW w:w="320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315"/>
              <w:jc w:val="right"/>
              <w:rPr>
                <w:rFonts w:ascii="宋体" w:hAnsi="宋体" w:cs="宋体" w:eastAsia="宋体" w:hint="default"/>
                <w:sz w:val="24"/>
                <w:szCs w:val="24"/>
              </w:rPr>
            </w:pPr>
            <w:r>
              <w:rPr>
                <w:rFonts w:ascii="宋体" w:hAnsi="宋体" w:cs="宋体" w:eastAsia="宋体" w:hint="default"/>
                <w:b/>
                <w:bCs/>
                <w:w w:val="95"/>
                <w:sz w:val="24"/>
                <w:szCs w:val="24"/>
              </w:rPr>
              <w:t>确定组合的依据</w:t>
            </w:r>
            <w:r>
              <w:rPr>
                <w:rFonts w:ascii="宋体" w:hAnsi="宋体" w:cs="宋体" w:eastAsia="宋体" w:hint="default"/>
                <w:sz w:val="24"/>
                <w:szCs w:val="24"/>
              </w:rPr>
            </w:r>
          </w:p>
        </w:tc>
        <w:tc>
          <w:tcPr>
            <w:tcW w:w="380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108"/>
              <w:jc w:val="right"/>
              <w:rPr>
                <w:rFonts w:ascii="宋体" w:hAnsi="宋体" w:cs="宋体" w:eastAsia="宋体" w:hint="default"/>
                <w:sz w:val="24"/>
                <w:szCs w:val="24"/>
              </w:rPr>
            </w:pPr>
            <w:r>
              <w:rPr>
                <w:rFonts w:ascii="宋体" w:hAnsi="宋体" w:cs="宋体" w:eastAsia="宋体" w:hint="default"/>
                <w:b/>
                <w:bCs/>
                <w:w w:val="95"/>
                <w:sz w:val="24"/>
                <w:szCs w:val="24"/>
              </w:rPr>
              <w:t>按组合计提坏账准备的计提方法</w:t>
            </w:r>
            <w:r>
              <w:rPr>
                <w:rFonts w:ascii="宋体" w:hAnsi="宋体" w:cs="宋体" w:eastAsia="宋体" w:hint="default"/>
                <w:sz w:val="24"/>
                <w:szCs w:val="24"/>
              </w:rPr>
            </w:r>
          </w:p>
        </w:tc>
      </w:tr>
      <w:tr>
        <w:trPr>
          <w:trHeight w:val="406" w:hRule="exact"/>
        </w:trPr>
        <w:tc>
          <w:tcPr>
            <w:tcW w:w="2275" w:type="dxa"/>
            <w:tcBorders>
              <w:top w:val="single" w:sz="4" w:space="0" w:color="000000"/>
              <w:left w:val="nil" w:sz="6" w:space="0" w:color="auto"/>
              <w:bottom w:val="single" w:sz="8" w:space="0" w:color="000000"/>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3207"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316"/>
              <w:jc w:val="right"/>
              <w:rPr>
                <w:rFonts w:ascii="宋体" w:hAnsi="宋体" w:cs="宋体" w:eastAsia="宋体" w:hint="default"/>
                <w:sz w:val="24"/>
                <w:szCs w:val="24"/>
              </w:rPr>
            </w:pPr>
            <w:r>
              <w:rPr>
                <w:rFonts w:ascii="宋体" w:hAnsi="宋体" w:cs="宋体" w:eastAsia="宋体" w:hint="default"/>
                <w:sz w:val="24"/>
                <w:szCs w:val="24"/>
              </w:rPr>
              <w:t>账龄状态</w:t>
            </w:r>
          </w:p>
        </w:tc>
        <w:tc>
          <w:tcPr>
            <w:tcW w:w="3800"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106"/>
              <w:jc w:val="right"/>
              <w:rPr>
                <w:rFonts w:ascii="宋体" w:hAnsi="宋体" w:cs="宋体" w:eastAsia="宋体" w:hint="default"/>
                <w:sz w:val="24"/>
                <w:szCs w:val="24"/>
              </w:rPr>
            </w:pPr>
            <w:r>
              <w:rPr>
                <w:rFonts w:ascii="宋体" w:hAnsi="宋体" w:cs="宋体" w:eastAsia="宋体" w:hint="default"/>
                <w:sz w:val="24"/>
                <w:szCs w:val="24"/>
              </w:rPr>
              <w:t>账龄分析法</w:t>
            </w:r>
          </w:p>
        </w:tc>
      </w:tr>
    </w:tbl>
    <w:p>
      <w:pPr>
        <w:pStyle w:val="BodyText"/>
        <w:spacing w:line="240" w:lineRule="auto" w:before="79"/>
        <w:ind w:left="562" w:right="0"/>
        <w:jc w:val="left"/>
      </w:pPr>
      <w:r>
        <w:rPr/>
        <w:t>①</w:t>
      </w:r>
      <w:r>
        <w:rPr>
          <w:spacing w:val="-1"/>
        </w:rPr>
        <w:t> </w:t>
      </w:r>
      <w:r>
        <w:rPr/>
        <w:t>应收账款、其他应收款对账龄组合采用账龄分析法计提坏账准备的比例如下：</w:t>
      </w:r>
    </w:p>
    <w:p>
      <w:pPr>
        <w:spacing w:line="240" w:lineRule="auto" w:before="6"/>
        <w:rPr>
          <w:rFonts w:ascii="宋体" w:hAnsi="宋体" w:cs="宋体" w:eastAsia="宋体" w:hint="default"/>
          <w:sz w:val="19"/>
          <w:szCs w:val="19"/>
        </w:rPr>
      </w:pPr>
    </w:p>
    <w:tbl>
      <w:tblPr>
        <w:tblW w:w="0" w:type="auto"/>
        <w:jc w:val="left"/>
        <w:tblInd w:w="562" w:type="dxa"/>
        <w:tblLayout w:type="fixed"/>
        <w:tblCellMar>
          <w:top w:w="0" w:type="dxa"/>
          <w:left w:w="0" w:type="dxa"/>
          <w:bottom w:w="0" w:type="dxa"/>
          <w:right w:w="0" w:type="dxa"/>
        </w:tblCellMar>
        <w:tblLook w:val="01E0"/>
      </w:tblPr>
      <w:tblGrid>
        <w:gridCol w:w="3024"/>
        <w:gridCol w:w="3308"/>
        <w:gridCol w:w="2842"/>
      </w:tblGrid>
      <w:tr>
        <w:trPr>
          <w:trHeight w:val="406" w:hRule="exact"/>
        </w:trPr>
        <w:tc>
          <w:tcPr>
            <w:tcW w:w="3024"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b/>
                <w:bCs/>
                <w:sz w:val="24"/>
                <w:szCs w:val="24"/>
              </w:rPr>
              <w:t>账</w:t>
            </w:r>
            <w:r>
              <w:rPr>
                <w:rFonts w:ascii="宋体" w:hAnsi="宋体" w:cs="宋体" w:eastAsia="宋体" w:hint="default"/>
                <w:b/>
                <w:bCs/>
                <w:spacing w:val="-1"/>
                <w:sz w:val="24"/>
                <w:szCs w:val="24"/>
              </w:rPr>
              <w:t> </w:t>
            </w:r>
            <w:r>
              <w:rPr>
                <w:rFonts w:ascii="宋体" w:hAnsi="宋体" w:cs="宋体" w:eastAsia="宋体" w:hint="default"/>
                <w:b/>
                <w:bCs/>
                <w:sz w:val="24"/>
                <w:szCs w:val="24"/>
              </w:rPr>
              <w:t>龄</w:t>
            </w:r>
            <w:r>
              <w:rPr>
                <w:rFonts w:ascii="宋体" w:hAnsi="宋体" w:cs="宋体" w:eastAsia="宋体" w:hint="default"/>
                <w:sz w:val="24"/>
                <w:szCs w:val="24"/>
              </w:rPr>
            </w:r>
          </w:p>
        </w:tc>
        <w:tc>
          <w:tcPr>
            <w:tcW w:w="3308"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322"/>
              <w:jc w:val="righ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应收账款计提比例</w:t>
            </w:r>
            <w:r>
              <w:rPr>
                <w:rFonts w:ascii="Times New Roman" w:hAnsi="Times New Roman" w:cs="Times New Roman" w:eastAsia="Times New Roman" w:hint="default"/>
                <w:b/>
                <w:bCs/>
                <w:w w:val="95"/>
                <w:sz w:val="24"/>
                <w:szCs w:val="24"/>
              </w:rPr>
              <w:t>%</w:t>
            </w:r>
            <w:r>
              <w:rPr>
                <w:rFonts w:ascii="Times New Roman" w:hAnsi="Times New Roman" w:cs="Times New Roman" w:eastAsia="Times New Roman" w:hint="default"/>
                <w:w w:val="95"/>
                <w:sz w:val="24"/>
                <w:szCs w:val="24"/>
              </w:rPr>
            </w:r>
          </w:p>
        </w:tc>
        <w:tc>
          <w:tcPr>
            <w:tcW w:w="2842"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106"/>
              <w:jc w:val="righ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其他应收款计提比例</w:t>
            </w:r>
            <w:r>
              <w:rPr>
                <w:rFonts w:ascii="Times New Roman" w:hAnsi="Times New Roman" w:cs="Times New Roman" w:eastAsia="Times New Roman" w:hint="default"/>
                <w:b/>
                <w:bCs/>
                <w:w w:val="95"/>
                <w:sz w:val="24"/>
                <w:szCs w:val="24"/>
              </w:rPr>
              <w:t>%</w:t>
            </w:r>
            <w:r>
              <w:rPr>
                <w:rFonts w:ascii="Times New Roman" w:hAnsi="Times New Roman" w:cs="Times New Roman" w:eastAsia="Times New Roman" w:hint="default"/>
                <w:w w:val="95"/>
                <w:sz w:val="24"/>
                <w:szCs w:val="24"/>
              </w:rPr>
            </w:r>
          </w:p>
        </w:tc>
      </w:tr>
      <w:tr>
        <w:trPr>
          <w:trHeight w:val="399" w:hRule="exact"/>
        </w:trPr>
        <w:tc>
          <w:tcPr>
            <w:tcW w:w="3024" w:type="dxa"/>
            <w:tcBorders>
              <w:top w:val="single" w:sz="4" w:space="0" w:color="000000"/>
              <w:left w:val="nil" w:sz="6" w:space="0" w:color="auto"/>
              <w:bottom w:val="nil" w:sz="6" w:space="0" w:color="auto"/>
              <w:right w:val="nil" w:sz="6" w:space="0" w:color="auto"/>
            </w:tcBorders>
          </w:tcPr>
          <w:p>
            <w:pPr>
              <w:pStyle w:val="TableParagraph"/>
              <w:spacing w:line="330"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年以内（含</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年）</w:t>
            </w:r>
          </w:p>
        </w:tc>
        <w:tc>
          <w:tcPr>
            <w:tcW w:w="330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22"/>
              <w:jc w:val="right"/>
              <w:rPr>
                <w:rFonts w:ascii="Times New Roman" w:hAnsi="Times New Roman" w:cs="Times New Roman" w:eastAsia="Times New Roman" w:hint="default"/>
                <w:sz w:val="24"/>
                <w:szCs w:val="24"/>
              </w:rPr>
            </w:pPr>
            <w:r>
              <w:rPr>
                <w:rFonts w:ascii="Times New Roman"/>
                <w:sz w:val="24"/>
              </w:rPr>
              <w:t>5</w:t>
            </w:r>
          </w:p>
        </w:tc>
        <w:tc>
          <w:tcPr>
            <w:tcW w:w="284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5</w:t>
            </w:r>
          </w:p>
        </w:tc>
      </w:tr>
      <w:tr>
        <w:trPr>
          <w:trHeight w:val="390"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327"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2"/>
              <w:jc w:val="right"/>
              <w:rPr>
                <w:rFonts w:ascii="Times New Roman" w:hAnsi="Times New Roman" w:cs="Times New Roman" w:eastAsia="Times New Roman" w:hint="default"/>
                <w:sz w:val="24"/>
                <w:szCs w:val="24"/>
              </w:rPr>
            </w:pPr>
            <w:r>
              <w:rPr>
                <w:rFonts w:ascii="Times New Roman"/>
                <w:sz w:val="24"/>
              </w:rPr>
              <w:t>20</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4"/>
                <w:szCs w:val="24"/>
              </w:rPr>
            </w:pPr>
            <w:r>
              <w:rPr>
                <w:rFonts w:ascii="Times New Roman"/>
                <w:sz w:val="24"/>
              </w:rPr>
              <w:t>20</w:t>
            </w:r>
          </w:p>
        </w:tc>
      </w:tr>
      <w:tr>
        <w:trPr>
          <w:trHeight w:val="390"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326"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22"/>
              <w:jc w:val="right"/>
              <w:rPr>
                <w:rFonts w:ascii="Times New Roman" w:hAnsi="Times New Roman" w:cs="Times New Roman" w:eastAsia="Times New Roman" w:hint="default"/>
                <w:sz w:val="24"/>
                <w:szCs w:val="24"/>
              </w:rPr>
            </w:pPr>
            <w:r>
              <w:rPr>
                <w:rFonts w:ascii="Times New Roman"/>
                <w:sz w:val="24"/>
              </w:rPr>
              <w:t>50</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4"/>
                <w:szCs w:val="24"/>
              </w:rPr>
            </w:pPr>
            <w:r>
              <w:rPr>
                <w:rFonts w:ascii="Times New Roman"/>
                <w:sz w:val="24"/>
              </w:rPr>
              <w:t>50</w:t>
            </w:r>
          </w:p>
        </w:tc>
      </w:tr>
      <w:tr>
        <w:trPr>
          <w:trHeight w:val="395" w:hRule="exact"/>
        </w:trPr>
        <w:tc>
          <w:tcPr>
            <w:tcW w:w="3024" w:type="dxa"/>
            <w:tcBorders>
              <w:top w:val="nil" w:sz="6" w:space="0" w:color="auto"/>
              <w:left w:val="nil" w:sz="6" w:space="0" w:color="auto"/>
              <w:bottom w:val="single" w:sz="8" w:space="0" w:color="000000"/>
              <w:right w:val="nil" w:sz="6" w:space="0" w:color="auto"/>
            </w:tcBorders>
          </w:tcPr>
          <w:p>
            <w:pPr>
              <w:pStyle w:val="TableParagraph"/>
              <w:spacing w:line="327" w:lineRule="exact"/>
              <w:ind w:left="1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 </w:t>
            </w:r>
            <w:r>
              <w:rPr>
                <w:rFonts w:ascii="宋体" w:hAnsi="宋体" w:cs="宋体" w:eastAsia="宋体" w:hint="default"/>
                <w:sz w:val="24"/>
                <w:szCs w:val="24"/>
              </w:rPr>
              <w:t>年以上</w:t>
            </w:r>
          </w:p>
        </w:tc>
        <w:tc>
          <w:tcPr>
            <w:tcW w:w="3308"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322"/>
              <w:jc w:val="right"/>
              <w:rPr>
                <w:rFonts w:ascii="Times New Roman" w:hAnsi="Times New Roman" w:cs="Times New Roman" w:eastAsia="Times New Roman" w:hint="default"/>
                <w:sz w:val="24"/>
                <w:szCs w:val="24"/>
              </w:rPr>
            </w:pPr>
            <w:r>
              <w:rPr>
                <w:rFonts w:ascii="Times New Roman"/>
                <w:sz w:val="24"/>
              </w:rPr>
              <w:t>100</w:t>
            </w:r>
          </w:p>
        </w:tc>
        <w:tc>
          <w:tcPr>
            <w:tcW w:w="2842"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4"/>
                <w:szCs w:val="24"/>
              </w:rPr>
            </w:pPr>
            <w:r>
              <w:rPr>
                <w:rFonts w:ascii="Times New Roman"/>
                <w:sz w:val="24"/>
              </w:rPr>
              <w:t>100</w:t>
            </w:r>
          </w:p>
        </w:tc>
      </w:tr>
    </w:tbl>
    <w:p>
      <w:pPr>
        <w:pStyle w:val="BodyText"/>
        <w:spacing w:line="240" w:lineRule="auto" w:before="79"/>
        <w:ind w:left="562" w:right="0"/>
        <w:jc w:val="left"/>
      </w:pPr>
      <w:r>
        <w:rPr/>
        <w:t>②</w:t>
      </w:r>
      <w:r>
        <w:rPr>
          <w:spacing w:val="-1"/>
        </w:rPr>
        <w:t> </w:t>
      </w:r>
      <w:r>
        <w:rPr/>
        <w:t>长期应收款对账龄组合采用账龄分析法计提坏账准备的比例如下：</w:t>
      </w:r>
    </w:p>
    <w:p>
      <w:pPr>
        <w:spacing w:line="240" w:lineRule="auto" w:before="6"/>
        <w:rPr>
          <w:rFonts w:ascii="宋体" w:hAnsi="宋体" w:cs="宋体" w:eastAsia="宋体" w:hint="default"/>
          <w:sz w:val="19"/>
          <w:szCs w:val="19"/>
        </w:rPr>
      </w:pPr>
    </w:p>
    <w:tbl>
      <w:tblPr>
        <w:tblW w:w="0" w:type="auto"/>
        <w:jc w:val="left"/>
        <w:tblInd w:w="454" w:type="dxa"/>
        <w:tblLayout w:type="fixed"/>
        <w:tblCellMar>
          <w:top w:w="0" w:type="dxa"/>
          <w:left w:w="0" w:type="dxa"/>
          <w:bottom w:w="0" w:type="dxa"/>
          <w:right w:w="0" w:type="dxa"/>
        </w:tblCellMar>
        <w:tblLook w:val="01E0"/>
      </w:tblPr>
      <w:tblGrid>
        <w:gridCol w:w="4036"/>
        <w:gridCol w:w="5247"/>
      </w:tblGrid>
      <w:tr>
        <w:trPr>
          <w:trHeight w:val="406" w:hRule="exact"/>
        </w:trPr>
        <w:tc>
          <w:tcPr>
            <w:tcW w:w="4036" w:type="dxa"/>
            <w:tcBorders>
              <w:top w:val="single" w:sz="8" w:space="0" w:color="000000"/>
              <w:left w:val="nil" w:sz="6" w:space="0" w:color="auto"/>
              <w:bottom w:val="single" w:sz="4" w:space="0" w:color="000000"/>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b/>
                <w:bCs/>
                <w:sz w:val="24"/>
                <w:szCs w:val="24"/>
              </w:rPr>
              <w:t>账</w:t>
            </w:r>
            <w:r>
              <w:rPr>
                <w:rFonts w:ascii="宋体" w:hAnsi="宋体" w:cs="宋体" w:eastAsia="宋体" w:hint="default"/>
                <w:b/>
                <w:bCs/>
                <w:spacing w:val="-1"/>
                <w:sz w:val="24"/>
                <w:szCs w:val="24"/>
              </w:rPr>
              <w:t> </w:t>
            </w:r>
            <w:r>
              <w:rPr>
                <w:rFonts w:ascii="宋体" w:hAnsi="宋体" w:cs="宋体" w:eastAsia="宋体" w:hint="default"/>
                <w:b/>
                <w:bCs/>
                <w:sz w:val="24"/>
                <w:szCs w:val="24"/>
              </w:rPr>
              <w:t>龄</w:t>
            </w:r>
            <w:r>
              <w:rPr>
                <w:rFonts w:ascii="宋体" w:hAnsi="宋体" w:cs="宋体" w:eastAsia="宋体" w:hint="default"/>
                <w:sz w:val="24"/>
                <w:szCs w:val="24"/>
              </w:rPr>
            </w:r>
          </w:p>
        </w:tc>
        <w:tc>
          <w:tcPr>
            <w:tcW w:w="524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106"/>
              <w:jc w:val="righ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长期应收账款计提比例</w:t>
            </w:r>
            <w:r>
              <w:rPr>
                <w:rFonts w:ascii="Times New Roman" w:hAnsi="Times New Roman" w:cs="Times New Roman" w:eastAsia="Times New Roman" w:hint="default"/>
                <w:b/>
                <w:bCs/>
                <w:w w:val="95"/>
                <w:sz w:val="24"/>
                <w:szCs w:val="24"/>
              </w:rPr>
              <w:t>%</w:t>
            </w:r>
            <w:r>
              <w:rPr>
                <w:rFonts w:ascii="Times New Roman" w:hAnsi="Times New Roman" w:cs="Times New Roman" w:eastAsia="Times New Roman" w:hint="default"/>
                <w:w w:val="95"/>
                <w:sz w:val="24"/>
                <w:szCs w:val="24"/>
              </w:rPr>
            </w:r>
          </w:p>
        </w:tc>
      </w:tr>
      <w:tr>
        <w:trPr>
          <w:trHeight w:val="397" w:hRule="exact"/>
        </w:trPr>
        <w:tc>
          <w:tcPr>
            <w:tcW w:w="4036" w:type="dxa"/>
            <w:tcBorders>
              <w:top w:val="single" w:sz="4" w:space="0" w:color="000000"/>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未到收款期</w:t>
            </w:r>
          </w:p>
        </w:tc>
        <w:tc>
          <w:tcPr>
            <w:tcW w:w="5247"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06"/>
              <w:jc w:val="right"/>
              <w:rPr>
                <w:rFonts w:ascii="Times New Roman" w:hAnsi="Times New Roman" w:cs="Times New Roman" w:eastAsia="Times New Roman" w:hint="default"/>
                <w:sz w:val="24"/>
                <w:szCs w:val="24"/>
              </w:rPr>
            </w:pPr>
            <w:r>
              <w:rPr>
                <w:rFonts w:ascii="Times New Roman"/>
                <w:sz w:val="24"/>
              </w:rPr>
              <w:t>5</w:t>
            </w:r>
          </w:p>
        </w:tc>
      </w:tr>
      <w:tr>
        <w:trPr>
          <w:trHeight w:val="392"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330" w:lineRule="exact"/>
              <w:ind w:left="108" w:right="0"/>
              <w:jc w:val="left"/>
              <w:rPr>
                <w:rFonts w:ascii="宋体" w:hAnsi="宋体" w:cs="宋体" w:eastAsia="宋体" w:hint="default"/>
                <w:sz w:val="24"/>
                <w:szCs w:val="24"/>
              </w:rPr>
            </w:pPr>
            <w:r>
              <w:rPr>
                <w:rFonts w:ascii="宋体" w:hAnsi="宋体" w:cs="宋体" w:eastAsia="宋体" w:hint="default"/>
                <w:sz w:val="24"/>
                <w:szCs w:val="24"/>
              </w:rPr>
              <w:t>逾期</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年以内</w:t>
            </w:r>
          </w:p>
        </w:tc>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4"/>
                <w:szCs w:val="24"/>
              </w:rPr>
            </w:pPr>
            <w:r>
              <w:rPr>
                <w:rFonts w:ascii="Times New Roman"/>
                <w:sz w:val="24"/>
              </w:rPr>
              <w:t>20</w:t>
            </w:r>
          </w:p>
        </w:tc>
      </w:tr>
      <w:tr>
        <w:trPr>
          <w:trHeight w:val="390" w:hRule="exact"/>
        </w:trPr>
        <w:tc>
          <w:tcPr>
            <w:tcW w:w="4036" w:type="dxa"/>
            <w:tcBorders>
              <w:top w:val="nil" w:sz="6" w:space="0" w:color="auto"/>
              <w:left w:val="nil" w:sz="6" w:space="0" w:color="auto"/>
              <w:bottom w:val="nil" w:sz="6" w:space="0" w:color="auto"/>
              <w:right w:val="nil" w:sz="6" w:space="0" w:color="auto"/>
            </w:tcBorders>
          </w:tcPr>
          <w:p>
            <w:pPr>
              <w:pStyle w:val="TableParagraph"/>
              <w:spacing w:line="326" w:lineRule="exact"/>
              <w:ind w:left="108" w:right="0"/>
              <w:jc w:val="left"/>
              <w:rPr>
                <w:rFonts w:ascii="宋体" w:hAnsi="宋体" w:cs="宋体" w:eastAsia="宋体" w:hint="default"/>
                <w:sz w:val="24"/>
                <w:szCs w:val="24"/>
              </w:rPr>
            </w:pPr>
            <w:r>
              <w:rPr>
                <w:rFonts w:ascii="宋体" w:hAnsi="宋体" w:cs="宋体" w:eastAsia="宋体" w:hint="default"/>
                <w:sz w:val="24"/>
                <w:szCs w:val="24"/>
              </w:rPr>
              <w:t>逾期</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年</w:t>
            </w:r>
          </w:p>
        </w:tc>
        <w:tc>
          <w:tcPr>
            <w:tcW w:w="524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24"/>
                <w:szCs w:val="24"/>
              </w:rPr>
            </w:pPr>
            <w:r>
              <w:rPr>
                <w:rFonts w:ascii="Times New Roman"/>
                <w:sz w:val="24"/>
              </w:rPr>
              <w:t>50</w:t>
            </w:r>
          </w:p>
        </w:tc>
      </w:tr>
      <w:tr>
        <w:trPr>
          <w:trHeight w:val="395" w:hRule="exact"/>
        </w:trPr>
        <w:tc>
          <w:tcPr>
            <w:tcW w:w="4036" w:type="dxa"/>
            <w:tcBorders>
              <w:top w:val="nil" w:sz="6" w:space="0" w:color="auto"/>
              <w:left w:val="nil" w:sz="6" w:space="0" w:color="auto"/>
              <w:bottom w:val="single" w:sz="8" w:space="0" w:color="000000"/>
              <w:right w:val="nil" w:sz="6" w:space="0" w:color="auto"/>
            </w:tcBorders>
          </w:tcPr>
          <w:p>
            <w:pPr>
              <w:pStyle w:val="TableParagraph"/>
              <w:spacing w:line="327" w:lineRule="exact"/>
              <w:ind w:left="108" w:right="0"/>
              <w:jc w:val="left"/>
              <w:rPr>
                <w:rFonts w:ascii="宋体" w:hAnsi="宋体" w:cs="宋体" w:eastAsia="宋体" w:hint="default"/>
                <w:sz w:val="24"/>
                <w:szCs w:val="24"/>
              </w:rPr>
            </w:pPr>
            <w:r>
              <w:rPr>
                <w:rFonts w:ascii="宋体" w:hAnsi="宋体" w:cs="宋体" w:eastAsia="宋体" w:hint="default"/>
                <w:sz w:val="24"/>
                <w:szCs w:val="24"/>
              </w:rPr>
              <w:t>逾期</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2 </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年</w:t>
            </w:r>
          </w:p>
        </w:tc>
        <w:tc>
          <w:tcPr>
            <w:tcW w:w="5247"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24"/>
                <w:szCs w:val="24"/>
              </w:rPr>
            </w:pPr>
            <w:r>
              <w:rPr>
                <w:rFonts w:ascii="Times New Roman"/>
                <w:sz w:val="24"/>
              </w:rPr>
              <w:t>100</w:t>
            </w:r>
          </w:p>
        </w:tc>
      </w:tr>
    </w:tbl>
    <w:p>
      <w:pPr>
        <w:pStyle w:val="BodyText"/>
        <w:spacing w:line="240" w:lineRule="auto" w:before="79"/>
        <w:ind w:left="142" w:right="0"/>
        <w:jc w:val="left"/>
      </w:pPr>
      <w:r>
        <w:rPr>
          <w:rFonts w:ascii="Times New Roman" w:hAnsi="Times New Roman" w:cs="Times New Roman" w:eastAsia="Times New Roman" w:hint="default"/>
        </w:rPr>
        <w:t>11</w:t>
      </w:r>
      <w:r>
        <w:rPr/>
        <w:t>、存货</w:t>
      </w:r>
    </w:p>
    <w:p>
      <w:pPr>
        <w:pStyle w:val="BodyText"/>
        <w:spacing w:line="381" w:lineRule="auto" w:before="195"/>
        <w:ind w:left="562" w:right="4697" w:hanging="317"/>
        <w:jc w:val="left"/>
      </w:pPr>
      <w:r>
        <w:rPr/>
        <w:t>（</w:t>
      </w:r>
      <w:r>
        <w:rPr>
          <w:rFonts w:ascii="Times New Roman" w:hAnsi="Times New Roman" w:cs="Times New Roman" w:eastAsia="Times New Roman" w:hint="default"/>
        </w:rPr>
        <w:t>1</w:t>
      </w:r>
      <w:r>
        <w:rPr/>
        <w:t>）存货的分类 本公司存货分为低值易耗品、库存商品等。</w:t>
      </w:r>
    </w:p>
    <w:p>
      <w:pPr>
        <w:pStyle w:val="BodyText"/>
        <w:spacing w:line="381" w:lineRule="auto" w:before="70"/>
        <w:ind w:left="562" w:right="1337" w:hanging="317"/>
        <w:jc w:val="left"/>
      </w:pPr>
      <w:r>
        <w:rPr/>
        <w:t>（</w:t>
      </w:r>
      <w:r>
        <w:rPr>
          <w:rFonts w:ascii="Times New Roman" w:hAnsi="Times New Roman" w:cs="Times New Roman" w:eastAsia="Times New Roman" w:hint="default"/>
        </w:rPr>
        <w:t>2</w:t>
      </w:r>
      <w:r>
        <w:rPr/>
        <w:t>）发出存货的计价方法 本公司存货取得时按实际成本计价。库存商品发出时采用加权平均法计价。</w:t>
      </w:r>
    </w:p>
    <w:p>
      <w:pPr>
        <w:pStyle w:val="BodyText"/>
        <w:spacing w:line="240" w:lineRule="auto" w:before="72"/>
        <w:ind w:left="245" w:right="0"/>
        <w:jc w:val="left"/>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2"/>
        <w:rPr>
          <w:rFonts w:ascii="宋体" w:hAnsi="宋体" w:cs="宋体" w:eastAsia="宋体" w:hint="default"/>
          <w:sz w:val="17"/>
          <w:szCs w:val="17"/>
        </w:rPr>
      </w:pPr>
    </w:p>
    <w:p>
      <w:pPr>
        <w:pStyle w:val="BodyText"/>
        <w:spacing w:line="312" w:lineRule="exact"/>
        <w:ind w:left="562" w:right="207"/>
        <w:jc w:val="both"/>
      </w:pPr>
      <w:r>
        <w:rPr>
          <w:spacing w:val="-2"/>
        </w:rPr>
        <w:t>存货可变现净值是按存货的估计售价减去至完工时估计将要发生的成本、估计的销售费</w:t>
      </w:r>
      <w:r>
        <w:rPr>
          <w:spacing w:val="-100"/>
        </w:rPr>
        <w:t> </w:t>
      </w:r>
      <w:r>
        <w:rPr>
          <w:spacing w:val="-100"/>
        </w:rPr>
      </w:r>
      <w:r>
        <w:rPr/>
        <w:t>用以及相关税费后的金额。</w:t>
      </w:r>
    </w:p>
    <w:p>
      <w:pPr>
        <w:pStyle w:val="BodyText"/>
        <w:spacing w:line="237" w:lineRule="auto" w:before="188"/>
        <w:ind w:left="562" w:right="207"/>
        <w:jc w:val="both"/>
      </w:pPr>
      <w:r>
        <w:rPr>
          <w:spacing w:val="-2"/>
        </w:rPr>
        <w:t>本公司期末存货成本高于其可变现净值的，计提存货跌价准备。本公司通常按照单个存</w:t>
      </w:r>
      <w:r>
        <w:rPr>
          <w:spacing w:val="-98"/>
        </w:rPr>
        <w:t> </w:t>
      </w:r>
      <w:r>
        <w:rPr>
          <w:spacing w:val="-98"/>
        </w:rPr>
      </w:r>
      <w:r>
        <w:rPr>
          <w:spacing w:val="-2"/>
        </w:rPr>
        <w:t>货项目计提存货跌价准备，期末，以前减记存货价值的影响因素已经消失的，存货跌价</w:t>
      </w:r>
      <w:r>
        <w:rPr>
          <w:spacing w:val="-102"/>
        </w:rPr>
        <w:t> </w:t>
      </w:r>
      <w:r>
        <w:rPr>
          <w:spacing w:val="-102"/>
        </w:rPr>
      </w:r>
      <w:r>
        <w:rPr/>
        <w:t>准备在原已计提的金额内转回。</w:t>
      </w:r>
    </w:p>
    <w:p>
      <w:pPr>
        <w:pStyle w:val="BodyText"/>
        <w:spacing w:line="381" w:lineRule="auto" w:before="214"/>
        <w:ind w:left="562" w:right="5177" w:hanging="317"/>
        <w:jc w:val="left"/>
      </w:pPr>
      <w:r>
        <w:rPr/>
        <w:t>（</w:t>
      </w:r>
      <w:r>
        <w:rPr>
          <w:rFonts w:ascii="Times New Roman" w:hAnsi="Times New Roman" w:cs="Times New Roman" w:eastAsia="Times New Roman" w:hint="default"/>
        </w:rPr>
        <w:t>4</w:t>
      </w:r>
      <w:r>
        <w:rPr/>
        <w:t>）存货的盘存制度 本公司存货盘存制度采用永续盘存制。</w:t>
      </w:r>
    </w:p>
    <w:p>
      <w:pPr>
        <w:spacing w:after="0" w:line="381" w:lineRule="auto"/>
        <w:jc w:val="left"/>
        <w:sectPr>
          <w:pgSz w:w="11900" w:h="16850"/>
          <w:pgMar w:header="771" w:footer="919" w:top="1720" w:bottom="1100" w:left="1140" w:right="920"/>
        </w:sectPr>
      </w:pPr>
    </w:p>
    <w:p>
      <w:pPr>
        <w:spacing w:line="240" w:lineRule="auto" w:before="10"/>
        <w:rPr>
          <w:rFonts w:ascii="宋体" w:hAnsi="宋体" w:cs="宋体" w:eastAsia="宋体" w:hint="default"/>
          <w:sz w:val="14"/>
          <w:szCs w:val="14"/>
        </w:rPr>
      </w:pPr>
    </w:p>
    <w:p>
      <w:pPr>
        <w:pStyle w:val="BodyText"/>
        <w:spacing w:line="381" w:lineRule="auto" w:before="26"/>
        <w:ind w:left="562" w:right="4177" w:hanging="317"/>
        <w:jc w:val="left"/>
      </w:pPr>
      <w:r>
        <w:rPr/>
        <w:t>（</w:t>
      </w:r>
      <w:r>
        <w:rPr>
          <w:rFonts w:ascii="Times New Roman" w:hAnsi="Times New Roman" w:cs="Times New Roman" w:eastAsia="Times New Roman" w:hint="default"/>
        </w:rPr>
        <w:t>5</w:t>
      </w:r>
      <w:r>
        <w:rPr/>
        <w:t>）低值易耗品的摊销方法 本公司低值易耗品领用时采用一次转销法摊销。</w:t>
      </w:r>
    </w:p>
    <w:p>
      <w:pPr>
        <w:pStyle w:val="BodyText"/>
        <w:spacing w:line="240" w:lineRule="auto" w:before="70"/>
        <w:ind w:left="142" w:right="4177"/>
        <w:jc w:val="left"/>
      </w:pPr>
      <w:r>
        <w:rPr>
          <w:rFonts w:ascii="Times New Roman" w:hAnsi="Times New Roman" w:cs="Times New Roman" w:eastAsia="Times New Roman" w:hint="default"/>
        </w:rPr>
        <w:t>12</w:t>
      </w:r>
      <w:r>
        <w:rPr/>
        <w:t>、长期股权投资</w:t>
      </w:r>
    </w:p>
    <w:p>
      <w:pPr>
        <w:pStyle w:val="BodyText"/>
        <w:spacing w:line="240" w:lineRule="auto" w:before="195"/>
        <w:ind w:left="142" w:right="4177"/>
        <w:jc w:val="left"/>
      </w:pPr>
      <w:r>
        <w:rPr/>
        <w:t>（</w:t>
      </w:r>
      <w:r>
        <w:rPr>
          <w:rFonts w:ascii="Times New Roman" w:hAnsi="Times New Roman" w:cs="Times New Roman" w:eastAsia="Times New Roman" w:hint="default"/>
        </w:rPr>
        <w:t>1</w:t>
      </w:r>
      <w:r>
        <w:rPr/>
        <w:t>）投资成本确定</w:t>
      </w:r>
    </w:p>
    <w:p>
      <w:pPr>
        <w:pStyle w:val="BodyText"/>
        <w:spacing w:line="237" w:lineRule="auto" w:before="198"/>
        <w:ind w:left="562" w:right="169"/>
        <w:jc w:val="both"/>
      </w:pPr>
      <w:r>
        <w:rPr>
          <w:spacing w:val="-2"/>
        </w:rPr>
        <w:t>本公司长期股权投资在取得时按投资成本计量。投资成本一般为取得该项投资而付出的</w:t>
      </w:r>
      <w:r>
        <w:rPr>
          <w:spacing w:val="-100"/>
        </w:rPr>
        <w:t> </w:t>
      </w:r>
      <w:r>
        <w:rPr>
          <w:spacing w:val="-100"/>
        </w:rPr>
      </w:r>
      <w:r>
        <w:rPr>
          <w:spacing w:val="-2"/>
        </w:rPr>
        <w:t>资产、发生或承担的负债以及发行的权益性证券的公允价值，并包括直接相关费用。但</w:t>
      </w:r>
      <w:r>
        <w:rPr>
          <w:spacing w:val="-104"/>
        </w:rPr>
        <w:t> </w:t>
      </w:r>
      <w:r>
        <w:rPr>
          <w:spacing w:val="-104"/>
        </w:rPr>
      </w:r>
      <w:r>
        <w:rPr>
          <w:spacing w:val="-2"/>
        </w:rPr>
        <w:t>同一控制下的企业合并形成的长期股权投资，其投资成本为合并日取得的被合并方所有</w:t>
      </w:r>
      <w:r>
        <w:rPr>
          <w:spacing w:val="-100"/>
        </w:rPr>
        <w:t> </w:t>
      </w:r>
      <w:r>
        <w:rPr>
          <w:spacing w:val="-100"/>
        </w:rPr>
      </w:r>
      <w:r>
        <w:rPr/>
        <w:t>者权益的账面价值份额。</w:t>
      </w:r>
    </w:p>
    <w:p>
      <w:pPr>
        <w:pStyle w:val="BodyText"/>
        <w:spacing w:line="240" w:lineRule="auto" w:before="214"/>
        <w:ind w:left="142" w:right="4177"/>
        <w:jc w:val="left"/>
      </w:pPr>
      <w:r>
        <w:rPr/>
        <w:t>（</w:t>
      </w:r>
      <w:r>
        <w:rPr>
          <w:rFonts w:ascii="Times New Roman" w:hAnsi="Times New Roman" w:cs="Times New Roman" w:eastAsia="Times New Roman" w:hint="default"/>
        </w:rPr>
        <w:t>2</w:t>
      </w:r>
      <w:r>
        <w:rPr/>
        <w:t>）后续计量及损益确认方法</w:t>
      </w:r>
    </w:p>
    <w:p>
      <w:pPr>
        <w:spacing w:line="240" w:lineRule="auto" w:before="2"/>
        <w:rPr>
          <w:rFonts w:ascii="宋体" w:hAnsi="宋体" w:cs="宋体" w:eastAsia="宋体" w:hint="default"/>
          <w:sz w:val="17"/>
          <w:szCs w:val="17"/>
        </w:rPr>
      </w:pPr>
    </w:p>
    <w:p>
      <w:pPr>
        <w:pStyle w:val="BodyText"/>
        <w:spacing w:line="312" w:lineRule="exact"/>
        <w:ind w:left="562" w:right="115"/>
        <w:jc w:val="both"/>
      </w:pPr>
      <w:r>
        <w:rPr>
          <w:spacing w:val="-2"/>
        </w:rPr>
        <w:t>本公司能够对被投资单位实施控制的长期股权投资，以及对被投资单位不具有共同控制</w:t>
      </w:r>
      <w:r>
        <w:rPr>
          <w:spacing w:val="-100"/>
        </w:rPr>
        <w:t> </w:t>
      </w:r>
      <w:r>
        <w:rPr>
          <w:spacing w:val="-100"/>
        </w:rPr>
      </w:r>
      <w:r>
        <w:rPr>
          <w:spacing w:val="-2"/>
        </w:rPr>
        <w:t>或重大影响，且在活跃市场中没有报价、公允价值不能可靠计量的长期股权投资采用成</w:t>
      </w:r>
      <w:r>
        <w:rPr>
          <w:spacing w:val="-98"/>
        </w:rPr>
        <w:t> </w:t>
      </w:r>
      <w:r>
        <w:rPr>
          <w:spacing w:val="-98"/>
        </w:rPr>
      </w:r>
      <w:r>
        <w:rPr/>
        <w:t>本法核算；对被投资单位具有共同控制或重大影响的长期股权投资，采用权益法核算。</w:t>
      </w:r>
    </w:p>
    <w:p>
      <w:pPr>
        <w:pStyle w:val="BodyText"/>
        <w:spacing w:line="312" w:lineRule="exact" w:before="213"/>
        <w:ind w:left="562" w:right="167"/>
        <w:jc w:val="both"/>
      </w:pPr>
      <w:r>
        <w:rPr>
          <w:spacing w:val="-2"/>
        </w:rPr>
        <w:t>采用成本法核算的长期股权投资，除取得投资时实际支付的价款或对价中包含的已宣告</w:t>
      </w:r>
      <w:r>
        <w:rPr>
          <w:spacing w:val="-100"/>
        </w:rPr>
        <w:t> </w:t>
      </w:r>
      <w:r>
        <w:rPr>
          <w:spacing w:val="-100"/>
        </w:rPr>
      </w:r>
      <w:r>
        <w:rPr>
          <w:spacing w:val="-2"/>
        </w:rPr>
        <w:t>但尚未发放的现金股利或利润外，被投资单位宣告分派的现金股利或利润，确认为投资</w:t>
      </w:r>
      <w:r>
        <w:rPr>
          <w:spacing w:val="-98"/>
        </w:rPr>
        <w:t> </w:t>
      </w:r>
      <w:r>
        <w:rPr>
          <w:spacing w:val="-98"/>
        </w:rPr>
      </w:r>
      <w:r>
        <w:rPr/>
        <w:t>收益计入当期损益。</w:t>
      </w:r>
    </w:p>
    <w:p>
      <w:pPr>
        <w:pStyle w:val="BodyText"/>
        <w:spacing w:line="237" w:lineRule="auto" w:before="185"/>
        <w:ind w:left="562" w:right="167"/>
        <w:jc w:val="both"/>
      </w:pPr>
      <w:r>
        <w:rPr>
          <w:spacing w:val="-2"/>
        </w:rPr>
        <w:t>本公司长期股权投资采用权益法核算时，对长期股权投资投资成本大于投资时应享有被</w:t>
      </w:r>
      <w:r>
        <w:rPr>
          <w:spacing w:val="-100"/>
        </w:rPr>
        <w:t> </w:t>
      </w:r>
      <w:r>
        <w:rPr>
          <w:spacing w:val="-100"/>
        </w:rPr>
      </w:r>
      <w:r>
        <w:rPr>
          <w:spacing w:val="-2"/>
        </w:rPr>
        <w:t>投资单位可辨认净资产公允价值份额的，不调整长期股权投资的投资成本；对长期股权</w:t>
      </w:r>
      <w:r>
        <w:rPr>
          <w:spacing w:val="-98"/>
        </w:rPr>
        <w:t> </w:t>
      </w:r>
      <w:r>
        <w:rPr>
          <w:spacing w:val="-98"/>
        </w:rPr>
      </w:r>
      <w:r>
        <w:rPr>
          <w:spacing w:val="-2"/>
        </w:rPr>
        <w:t>投资投资成本小于投资时应享有被投资单位可辨认净资产公允价值份额的，对长期股权</w:t>
      </w:r>
      <w:r>
        <w:rPr>
          <w:spacing w:val="-100"/>
        </w:rPr>
        <w:t> </w:t>
      </w:r>
      <w:r>
        <w:rPr>
          <w:spacing w:val="-100"/>
        </w:rPr>
      </w:r>
      <w:r>
        <w:rPr/>
        <w:t>投资的账面价值进行调整，差额计入投资当期的损益。</w:t>
      </w:r>
    </w:p>
    <w:p>
      <w:pPr>
        <w:spacing w:line="240" w:lineRule="auto" w:before="9"/>
        <w:rPr>
          <w:rFonts w:ascii="宋体" w:hAnsi="宋体" w:cs="宋体" w:eastAsia="宋体" w:hint="default"/>
          <w:sz w:val="18"/>
          <w:szCs w:val="18"/>
        </w:rPr>
      </w:pPr>
    </w:p>
    <w:p>
      <w:pPr>
        <w:pStyle w:val="BodyText"/>
        <w:spacing w:line="312" w:lineRule="exact"/>
        <w:ind w:left="562" w:right="167"/>
        <w:jc w:val="both"/>
      </w:pPr>
      <w:r>
        <w:rPr>
          <w:spacing w:val="-2"/>
        </w:rPr>
        <w:t>本公司在按权益法对长期股权投资进行核算时，先对被投资单位的净利润进行取得投资</w:t>
      </w:r>
      <w:r>
        <w:rPr>
          <w:spacing w:val="-100"/>
        </w:rPr>
        <w:t> </w:t>
      </w:r>
      <w:r>
        <w:rPr>
          <w:spacing w:val="-100"/>
        </w:rPr>
      </w:r>
      <w:r>
        <w:rPr>
          <w:spacing w:val="-2"/>
        </w:rPr>
        <w:t>时被投资单位各项可辨认资产等的公允价值、会计政策和会计期间方面的调整，再按应</w:t>
      </w:r>
      <w:r>
        <w:rPr>
          <w:spacing w:val="-98"/>
        </w:rPr>
        <w:t> </w:t>
      </w:r>
      <w:r>
        <w:rPr>
          <w:spacing w:val="-98"/>
        </w:rPr>
      </w:r>
      <w:r>
        <w:rPr/>
        <w:t>享有或应分担的被投资单位的净损益份额确认当期投资损益。</w:t>
      </w:r>
    </w:p>
    <w:p>
      <w:pPr>
        <w:pStyle w:val="BodyText"/>
        <w:spacing w:line="312" w:lineRule="exact" w:before="214"/>
        <w:ind w:left="562" w:right="174"/>
        <w:jc w:val="both"/>
      </w:pPr>
      <w:r>
        <w:rPr>
          <w:spacing w:val="4"/>
        </w:rPr>
        <w:t>本公司与联营企业及合营企业之间发生的未实现内部交易损益按照持股比例计算归属</w:t>
      </w:r>
      <w:r>
        <w:rPr>
          <w:spacing w:val="-115"/>
        </w:rPr>
        <w:t> </w:t>
      </w:r>
      <w:r>
        <w:rPr>
          <w:spacing w:val="-115"/>
        </w:rPr>
      </w:r>
      <w:r>
        <w:rPr/>
        <w:t>于本公司的部分，在抵销基础上确认投资损益。</w:t>
      </w:r>
    </w:p>
    <w:p>
      <w:pPr>
        <w:pStyle w:val="BodyText"/>
        <w:spacing w:line="230" w:lineRule="auto" w:before="196"/>
        <w:ind w:left="562" w:right="169"/>
        <w:jc w:val="both"/>
      </w:pPr>
      <w:r>
        <w:rPr/>
        <w:t>对于</w:t>
      </w:r>
      <w:r>
        <w:rPr>
          <w:spacing w:val="-5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日之前已经持有的对联营企业及合营企业的长期股权投资，如存在 </w:t>
      </w:r>
      <w:r>
        <w:rPr>
          <w:spacing w:val="-2"/>
        </w:rPr>
        <w:t>与该投资相关的股权投资借方差额，在扣除按原剩余期限直线法摊销的股权投资借方差</w:t>
      </w:r>
      <w:r>
        <w:rPr>
          <w:spacing w:val="-100"/>
        </w:rPr>
        <w:t> </w:t>
      </w:r>
      <w:r>
        <w:rPr>
          <w:spacing w:val="-100"/>
        </w:rPr>
      </w:r>
      <w:r>
        <w:rPr/>
        <w:t>额后确认投资损益。</w:t>
      </w:r>
    </w:p>
    <w:p>
      <w:pPr>
        <w:pStyle w:val="BodyText"/>
        <w:spacing w:line="240" w:lineRule="auto" w:before="215"/>
        <w:ind w:left="142" w:right="1057"/>
        <w:jc w:val="left"/>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2"/>
        <w:rPr>
          <w:rFonts w:ascii="宋体" w:hAnsi="宋体" w:cs="宋体" w:eastAsia="宋体" w:hint="default"/>
          <w:sz w:val="17"/>
          <w:szCs w:val="17"/>
        </w:rPr>
      </w:pPr>
    </w:p>
    <w:p>
      <w:pPr>
        <w:pStyle w:val="BodyText"/>
        <w:spacing w:line="312" w:lineRule="exact"/>
        <w:ind w:left="562" w:right="170"/>
        <w:jc w:val="both"/>
      </w:pPr>
      <w:r>
        <w:rPr>
          <w:spacing w:val="-2"/>
        </w:rPr>
        <w:t>共同控制是指任何一个合营方均不能单独控制合营企业的生产经营活动，涉及合营企业</w:t>
      </w:r>
      <w:r>
        <w:rPr>
          <w:spacing w:val="-100"/>
        </w:rPr>
        <w:t> </w:t>
      </w:r>
      <w:r>
        <w:rPr>
          <w:spacing w:val="-100"/>
        </w:rPr>
      </w:r>
      <w:r>
        <w:rPr>
          <w:spacing w:val="-2"/>
        </w:rPr>
        <w:t>基本经营活动的决策需要各合营方一致同意等。其中，控制是指有权决定一个企业的财</w:t>
      </w:r>
      <w:r>
        <w:rPr>
          <w:spacing w:val="-101"/>
        </w:rPr>
        <w:t> </w:t>
      </w:r>
      <w:r>
        <w:rPr>
          <w:spacing w:val="-101"/>
        </w:rPr>
      </w:r>
      <w:r>
        <w:rPr/>
        <w:t>务和经营政策，并能据以从该企业的经营活动中获取利益。</w:t>
      </w:r>
    </w:p>
    <w:p>
      <w:pPr>
        <w:pStyle w:val="BodyText"/>
        <w:spacing w:line="312" w:lineRule="exact" w:before="213"/>
        <w:ind w:left="562" w:right="169"/>
        <w:jc w:val="both"/>
      </w:pPr>
      <w:r>
        <w:rPr>
          <w:spacing w:val="-2"/>
        </w:rPr>
        <w:t>重大影响是指重大影响是指对一个企业的财务和经营政策有参与决策的权力，但并不能</w:t>
      </w:r>
      <w:r>
        <w:rPr>
          <w:spacing w:val="-101"/>
        </w:rPr>
        <w:t> </w:t>
      </w:r>
      <w:r>
        <w:rPr>
          <w:spacing w:val="-101"/>
        </w:rPr>
      </w:r>
      <w:r>
        <w:rPr>
          <w:spacing w:val="-2"/>
        </w:rPr>
        <w:t>够控制或者与其他方一起共同控制这些政策的制定。当本公司直接或通过子公司间接拥</w:t>
      </w:r>
      <w:r>
        <w:rPr>
          <w:spacing w:val="-100"/>
        </w:rPr>
        <w:t> </w:t>
      </w:r>
      <w:r>
        <w:rPr>
          <w:spacing w:val="-100"/>
        </w:rPr>
      </w:r>
      <w:r>
        <w:rPr/>
        <w:t>有被投资单位</w:t>
      </w:r>
      <w:r>
        <w:rPr>
          <w:spacing w:val="-72"/>
        </w:rPr>
        <w:t> </w:t>
      </w:r>
      <w:r>
        <w:rPr>
          <w:rFonts w:ascii="Times New Roman" w:hAnsi="Times New Roman" w:cs="Times New Roman" w:eastAsia="Times New Roman" w:hint="default"/>
          <w:spacing w:val="-8"/>
        </w:rPr>
        <w:t>20%</w:t>
      </w:r>
      <w:r>
        <w:rPr>
          <w:spacing w:val="-8"/>
        </w:rPr>
        <w:t>（含</w:t>
      </w:r>
      <w:r>
        <w:rPr>
          <w:spacing w:val="-71"/>
        </w:rPr>
        <w:t> </w:t>
      </w:r>
      <w:r>
        <w:rPr>
          <w:rFonts w:ascii="Times New Roman" w:hAnsi="Times New Roman" w:cs="Times New Roman" w:eastAsia="Times New Roman" w:hint="default"/>
          <w:spacing w:val="-5"/>
        </w:rPr>
        <w:t>20%</w:t>
      </w:r>
      <w:r>
        <w:rPr>
          <w:spacing w:val="-5"/>
        </w:rPr>
        <w:t>）以上但低于</w:t>
      </w:r>
      <w:r>
        <w:rPr>
          <w:spacing w:val="-71"/>
        </w:rPr>
        <w:t> </w:t>
      </w:r>
      <w:r>
        <w:rPr>
          <w:rFonts w:ascii="Times New Roman" w:hAnsi="Times New Roman" w:cs="Times New Roman" w:eastAsia="Times New Roman" w:hint="default"/>
        </w:rPr>
        <w:t>50%</w:t>
      </w:r>
      <w:r>
        <w:rPr/>
        <w:t>的表决权股份时，除非有明确证据表明该</w:t>
      </w:r>
    </w:p>
    <w:p>
      <w:pPr>
        <w:spacing w:after="0" w:line="312" w:lineRule="exact"/>
        <w:jc w:val="both"/>
        <w:sectPr>
          <w:pgSz w:w="11900" w:h="16850"/>
          <w:pgMar w:header="771" w:footer="919" w:top="1720" w:bottom="1100" w:left="1140" w:right="960"/>
        </w:sectPr>
      </w:pPr>
    </w:p>
    <w:p>
      <w:pPr>
        <w:spacing w:line="240" w:lineRule="auto" w:before="10"/>
        <w:rPr>
          <w:rFonts w:ascii="宋体" w:hAnsi="宋体" w:cs="宋体" w:eastAsia="宋体" w:hint="default"/>
          <w:sz w:val="14"/>
          <w:szCs w:val="14"/>
        </w:rPr>
      </w:pPr>
    </w:p>
    <w:p>
      <w:pPr>
        <w:pStyle w:val="BodyText"/>
        <w:spacing w:line="232" w:lineRule="auto" w:before="34"/>
        <w:ind w:left="562" w:right="230"/>
        <w:jc w:val="both"/>
      </w:pPr>
      <w:r>
        <w:rPr>
          <w:spacing w:val="-2"/>
        </w:rPr>
        <w:t>种情况下不能参与被投资单位的生产经营决策，不形成重大影响外，均确定对被投资单</w:t>
      </w:r>
      <w:r>
        <w:rPr>
          <w:spacing w:val="-100"/>
        </w:rPr>
        <w:t> </w:t>
      </w:r>
      <w:r>
        <w:rPr>
          <w:spacing w:val="-100"/>
        </w:rPr>
      </w:r>
      <w:r>
        <w:rPr/>
        <w:t>位具有重大影响；本公司拥有被投资单位</w:t>
      </w:r>
      <w:r>
        <w:rPr>
          <w:spacing w:val="-75"/>
        </w:rPr>
        <w:t> </w:t>
      </w:r>
      <w:r>
        <w:rPr>
          <w:rFonts w:ascii="Times New Roman" w:hAnsi="Times New Roman" w:cs="Times New Roman" w:eastAsia="Times New Roman" w:hint="default"/>
          <w:spacing w:val="-3"/>
        </w:rPr>
        <w:t>20%</w:t>
      </w:r>
      <w:r>
        <w:rPr>
          <w:spacing w:val="-3"/>
        </w:rPr>
        <w:t>（不含）以下的表决权股份，一般不认为</w:t>
      </w:r>
      <w:r>
        <w:rPr/>
        <w:t> </w:t>
      </w:r>
      <w:r>
        <w:rPr>
          <w:spacing w:val="-2"/>
        </w:rPr>
        <w:t>对被投资单位具有重大影响，除非有明确证据表明该种情况下能够参与被投资单位的生</w:t>
      </w:r>
      <w:r>
        <w:rPr>
          <w:spacing w:val="-100"/>
        </w:rPr>
        <w:t> </w:t>
      </w:r>
      <w:r>
        <w:rPr>
          <w:spacing w:val="-100"/>
        </w:rPr>
      </w:r>
      <w:r>
        <w:rPr/>
        <w:t>产经营决策，形成重大影响。</w:t>
      </w:r>
    </w:p>
    <w:p>
      <w:pPr>
        <w:pStyle w:val="BodyText"/>
        <w:spacing w:line="240" w:lineRule="auto" w:before="215"/>
        <w:ind w:left="142" w:right="0"/>
        <w:jc w:val="left"/>
      </w:pPr>
      <w:r>
        <w:rPr/>
        <w:t>（</w:t>
      </w:r>
      <w:r>
        <w:rPr>
          <w:rFonts w:ascii="Times New Roman" w:hAnsi="Times New Roman" w:cs="Times New Roman" w:eastAsia="Times New Roman" w:hint="default"/>
        </w:rPr>
        <w:t>4</w:t>
      </w:r>
      <w:r>
        <w:rPr/>
        <w:t>）减值测试方法及减值准备计提方法</w:t>
      </w:r>
    </w:p>
    <w:p>
      <w:pPr>
        <w:pStyle w:val="BodyText"/>
        <w:spacing w:line="240" w:lineRule="auto" w:before="195"/>
        <w:ind w:left="562" w:right="0"/>
        <w:jc w:val="both"/>
      </w:pPr>
      <w:r>
        <w:rPr/>
        <w:t>对子公司、联营企业及合营企业的投资，本公司计提资产减值的方法见附注二</w:t>
      </w:r>
      <w:r>
        <w:rPr>
          <w:spacing w:val="-59"/>
        </w:rPr>
        <w:t> </w:t>
      </w:r>
      <w:r>
        <w:rPr>
          <w:rFonts w:ascii="Times New Roman" w:hAnsi="Times New Roman" w:cs="Times New Roman" w:eastAsia="Times New Roman" w:hint="default"/>
        </w:rPr>
        <w:t>26</w:t>
      </w:r>
      <w:r>
        <w:rPr/>
        <w:t>。</w:t>
      </w:r>
    </w:p>
    <w:p>
      <w:pPr>
        <w:spacing w:line="240" w:lineRule="auto" w:before="2"/>
        <w:rPr>
          <w:rFonts w:ascii="宋体" w:hAnsi="宋体" w:cs="宋体" w:eastAsia="宋体" w:hint="default"/>
          <w:sz w:val="17"/>
          <w:szCs w:val="17"/>
        </w:rPr>
      </w:pPr>
    </w:p>
    <w:p>
      <w:pPr>
        <w:pStyle w:val="BodyText"/>
        <w:spacing w:line="312" w:lineRule="exact"/>
        <w:ind w:left="562" w:right="227"/>
        <w:jc w:val="both"/>
      </w:pPr>
      <w:r>
        <w:rPr>
          <w:spacing w:val="-2"/>
        </w:rPr>
        <w:t>持有的对被投资单位不具有共同控制或重大影响、在活跃市场中没有报价、公允价值不</w:t>
      </w:r>
      <w:r>
        <w:rPr>
          <w:spacing w:val="-98"/>
        </w:rPr>
        <w:t> </w:t>
      </w:r>
      <w:r>
        <w:rPr>
          <w:spacing w:val="-98"/>
        </w:rPr>
      </w:r>
      <w:r>
        <w:rPr/>
        <w:t>能可靠计量的长期股权投资，本公司计提资产减值的方法见附注二</w:t>
      </w:r>
      <w:r>
        <w:rPr>
          <w:spacing w:val="-59"/>
        </w:rPr>
        <w:t> </w:t>
      </w:r>
      <w:r>
        <w:rPr>
          <w:rFonts w:ascii="Times New Roman" w:hAnsi="Times New Roman" w:cs="Times New Roman" w:eastAsia="Times New Roman" w:hint="default"/>
          <w:spacing w:val="-48"/>
        </w:rPr>
        <w:t>9</w:t>
      </w:r>
      <w:r>
        <w:rPr>
          <w:spacing w:val="-48"/>
        </w:rPr>
        <w:t>（</w:t>
      </w:r>
      <w:r>
        <w:rPr>
          <w:rFonts w:ascii="Times New Roman" w:hAnsi="Times New Roman" w:cs="Times New Roman" w:eastAsia="Times New Roman" w:hint="default"/>
          <w:spacing w:val="-48"/>
        </w:rPr>
        <w:t>6</w:t>
      </w:r>
      <w:r>
        <w:rPr>
          <w:spacing w:val="-48"/>
        </w:rPr>
        <w:t>）。</w:t>
      </w:r>
      <w:r>
        <w:rPr/>
      </w:r>
    </w:p>
    <w:p>
      <w:pPr>
        <w:pStyle w:val="BodyText"/>
        <w:spacing w:line="240" w:lineRule="auto" w:before="185"/>
        <w:ind w:left="142" w:right="0"/>
        <w:jc w:val="left"/>
      </w:pPr>
      <w:r>
        <w:rPr>
          <w:rFonts w:ascii="Times New Roman" w:hAnsi="Times New Roman" w:cs="Times New Roman" w:eastAsia="Times New Roman" w:hint="default"/>
        </w:rPr>
        <w:t>13</w:t>
      </w:r>
      <w:r>
        <w:rPr/>
        <w:t>、投资性房地产</w:t>
      </w:r>
    </w:p>
    <w:p>
      <w:pPr>
        <w:spacing w:line="240" w:lineRule="auto" w:before="13"/>
        <w:rPr>
          <w:rFonts w:ascii="宋体" w:hAnsi="宋体" w:cs="宋体" w:eastAsia="宋体" w:hint="default"/>
          <w:sz w:val="16"/>
          <w:szCs w:val="16"/>
        </w:rPr>
      </w:pPr>
    </w:p>
    <w:p>
      <w:pPr>
        <w:pStyle w:val="BodyText"/>
        <w:spacing w:line="261" w:lineRule="auto"/>
        <w:ind w:left="562" w:right="227"/>
        <w:jc w:val="both"/>
      </w:pPr>
      <w:r>
        <w:rPr>
          <w:spacing w:val="-2"/>
        </w:rPr>
        <w:t>投资性房地产是指为赚取租金或资本增值，或两者兼有而持有的房地产。本公司投资性</w:t>
      </w:r>
      <w:r>
        <w:rPr>
          <w:spacing w:val="-98"/>
        </w:rPr>
        <w:t> </w:t>
      </w:r>
      <w:r>
        <w:rPr>
          <w:spacing w:val="-98"/>
        </w:rPr>
      </w:r>
      <w:r>
        <w:rPr>
          <w:spacing w:val="-2"/>
        </w:rPr>
        <w:t>房地产包括已出租的土地使用权、持有并准备增值后转让的土地使用权、已出租的建筑</w:t>
      </w:r>
      <w:r>
        <w:rPr>
          <w:spacing w:val="-98"/>
        </w:rPr>
        <w:t> </w:t>
      </w:r>
      <w:r>
        <w:rPr>
          <w:spacing w:val="-98"/>
        </w:rPr>
      </w:r>
      <w:r>
        <w:rPr/>
        <w:t>物。</w:t>
      </w:r>
    </w:p>
    <w:p>
      <w:pPr>
        <w:spacing w:line="240" w:lineRule="auto" w:before="9"/>
        <w:rPr>
          <w:rFonts w:ascii="宋体" w:hAnsi="宋体" w:cs="宋体" w:eastAsia="宋体" w:hint="default"/>
          <w:sz w:val="16"/>
          <w:szCs w:val="16"/>
        </w:rPr>
      </w:pPr>
    </w:p>
    <w:p>
      <w:pPr>
        <w:pStyle w:val="BodyText"/>
        <w:spacing w:line="261" w:lineRule="auto"/>
        <w:ind w:left="562" w:right="230"/>
        <w:jc w:val="both"/>
      </w:pPr>
      <w:r>
        <w:rPr>
          <w:spacing w:val="-2"/>
        </w:rPr>
        <w:t>本公司投资性房地产按照取得时的成本进行初始计量，并按照固定资产或无形资产的有</w:t>
      </w:r>
      <w:r>
        <w:rPr>
          <w:spacing w:val="-100"/>
        </w:rPr>
        <w:t> </w:t>
      </w:r>
      <w:r>
        <w:rPr>
          <w:spacing w:val="-100"/>
        </w:rPr>
      </w:r>
      <w:r>
        <w:rPr/>
        <w:t>关规定，按期计提折旧或摊销。</w:t>
      </w:r>
    </w:p>
    <w:p>
      <w:pPr>
        <w:pStyle w:val="BodyText"/>
        <w:spacing w:line="240" w:lineRule="auto" w:before="192"/>
        <w:ind w:left="142" w:right="0"/>
        <w:jc w:val="left"/>
      </w:pPr>
      <w:r>
        <w:rPr>
          <w:rFonts w:ascii="Times New Roman" w:hAnsi="Times New Roman" w:cs="Times New Roman" w:eastAsia="Times New Roman" w:hint="default"/>
        </w:rPr>
        <w:t>14</w:t>
      </w:r>
      <w:r>
        <w:rPr/>
        <w:t>、固定资产</w:t>
      </w:r>
    </w:p>
    <w:p>
      <w:pPr>
        <w:pStyle w:val="BodyText"/>
        <w:spacing w:line="240" w:lineRule="auto" w:before="193"/>
        <w:ind w:left="245" w:right="0"/>
        <w:jc w:val="left"/>
      </w:pPr>
      <w:r>
        <w:rPr/>
        <w:t>（</w:t>
      </w:r>
      <w:r>
        <w:rPr>
          <w:rFonts w:ascii="Times New Roman" w:hAnsi="Times New Roman" w:cs="Times New Roman" w:eastAsia="Times New Roman" w:hint="default"/>
        </w:rPr>
        <w:t>1</w:t>
      </w:r>
      <w:r>
        <w:rPr/>
        <w:t>）固定资产确认条件</w:t>
      </w:r>
    </w:p>
    <w:p>
      <w:pPr>
        <w:spacing w:line="240" w:lineRule="auto" w:before="2"/>
        <w:rPr>
          <w:rFonts w:ascii="宋体" w:hAnsi="宋体" w:cs="宋体" w:eastAsia="宋体" w:hint="default"/>
          <w:sz w:val="17"/>
          <w:szCs w:val="17"/>
        </w:rPr>
      </w:pPr>
    </w:p>
    <w:p>
      <w:pPr>
        <w:pStyle w:val="BodyText"/>
        <w:spacing w:line="261" w:lineRule="auto"/>
        <w:ind w:left="562" w:right="230"/>
        <w:jc w:val="both"/>
      </w:pPr>
      <w:r>
        <w:rPr>
          <w:spacing w:val="-2"/>
        </w:rPr>
        <w:t>本公司固定资产是指为生产商品、提供劳务、出租或经营管理而持有的，使用寿命超过</w:t>
      </w:r>
      <w:r>
        <w:rPr>
          <w:spacing w:val="-101"/>
        </w:rPr>
        <w:t> </w:t>
      </w:r>
      <w:r>
        <w:rPr>
          <w:spacing w:val="-101"/>
        </w:rPr>
      </w:r>
      <w:r>
        <w:rPr/>
        <w:t>一个会计期间的有形资产。</w:t>
      </w:r>
    </w:p>
    <w:p>
      <w:pPr>
        <w:spacing w:line="240" w:lineRule="auto" w:before="9"/>
        <w:rPr>
          <w:rFonts w:ascii="宋体" w:hAnsi="宋体" w:cs="宋体" w:eastAsia="宋体" w:hint="default"/>
          <w:sz w:val="16"/>
          <w:szCs w:val="16"/>
        </w:rPr>
      </w:pPr>
    </w:p>
    <w:p>
      <w:pPr>
        <w:pStyle w:val="BodyText"/>
        <w:spacing w:line="261" w:lineRule="auto"/>
        <w:ind w:left="562" w:right="230"/>
        <w:jc w:val="both"/>
      </w:pPr>
      <w:r>
        <w:rPr>
          <w:spacing w:val="-2"/>
        </w:rPr>
        <w:t>与该固定资产有关的经济利益很可能流入企业，并且该固定资产的成本能够可靠地计量</w:t>
      </w:r>
      <w:r>
        <w:rPr>
          <w:spacing w:val="-100"/>
        </w:rPr>
        <w:t> </w:t>
      </w:r>
      <w:r>
        <w:rPr>
          <w:spacing w:val="-100"/>
        </w:rPr>
      </w:r>
      <w:r>
        <w:rPr/>
        <w:t>时，固定资产才能予以确认。</w:t>
      </w:r>
    </w:p>
    <w:p>
      <w:pPr>
        <w:pStyle w:val="BodyText"/>
        <w:spacing w:line="240" w:lineRule="auto" w:before="193"/>
        <w:ind w:left="562" w:right="0"/>
        <w:jc w:val="both"/>
      </w:pPr>
      <w:r>
        <w:rPr/>
        <w:t>本公司固定资产按照取得时的实际成本进行初始计量。</w:t>
      </w:r>
    </w:p>
    <w:p>
      <w:pPr>
        <w:pStyle w:val="BodyText"/>
        <w:spacing w:line="240" w:lineRule="auto" w:before="151"/>
        <w:ind w:left="245" w:right="0"/>
        <w:jc w:val="left"/>
      </w:pPr>
      <w:r>
        <w:rPr/>
        <w:t>（</w:t>
      </w:r>
      <w:r>
        <w:rPr>
          <w:rFonts w:ascii="Times New Roman" w:hAnsi="Times New Roman" w:cs="Times New Roman" w:eastAsia="Times New Roman" w:hint="default"/>
        </w:rPr>
        <w:t>2</w:t>
      </w:r>
      <w:r>
        <w:rPr/>
        <w:t>）各类固定资产的折旧方法</w:t>
      </w:r>
    </w:p>
    <w:p>
      <w:pPr>
        <w:spacing w:line="240" w:lineRule="auto" w:before="2"/>
        <w:rPr>
          <w:rFonts w:ascii="宋体" w:hAnsi="宋体" w:cs="宋体" w:eastAsia="宋体" w:hint="default"/>
          <w:sz w:val="17"/>
          <w:szCs w:val="17"/>
        </w:rPr>
      </w:pPr>
    </w:p>
    <w:p>
      <w:pPr>
        <w:pStyle w:val="BodyText"/>
        <w:spacing w:line="259" w:lineRule="auto"/>
        <w:ind w:left="562" w:right="107"/>
        <w:jc w:val="both"/>
      </w:pPr>
      <w:r>
        <w:rPr/>
        <w:t>本公司采用年限平均法计提折旧。固定资产自达到预定可使用状态时开始计提折旧，终 止确认时或划分为持有待售非流动资产时停止计提折旧。在不考虑减值准备的情况下， </w:t>
      </w:r>
      <w:r>
        <w:rPr>
          <w:spacing w:val="-5"/>
        </w:rPr>
        <w:t>按固定资产类别、预计使用寿命和预计残值，本公司确定各类固定资产的年折旧率如下：</w:t>
      </w:r>
    </w:p>
    <w:p>
      <w:pPr>
        <w:spacing w:line="240" w:lineRule="auto" w:before="13"/>
        <w:rPr>
          <w:rFonts w:ascii="宋体" w:hAnsi="宋体" w:cs="宋体" w:eastAsia="宋体" w:hint="default"/>
          <w:sz w:val="17"/>
          <w:szCs w:val="17"/>
        </w:rPr>
      </w:pPr>
    </w:p>
    <w:tbl>
      <w:tblPr>
        <w:tblW w:w="0" w:type="auto"/>
        <w:jc w:val="left"/>
        <w:tblInd w:w="456" w:type="dxa"/>
        <w:tblLayout w:type="fixed"/>
        <w:tblCellMar>
          <w:top w:w="0" w:type="dxa"/>
          <w:left w:w="0" w:type="dxa"/>
          <w:bottom w:w="0" w:type="dxa"/>
          <w:right w:w="0" w:type="dxa"/>
        </w:tblCellMar>
        <w:tblLook w:val="01E0"/>
      </w:tblPr>
      <w:tblGrid>
        <w:gridCol w:w="2395"/>
        <w:gridCol w:w="2950"/>
        <w:gridCol w:w="2025"/>
        <w:gridCol w:w="1785"/>
      </w:tblGrid>
      <w:tr>
        <w:trPr>
          <w:trHeight w:val="413" w:hRule="exact"/>
        </w:trPr>
        <w:tc>
          <w:tcPr>
            <w:tcW w:w="2395"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314" w:right="0"/>
              <w:jc w:val="left"/>
              <w:rPr>
                <w:rFonts w:ascii="宋体" w:hAnsi="宋体" w:cs="宋体" w:eastAsia="宋体" w:hint="default"/>
                <w:sz w:val="24"/>
                <w:szCs w:val="24"/>
              </w:rPr>
            </w:pPr>
            <w:r>
              <w:rPr>
                <w:rFonts w:ascii="宋体" w:hAnsi="宋体" w:cs="宋体" w:eastAsia="宋体" w:hint="default"/>
                <w:b/>
                <w:bCs/>
                <w:sz w:val="24"/>
                <w:szCs w:val="24"/>
              </w:rPr>
              <w:t>类别</w:t>
            </w:r>
            <w:r>
              <w:rPr>
                <w:rFonts w:ascii="宋体" w:hAnsi="宋体" w:cs="宋体" w:eastAsia="宋体" w:hint="default"/>
                <w:sz w:val="24"/>
                <w:szCs w:val="24"/>
              </w:rPr>
            </w:r>
          </w:p>
        </w:tc>
        <w:tc>
          <w:tcPr>
            <w:tcW w:w="2950"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589"/>
              <w:jc w:val="right"/>
              <w:rPr>
                <w:rFonts w:ascii="宋体" w:hAnsi="宋体" w:cs="宋体" w:eastAsia="宋体" w:hint="default"/>
                <w:sz w:val="24"/>
                <w:szCs w:val="24"/>
              </w:rPr>
            </w:pPr>
            <w:r>
              <w:rPr>
                <w:rFonts w:ascii="宋体" w:hAnsi="宋体" w:cs="宋体" w:eastAsia="宋体" w:hint="default"/>
                <w:b/>
                <w:bCs/>
                <w:w w:val="95"/>
                <w:sz w:val="24"/>
                <w:szCs w:val="24"/>
              </w:rPr>
              <w:t>使用年限（年）</w:t>
            </w:r>
            <w:r>
              <w:rPr>
                <w:rFonts w:ascii="宋体" w:hAnsi="宋体" w:cs="宋体" w:eastAsia="宋体" w:hint="default"/>
                <w:sz w:val="24"/>
                <w:szCs w:val="24"/>
              </w:rPr>
            </w:r>
          </w:p>
        </w:tc>
        <w:tc>
          <w:tcPr>
            <w:tcW w:w="2025"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470"/>
              <w:jc w:val="righ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残值率</w:t>
            </w:r>
            <w:r>
              <w:rPr>
                <w:rFonts w:ascii="Times New Roman" w:hAnsi="Times New Roman" w:cs="Times New Roman" w:eastAsia="Times New Roman" w:hint="default"/>
                <w:b/>
                <w:bCs/>
                <w:w w:val="95"/>
                <w:sz w:val="24"/>
                <w:szCs w:val="24"/>
              </w:rPr>
              <w:t>%</w:t>
            </w:r>
            <w:r>
              <w:rPr>
                <w:rFonts w:ascii="Times New Roman" w:hAnsi="Times New Roman" w:cs="Times New Roman" w:eastAsia="Times New Roman" w:hint="default"/>
                <w:w w:val="95"/>
                <w:sz w:val="24"/>
                <w:szCs w:val="24"/>
              </w:rPr>
            </w:r>
          </w:p>
        </w:tc>
        <w:tc>
          <w:tcPr>
            <w:tcW w:w="1785"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4"/>
                <w:szCs w:val="24"/>
              </w:rPr>
            </w:pPr>
            <w:r>
              <w:rPr>
                <w:rFonts w:ascii="宋体" w:hAnsi="宋体" w:cs="宋体" w:eastAsia="宋体" w:hint="default"/>
                <w:b/>
                <w:bCs/>
                <w:sz w:val="24"/>
                <w:szCs w:val="24"/>
              </w:rPr>
              <w:t>年折旧率</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407" w:hRule="exact"/>
        </w:trPr>
        <w:tc>
          <w:tcPr>
            <w:tcW w:w="239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83"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588"/>
              <w:jc w:val="right"/>
              <w:rPr>
                <w:rFonts w:ascii="宋体" w:hAnsi="宋体" w:cs="宋体" w:eastAsia="宋体" w:hint="default"/>
                <w:sz w:val="24"/>
                <w:szCs w:val="24"/>
              </w:rPr>
            </w:pPr>
            <w:r>
              <w:rPr>
                <w:rFonts w:ascii="Times New Roman" w:hAnsi="Times New Roman" w:cs="Times New Roman" w:eastAsia="Times New Roman" w:hint="default"/>
                <w:sz w:val="24"/>
                <w:szCs w:val="24"/>
              </w:rPr>
              <w:t>20-40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w:t>
            </w:r>
          </w:p>
        </w:tc>
        <w:tc>
          <w:tcPr>
            <w:tcW w:w="202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469"/>
              <w:jc w:val="right"/>
              <w:rPr>
                <w:rFonts w:ascii="Times New Roman" w:hAnsi="Times New Roman" w:cs="Times New Roman" w:eastAsia="Times New Roman" w:hint="default"/>
                <w:sz w:val="24"/>
                <w:szCs w:val="24"/>
              </w:rPr>
            </w:pPr>
            <w:r>
              <w:rPr>
                <w:rFonts w:ascii="Times New Roman"/>
                <w:sz w:val="24"/>
              </w:rPr>
              <w:t>5</w:t>
            </w:r>
          </w:p>
        </w:tc>
        <w:tc>
          <w:tcPr>
            <w:tcW w:w="178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6"/>
              <w:jc w:val="right"/>
              <w:rPr>
                <w:rFonts w:ascii="Times New Roman" w:hAnsi="Times New Roman" w:cs="Times New Roman" w:eastAsia="Times New Roman" w:hint="default"/>
                <w:sz w:val="24"/>
                <w:szCs w:val="24"/>
              </w:rPr>
            </w:pPr>
            <w:r>
              <w:rPr>
                <w:rFonts w:ascii="Times New Roman"/>
                <w:spacing w:val="-1"/>
                <w:sz w:val="24"/>
              </w:rPr>
              <w:t>2.375-4.75</w:t>
            </w:r>
          </w:p>
        </w:tc>
      </w:tr>
      <w:tr>
        <w:trPr>
          <w:trHeight w:val="396" w:hRule="exact"/>
        </w:trPr>
        <w:tc>
          <w:tcPr>
            <w:tcW w:w="2395" w:type="dxa"/>
            <w:tcBorders>
              <w:top w:val="nil" w:sz="6" w:space="0" w:color="auto"/>
              <w:left w:val="nil" w:sz="6" w:space="0" w:color="auto"/>
              <w:bottom w:val="nil" w:sz="6" w:space="0" w:color="auto"/>
              <w:right w:val="nil" w:sz="6" w:space="0" w:color="auto"/>
            </w:tcBorders>
          </w:tcPr>
          <w:p>
            <w:pPr>
              <w:pStyle w:val="TableParagraph"/>
              <w:spacing w:line="312" w:lineRule="exact"/>
              <w:ind w:left="283"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2950" w:type="dxa"/>
            <w:tcBorders>
              <w:top w:val="nil" w:sz="6" w:space="0" w:color="auto"/>
              <w:left w:val="nil" w:sz="6" w:space="0" w:color="auto"/>
              <w:bottom w:val="nil" w:sz="6" w:space="0" w:color="auto"/>
              <w:right w:val="nil" w:sz="6" w:space="0" w:color="auto"/>
            </w:tcBorders>
          </w:tcPr>
          <w:p>
            <w:pPr>
              <w:pStyle w:val="TableParagraph"/>
              <w:spacing w:line="330" w:lineRule="exact"/>
              <w:ind w:right="588"/>
              <w:jc w:val="righ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w:t>
            </w:r>
          </w:p>
        </w:tc>
        <w:tc>
          <w:tcPr>
            <w:tcW w:w="20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69"/>
              <w:jc w:val="right"/>
              <w:rPr>
                <w:rFonts w:ascii="Times New Roman" w:hAnsi="Times New Roman" w:cs="Times New Roman" w:eastAsia="Times New Roman" w:hint="default"/>
                <w:sz w:val="24"/>
                <w:szCs w:val="24"/>
              </w:rPr>
            </w:pPr>
            <w:r>
              <w:rPr>
                <w:rFonts w:ascii="Times New Roman"/>
                <w:sz w:val="24"/>
              </w:rPr>
              <w:t>5</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Times New Roman" w:hAnsi="Times New Roman" w:cs="Times New Roman" w:eastAsia="Times New Roman" w:hint="default"/>
                <w:sz w:val="24"/>
                <w:szCs w:val="24"/>
              </w:rPr>
            </w:pPr>
            <w:r>
              <w:rPr>
                <w:rFonts w:ascii="Times New Roman"/>
                <w:sz w:val="24"/>
              </w:rPr>
              <w:t>19.00</w:t>
            </w:r>
          </w:p>
        </w:tc>
      </w:tr>
      <w:tr>
        <w:trPr>
          <w:trHeight w:val="402" w:hRule="exact"/>
        </w:trPr>
        <w:tc>
          <w:tcPr>
            <w:tcW w:w="2395" w:type="dxa"/>
            <w:tcBorders>
              <w:top w:val="nil" w:sz="6" w:space="0" w:color="auto"/>
              <w:left w:val="nil" w:sz="6" w:space="0" w:color="auto"/>
              <w:bottom w:val="single" w:sz="8" w:space="0" w:color="000000"/>
              <w:right w:val="nil" w:sz="6" w:space="0" w:color="auto"/>
            </w:tcBorders>
          </w:tcPr>
          <w:p>
            <w:pPr>
              <w:pStyle w:val="TableParagraph"/>
              <w:spacing w:line="311" w:lineRule="exact"/>
              <w:ind w:left="283"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950" w:type="dxa"/>
            <w:tcBorders>
              <w:top w:val="nil" w:sz="6" w:space="0" w:color="auto"/>
              <w:left w:val="nil" w:sz="6" w:space="0" w:color="auto"/>
              <w:bottom w:val="single" w:sz="8" w:space="0" w:color="000000"/>
              <w:right w:val="nil" w:sz="6" w:space="0" w:color="auto"/>
            </w:tcBorders>
          </w:tcPr>
          <w:p>
            <w:pPr>
              <w:pStyle w:val="TableParagraph"/>
              <w:spacing w:line="330" w:lineRule="exact"/>
              <w:ind w:right="588"/>
              <w:jc w:val="right"/>
              <w:rPr>
                <w:rFonts w:ascii="宋体" w:hAnsi="宋体" w:cs="宋体" w:eastAsia="宋体" w:hint="default"/>
                <w:sz w:val="24"/>
                <w:szCs w:val="24"/>
              </w:rPr>
            </w:pPr>
            <w:r>
              <w:rPr>
                <w:rFonts w:ascii="Times New Roman" w:hAnsi="Times New Roman" w:cs="Times New Roman" w:eastAsia="Times New Roman" w:hint="default"/>
                <w:sz w:val="24"/>
                <w:szCs w:val="24"/>
              </w:rPr>
              <w:t>5 </w:t>
            </w:r>
            <w:r>
              <w:rPr>
                <w:rFonts w:ascii="宋体" w:hAnsi="宋体" w:cs="宋体" w:eastAsia="宋体" w:hint="default"/>
                <w:sz w:val="24"/>
                <w:szCs w:val="24"/>
              </w:rPr>
              <w:t>年</w:t>
            </w:r>
          </w:p>
        </w:tc>
        <w:tc>
          <w:tcPr>
            <w:tcW w:w="2025"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469"/>
              <w:jc w:val="right"/>
              <w:rPr>
                <w:rFonts w:ascii="Times New Roman" w:hAnsi="Times New Roman" w:cs="Times New Roman" w:eastAsia="Times New Roman" w:hint="default"/>
                <w:sz w:val="24"/>
                <w:szCs w:val="24"/>
              </w:rPr>
            </w:pPr>
            <w:r>
              <w:rPr>
                <w:rFonts w:ascii="Times New Roman"/>
                <w:sz w:val="24"/>
              </w:rPr>
              <w:t>5</w:t>
            </w:r>
          </w:p>
        </w:tc>
        <w:tc>
          <w:tcPr>
            <w:tcW w:w="1785"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106"/>
              <w:jc w:val="right"/>
              <w:rPr>
                <w:rFonts w:ascii="Times New Roman" w:hAnsi="Times New Roman" w:cs="Times New Roman" w:eastAsia="Times New Roman" w:hint="default"/>
                <w:sz w:val="24"/>
                <w:szCs w:val="24"/>
              </w:rPr>
            </w:pPr>
            <w:r>
              <w:rPr>
                <w:rFonts w:ascii="Times New Roman"/>
                <w:sz w:val="24"/>
              </w:rPr>
              <w:t>19.00</w:t>
            </w:r>
          </w:p>
        </w:tc>
      </w:tr>
    </w:tbl>
    <w:p>
      <w:pPr>
        <w:spacing w:line="240" w:lineRule="auto" w:before="4"/>
        <w:rPr>
          <w:rFonts w:ascii="宋体" w:hAnsi="宋体" w:cs="宋体" w:eastAsia="宋体" w:hint="default"/>
          <w:sz w:val="6"/>
          <w:szCs w:val="6"/>
        </w:rPr>
      </w:pPr>
    </w:p>
    <w:p>
      <w:pPr>
        <w:pStyle w:val="BodyText"/>
        <w:spacing w:line="261" w:lineRule="auto" w:before="26"/>
        <w:ind w:left="562" w:right="0"/>
        <w:jc w:val="left"/>
      </w:pPr>
      <w:r>
        <w:rPr>
          <w:spacing w:val="-2"/>
        </w:rPr>
        <w:t>其中，已计提减值准备的固定资产，还应扣除已计提的固定资产减值准备累计金额计算</w:t>
      </w:r>
      <w:r>
        <w:rPr>
          <w:spacing w:val="-98"/>
        </w:rPr>
        <w:t> </w:t>
      </w:r>
      <w:r>
        <w:rPr>
          <w:spacing w:val="-98"/>
        </w:rPr>
      </w:r>
      <w:r>
        <w:rPr/>
        <w:t>确定折旧率。</w:t>
      </w:r>
    </w:p>
    <w:p>
      <w:pPr>
        <w:spacing w:after="0" w:line="261" w:lineRule="auto"/>
        <w:jc w:val="left"/>
        <w:sectPr>
          <w:pgSz w:w="11900" w:h="16850"/>
          <w:pgMar w:header="771" w:footer="919" w:top="1720" w:bottom="1100" w:left="1140" w:right="900"/>
        </w:sectPr>
      </w:pPr>
    </w:p>
    <w:p>
      <w:pPr>
        <w:spacing w:line="240" w:lineRule="auto" w:before="10"/>
        <w:rPr>
          <w:rFonts w:ascii="宋体" w:hAnsi="宋体" w:cs="宋体" w:eastAsia="宋体" w:hint="default"/>
          <w:sz w:val="14"/>
          <w:szCs w:val="14"/>
        </w:rPr>
      </w:pPr>
    </w:p>
    <w:p>
      <w:pPr>
        <w:pStyle w:val="BodyText"/>
        <w:spacing w:line="240" w:lineRule="auto" w:before="26"/>
        <w:ind w:left="425" w:right="0"/>
        <w:jc w:val="left"/>
      </w:pPr>
      <w:r>
        <w:rPr/>
        <w:t>（</w:t>
      </w:r>
      <w:r>
        <w:rPr>
          <w:rFonts w:ascii="Times New Roman" w:hAnsi="Times New Roman" w:cs="Times New Roman" w:eastAsia="Times New Roman" w:hint="default"/>
        </w:rPr>
        <w:t>3</w:t>
      </w:r>
      <w:r>
        <w:rPr/>
        <w:t>）固定资产的减值测试方法、减值准备计提方法见附注二、</w:t>
      </w:r>
      <w:r>
        <w:rPr>
          <w:rFonts w:ascii="Times New Roman" w:hAnsi="Times New Roman" w:cs="Times New Roman" w:eastAsia="Times New Roman" w:hint="default"/>
        </w:rPr>
        <w:t>26</w:t>
      </w:r>
      <w:r>
        <w:rPr/>
        <w:t>。</w:t>
      </w:r>
    </w:p>
    <w:p>
      <w:pPr>
        <w:pStyle w:val="BodyText"/>
        <w:spacing w:line="240" w:lineRule="auto" w:before="195"/>
        <w:ind w:left="425" w:right="0"/>
        <w:jc w:val="left"/>
      </w:pPr>
      <w:r>
        <w:rPr/>
        <w:t>（</w:t>
      </w:r>
      <w:r>
        <w:rPr>
          <w:rFonts w:ascii="Times New Roman" w:hAnsi="Times New Roman" w:cs="Times New Roman" w:eastAsia="Times New Roman" w:hint="default"/>
        </w:rPr>
        <w:t>4</w:t>
      </w:r>
      <w:r>
        <w:rPr/>
        <w:t>）融资租入固定资产的认定依据、计价方法</w:t>
      </w:r>
    </w:p>
    <w:p>
      <w:pPr>
        <w:spacing w:line="240" w:lineRule="auto" w:before="2"/>
        <w:rPr>
          <w:rFonts w:ascii="宋体" w:hAnsi="宋体" w:cs="宋体" w:eastAsia="宋体" w:hint="default"/>
          <w:sz w:val="17"/>
          <w:szCs w:val="17"/>
        </w:rPr>
      </w:pPr>
    </w:p>
    <w:p>
      <w:pPr>
        <w:pStyle w:val="BodyText"/>
        <w:spacing w:line="312" w:lineRule="exact"/>
        <w:ind w:left="742" w:right="0"/>
        <w:jc w:val="left"/>
      </w:pPr>
      <w:r>
        <w:rPr>
          <w:spacing w:val="-2"/>
        </w:rPr>
        <w:t>融资租入的固定资产，能够合理确定租赁期届满时将会取得租赁资产所有权的，在租赁</w:t>
      </w:r>
      <w:r>
        <w:rPr>
          <w:spacing w:val="-98"/>
        </w:rPr>
        <w:t> </w:t>
      </w:r>
      <w:r>
        <w:rPr>
          <w:spacing w:val="-98"/>
        </w:rPr>
      </w:r>
      <w:r>
        <w:rPr/>
        <w:t>资产尚可使用年限内计提折旧；无法合理确定租赁期届满时能够取得租赁资产所有权 的，在租赁期与租赁资产尚可使用年限两者中较短的期间内计提折旧。</w:t>
      </w:r>
    </w:p>
    <w:p>
      <w:pPr>
        <w:spacing w:line="240" w:lineRule="auto" w:before="8"/>
        <w:rPr>
          <w:rFonts w:ascii="宋体" w:hAnsi="宋体" w:cs="宋体" w:eastAsia="宋体" w:hint="default"/>
          <w:sz w:val="16"/>
          <w:szCs w:val="16"/>
        </w:rPr>
      </w:pPr>
    </w:p>
    <w:p>
      <w:pPr>
        <w:pStyle w:val="BodyText"/>
        <w:spacing w:line="310" w:lineRule="exact"/>
        <w:ind w:left="110" w:right="241" w:firstLine="314"/>
        <w:jc w:val="left"/>
      </w:pPr>
      <w:r>
        <w:rPr>
          <w:spacing w:val="2"/>
        </w:rPr>
        <w:t>（</w:t>
      </w:r>
      <w:r>
        <w:rPr>
          <w:rFonts w:ascii="Times New Roman" w:hAnsi="Times New Roman" w:cs="Times New Roman" w:eastAsia="Times New Roman" w:hint="default"/>
          <w:spacing w:val="2"/>
        </w:rPr>
        <w:t>5</w:t>
      </w:r>
      <w:r>
        <w:rPr>
          <w:spacing w:val="2"/>
        </w:rPr>
        <w:t>）每年年度终了，本公司对固定资产的使用寿命、预计净残值和折旧方法进行复</w:t>
      </w:r>
      <w:r>
        <w:rPr/>
        <w:t> 核。</w:t>
      </w:r>
    </w:p>
    <w:p>
      <w:pPr>
        <w:spacing w:line="240" w:lineRule="auto" w:before="7"/>
        <w:rPr>
          <w:rFonts w:ascii="宋体" w:hAnsi="宋体" w:cs="宋体" w:eastAsia="宋体" w:hint="default"/>
          <w:sz w:val="16"/>
          <w:szCs w:val="16"/>
        </w:rPr>
      </w:pPr>
    </w:p>
    <w:p>
      <w:pPr>
        <w:pStyle w:val="BodyText"/>
        <w:spacing w:line="312" w:lineRule="exact"/>
        <w:ind w:left="742" w:right="0"/>
        <w:jc w:val="left"/>
      </w:pPr>
      <w:r>
        <w:rPr>
          <w:spacing w:val="-2"/>
        </w:rPr>
        <w:t>使用寿命预计数与原先估计数有差异的，调整固定资产使用寿命；预计净残值预计数与</w:t>
      </w:r>
      <w:r>
        <w:rPr>
          <w:spacing w:val="-98"/>
        </w:rPr>
        <w:t> </w:t>
      </w:r>
      <w:r>
        <w:rPr>
          <w:spacing w:val="-98"/>
        </w:rPr>
      </w:r>
      <w:r>
        <w:rPr/>
        <w:t>原先估计数有差异的，调整预计净残值。</w:t>
      </w:r>
    </w:p>
    <w:p>
      <w:pPr>
        <w:pStyle w:val="BodyText"/>
        <w:spacing w:line="240" w:lineRule="auto" w:before="183"/>
        <w:ind w:left="425" w:right="0"/>
        <w:jc w:val="left"/>
      </w:pPr>
      <w:r>
        <w:rPr/>
        <w:t>（</w:t>
      </w:r>
      <w:r>
        <w:rPr>
          <w:rFonts w:ascii="Times New Roman" w:hAnsi="Times New Roman" w:cs="Times New Roman" w:eastAsia="Times New Roman" w:hint="default"/>
        </w:rPr>
        <w:t>6</w:t>
      </w:r>
      <w:r>
        <w:rPr/>
        <w:t>）大修理费用</w:t>
      </w:r>
    </w:p>
    <w:p>
      <w:pPr>
        <w:pStyle w:val="BodyText"/>
        <w:spacing w:line="237" w:lineRule="auto" w:before="198"/>
        <w:ind w:left="742" w:right="150"/>
        <w:jc w:val="both"/>
      </w:pPr>
      <w:r>
        <w:rPr>
          <w:spacing w:val="-2"/>
        </w:rPr>
        <w:t>本公司对固定资产进行定期检查发生的大修理费用，有确凿证据表明符合固定资产确认</w:t>
      </w:r>
      <w:r>
        <w:rPr>
          <w:spacing w:val="-100"/>
        </w:rPr>
        <w:t> </w:t>
      </w:r>
      <w:r>
        <w:rPr>
          <w:spacing w:val="-100"/>
        </w:rPr>
      </w:r>
      <w:r>
        <w:rPr>
          <w:spacing w:val="-2"/>
        </w:rPr>
        <w:t>条件的部分，计入固定资产成本，不符合固定资产确认条件的计入当期损益。固定资产</w:t>
      </w:r>
      <w:r>
        <w:rPr>
          <w:spacing w:val="-104"/>
        </w:rPr>
        <w:t> </w:t>
      </w:r>
      <w:r>
        <w:rPr>
          <w:spacing w:val="-104"/>
        </w:rPr>
      </w:r>
      <w:r>
        <w:rPr/>
        <w:t>在定期大修理间隔期间，照提折旧。</w:t>
      </w:r>
    </w:p>
    <w:p>
      <w:pPr>
        <w:pStyle w:val="BodyText"/>
        <w:spacing w:line="240" w:lineRule="auto" w:before="214"/>
        <w:ind w:left="322" w:right="0"/>
        <w:jc w:val="left"/>
      </w:pPr>
      <w:r>
        <w:rPr>
          <w:rFonts w:ascii="Times New Roman" w:hAnsi="Times New Roman" w:cs="Times New Roman" w:eastAsia="Times New Roman" w:hint="default"/>
        </w:rPr>
        <w:t>15</w:t>
      </w:r>
      <w:r>
        <w:rPr/>
        <w:t>、在建工程</w:t>
      </w:r>
    </w:p>
    <w:p>
      <w:pPr>
        <w:spacing w:line="240" w:lineRule="auto" w:before="6"/>
        <w:rPr>
          <w:rFonts w:ascii="宋体" w:hAnsi="宋体" w:cs="宋体" w:eastAsia="宋体" w:hint="default"/>
          <w:sz w:val="17"/>
          <w:szCs w:val="17"/>
        </w:rPr>
      </w:pPr>
    </w:p>
    <w:p>
      <w:pPr>
        <w:pStyle w:val="BodyText"/>
        <w:spacing w:line="310" w:lineRule="exact"/>
        <w:ind w:left="742" w:right="0"/>
        <w:jc w:val="left"/>
      </w:pPr>
      <w:r>
        <w:rPr>
          <w:spacing w:val="-2"/>
        </w:rPr>
        <w:t>本公司在建工程成本按实际工程支出确定﹐包括在建期间发生的各项必要工程支出、工</w:t>
      </w:r>
      <w:r>
        <w:rPr>
          <w:spacing w:val="-100"/>
        </w:rPr>
        <w:t> </w:t>
      </w:r>
      <w:r>
        <w:rPr>
          <w:spacing w:val="-100"/>
        </w:rPr>
      </w:r>
      <w:r>
        <w:rPr/>
        <w:t>程达到预定可使用状态前的应予资本化的借款费用以及其他相关费用等。</w:t>
      </w:r>
    </w:p>
    <w:p>
      <w:pPr>
        <w:pStyle w:val="BodyText"/>
        <w:spacing w:line="424" w:lineRule="auto" w:before="185"/>
        <w:ind w:left="742" w:right="3917"/>
        <w:jc w:val="left"/>
      </w:pPr>
      <w:r>
        <w:rPr/>
        <w:t>在建工程在达到预定可使用状态时转入固定资产。 在建工程计提资产减值方法见本附注二、</w:t>
      </w:r>
      <w:r>
        <w:rPr>
          <w:rFonts w:ascii="Times New Roman" w:hAnsi="Times New Roman" w:cs="Times New Roman" w:eastAsia="Times New Roman" w:hint="default"/>
        </w:rPr>
        <w:t>26</w:t>
      </w:r>
      <w:r>
        <w:rPr/>
        <w:t>。</w:t>
      </w:r>
    </w:p>
    <w:p>
      <w:pPr>
        <w:pStyle w:val="BodyText"/>
        <w:spacing w:line="321" w:lineRule="exact"/>
        <w:ind w:left="322" w:right="0"/>
        <w:jc w:val="left"/>
      </w:pPr>
      <w:r>
        <w:rPr>
          <w:rFonts w:ascii="Times New Roman" w:hAnsi="Times New Roman" w:cs="Times New Roman" w:eastAsia="Times New Roman" w:hint="default"/>
        </w:rPr>
        <w:t>16</w:t>
      </w:r>
      <w:r>
        <w:rPr/>
        <w:t>、借款费用</w:t>
      </w:r>
    </w:p>
    <w:p>
      <w:pPr>
        <w:pStyle w:val="BodyText"/>
        <w:spacing w:line="240" w:lineRule="auto" w:before="195"/>
        <w:ind w:left="425" w:right="0"/>
        <w:jc w:val="left"/>
      </w:pPr>
      <w:r>
        <w:rPr/>
        <w:t>（</w:t>
      </w:r>
      <w:r>
        <w:rPr>
          <w:rFonts w:ascii="Times New Roman" w:hAnsi="Times New Roman" w:cs="Times New Roman" w:eastAsia="Times New Roman" w:hint="default"/>
        </w:rPr>
        <w:t>1</w:t>
      </w:r>
      <w:r>
        <w:rPr/>
        <w:t>）借款费用资本化的确认原则</w:t>
      </w:r>
    </w:p>
    <w:p>
      <w:pPr>
        <w:spacing w:line="240" w:lineRule="auto" w:before="3"/>
        <w:rPr>
          <w:rFonts w:ascii="宋体" w:hAnsi="宋体" w:cs="宋体" w:eastAsia="宋体" w:hint="default"/>
          <w:sz w:val="17"/>
          <w:szCs w:val="17"/>
        </w:rPr>
      </w:pPr>
    </w:p>
    <w:p>
      <w:pPr>
        <w:pStyle w:val="BodyText"/>
        <w:spacing w:line="259" w:lineRule="auto"/>
        <w:ind w:left="742" w:right="147"/>
        <w:jc w:val="both"/>
      </w:pPr>
      <w:r>
        <w:rPr>
          <w:spacing w:val="-2"/>
        </w:rPr>
        <w:t>本公司发生的借款费用，可直接归属于符合资本化条件的资产的购建或者生产的，予以</w:t>
      </w:r>
      <w:r>
        <w:rPr>
          <w:spacing w:val="-98"/>
        </w:rPr>
        <w:t> </w:t>
      </w:r>
      <w:r>
        <w:rPr>
          <w:spacing w:val="-98"/>
        </w:rPr>
      </w:r>
      <w:r>
        <w:rPr>
          <w:spacing w:val="-2"/>
        </w:rPr>
        <w:t>资本化，计入相关资产成本；其他借款费用，在发生时根据其发生额确认为费用，计入</w:t>
      </w:r>
      <w:r>
        <w:rPr>
          <w:spacing w:val="-101"/>
        </w:rPr>
        <w:t> </w:t>
      </w:r>
      <w:r>
        <w:rPr>
          <w:spacing w:val="-101"/>
        </w:rPr>
      </w:r>
      <w:r>
        <w:rPr/>
        <w:t>当期损益。借款费用同时满足下列条件的，开始资本化：</w:t>
      </w:r>
    </w:p>
    <w:p>
      <w:pPr>
        <w:spacing w:line="240" w:lineRule="auto" w:before="1"/>
        <w:rPr>
          <w:rFonts w:ascii="宋体" w:hAnsi="宋体" w:cs="宋体" w:eastAsia="宋体" w:hint="default"/>
          <w:sz w:val="17"/>
          <w:szCs w:val="17"/>
        </w:rPr>
      </w:pPr>
    </w:p>
    <w:p>
      <w:pPr>
        <w:pStyle w:val="BodyText"/>
        <w:spacing w:line="259" w:lineRule="auto"/>
        <w:ind w:left="742" w:right="147"/>
        <w:jc w:val="left"/>
      </w:pPr>
      <w:r>
        <w:rPr/>
        <w:t>①</w:t>
      </w:r>
      <w:r>
        <w:rPr>
          <w:spacing w:val="50"/>
        </w:rPr>
        <w:t> </w:t>
      </w:r>
      <w:r>
        <w:rPr/>
        <w:t>资产支出已经发生，资产支出包括为购建或者生产符合资本化条件的资产而以支付</w:t>
      </w:r>
      <w:r>
        <w:rPr>
          <w:spacing w:val="-117"/>
        </w:rPr>
        <w:t> </w:t>
      </w:r>
      <w:r>
        <w:rPr>
          <w:spacing w:val="-117"/>
        </w:rPr>
      </w:r>
      <w:r>
        <w:rPr/>
        <w:t>现金、转移非现金资产或者承担带息债务形式发生的支出；</w:t>
      </w:r>
    </w:p>
    <w:p>
      <w:pPr>
        <w:spacing w:line="240" w:lineRule="auto" w:before="1"/>
        <w:rPr>
          <w:rFonts w:ascii="宋体" w:hAnsi="宋体" w:cs="宋体" w:eastAsia="宋体" w:hint="default"/>
          <w:sz w:val="17"/>
          <w:szCs w:val="17"/>
        </w:rPr>
      </w:pPr>
    </w:p>
    <w:p>
      <w:pPr>
        <w:pStyle w:val="BodyText"/>
        <w:spacing w:line="240" w:lineRule="auto"/>
        <w:ind w:left="742" w:right="0"/>
        <w:jc w:val="both"/>
      </w:pPr>
      <w:r>
        <w:rPr/>
        <w:t>②</w:t>
      </w:r>
      <w:r>
        <w:rPr>
          <w:spacing w:val="-1"/>
        </w:rPr>
        <w:t> </w:t>
      </w:r>
      <w:r>
        <w:rPr/>
        <w:t>借款费用已经发生；</w:t>
      </w:r>
    </w:p>
    <w:p>
      <w:pPr>
        <w:spacing w:line="240" w:lineRule="auto" w:before="8"/>
        <w:rPr>
          <w:rFonts w:ascii="宋体" w:hAnsi="宋体" w:cs="宋体" w:eastAsia="宋体" w:hint="default"/>
          <w:sz w:val="18"/>
          <w:szCs w:val="18"/>
        </w:rPr>
      </w:pPr>
    </w:p>
    <w:p>
      <w:pPr>
        <w:pStyle w:val="BodyText"/>
        <w:spacing w:line="240" w:lineRule="auto"/>
        <w:ind w:left="742" w:right="0"/>
        <w:jc w:val="both"/>
      </w:pPr>
      <w:r>
        <w:rPr/>
        <w:t>③</w:t>
      </w:r>
      <w:r>
        <w:rPr>
          <w:spacing w:val="-1"/>
        </w:rPr>
        <w:t> </w:t>
      </w:r>
      <w:r>
        <w:rPr/>
        <w:t>为使资产达到预定可使用或者可销售状态所必要的购建或者生产活动已经开始。</w:t>
      </w:r>
    </w:p>
    <w:p>
      <w:pPr>
        <w:pStyle w:val="BodyText"/>
        <w:spacing w:line="240" w:lineRule="auto" w:before="211"/>
        <w:ind w:left="425" w:right="0"/>
        <w:jc w:val="left"/>
      </w:pPr>
      <w:r>
        <w:rPr/>
        <w:t>（</w:t>
      </w:r>
      <w:r>
        <w:rPr>
          <w:rFonts w:ascii="Times New Roman" w:hAnsi="Times New Roman" w:cs="Times New Roman" w:eastAsia="Times New Roman" w:hint="default"/>
        </w:rPr>
        <w:t>2</w:t>
      </w:r>
      <w:r>
        <w:rPr/>
        <w:t>）借款费用资本化期间</w:t>
      </w:r>
    </w:p>
    <w:p>
      <w:pPr>
        <w:spacing w:line="240" w:lineRule="auto" w:before="2"/>
        <w:rPr>
          <w:rFonts w:ascii="宋体" w:hAnsi="宋体" w:cs="宋体" w:eastAsia="宋体" w:hint="default"/>
          <w:sz w:val="17"/>
          <w:szCs w:val="17"/>
        </w:rPr>
      </w:pPr>
    </w:p>
    <w:p>
      <w:pPr>
        <w:pStyle w:val="BodyText"/>
        <w:spacing w:line="261" w:lineRule="auto"/>
        <w:ind w:left="742" w:right="0"/>
        <w:jc w:val="left"/>
      </w:pPr>
      <w:r>
        <w:rPr>
          <w:spacing w:val="-2"/>
        </w:rPr>
        <w:t>本公司购建或者生产符合资本化条件的资产达到预定可使用或者可销售状态时，借款费</w:t>
      </w:r>
      <w:r>
        <w:rPr>
          <w:spacing w:val="-100"/>
        </w:rPr>
        <w:t> </w:t>
      </w:r>
      <w:r>
        <w:rPr>
          <w:spacing w:val="-100"/>
        </w:rPr>
      </w:r>
      <w:r>
        <w:rPr>
          <w:spacing w:val="-2"/>
        </w:rPr>
        <w:t>用停止资本化。在符合资本化条件的资产达到预定可使用或者可销售状态之后所发生的</w:t>
      </w:r>
    </w:p>
    <w:p>
      <w:pPr>
        <w:spacing w:after="0" w:line="261" w:lineRule="auto"/>
        <w:jc w:val="left"/>
        <w:sectPr>
          <w:pgSz w:w="11900" w:h="16850"/>
          <w:pgMar w:header="771" w:footer="919" w:top="1720" w:bottom="1100" w:left="960" w:right="980"/>
        </w:sectPr>
      </w:pPr>
    </w:p>
    <w:p>
      <w:pPr>
        <w:spacing w:line="240" w:lineRule="auto" w:before="12"/>
        <w:rPr>
          <w:rFonts w:ascii="宋体" w:hAnsi="宋体" w:cs="宋体" w:eastAsia="宋体" w:hint="default"/>
          <w:sz w:val="16"/>
          <w:szCs w:val="16"/>
        </w:rPr>
      </w:pPr>
    </w:p>
    <w:p>
      <w:pPr>
        <w:pStyle w:val="BodyText"/>
        <w:spacing w:line="240" w:lineRule="auto" w:before="26"/>
        <w:ind w:left="562" w:right="0"/>
        <w:jc w:val="both"/>
      </w:pPr>
      <w:r>
        <w:rPr/>
        <w:t>借款费用，在发生时根据其发生额确认为费用，计入当期损益。</w:t>
      </w:r>
    </w:p>
    <w:p>
      <w:pPr>
        <w:spacing w:line="240" w:lineRule="auto" w:before="7"/>
        <w:rPr>
          <w:rFonts w:ascii="宋体" w:hAnsi="宋体" w:cs="宋体" w:eastAsia="宋体" w:hint="default"/>
          <w:sz w:val="18"/>
          <w:szCs w:val="18"/>
        </w:rPr>
      </w:pPr>
    </w:p>
    <w:p>
      <w:pPr>
        <w:pStyle w:val="BodyText"/>
        <w:spacing w:line="240" w:lineRule="auto"/>
        <w:ind w:left="562" w:right="0"/>
        <w:jc w:val="both"/>
        <w:rPr>
          <w:rFonts w:ascii="Times New Roman" w:hAnsi="Times New Roman" w:cs="Times New Roman" w:eastAsia="Times New Roman" w:hint="default"/>
        </w:rPr>
      </w:pPr>
      <w:r>
        <w:rPr/>
        <w:t>符合资本化条件的资产在购建或者生产过程中发生非正常中断、且中断时间连续超过</w:t>
      </w:r>
      <w:r>
        <w:rPr>
          <w:spacing w:val="-55"/>
        </w:rPr>
        <w:t> </w:t>
      </w:r>
      <w:r>
        <w:rPr>
          <w:rFonts w:ascii="Times New Roman" w:hAnsi="Times New Roman" w:cs="Times New Roman" w:eastAsia="Times New Roman" w:hint="default"/>
        </w:rPr>
        <w:t>3</w:t>
      </w:r>
    </w:p>
    <w:p>
      <w:pPr>
        <w:pStyle w:val="BodyText"/>
        <w:spacing w:line="240" w:lineRule="auto" w:before="6"/>
        <w:ind w:left="562" w:right="0"/>
        <w:jc w:val="both"/>
      </w:pPr>
      <w:r>
        <w:rPr/>
        <w:t>个月的，暂停借款费用的资本化；正常中断期间的借款费用继续资本化。</w:t>
      </w:r>
    </w:p>
    <w:p>
      <w:pPr>
        <w:pStyle w:val="BodyText"/>
        <w:spacing w:line="240" w:lineRule="auto" w:before="214"/>
        <w:ind w:left="245" w:right="4177"/>
        <w:jc w:val="left"/>
      </w:pPr>
      <w:r>
        <w:rPr>
          <w:rFonts w:ascii="Times New Roman" w:hAnsi="Times New Roman" w:cs="Times New Roman" w:eastAsia="Times New Roman" w:hint="default"/>
        </w:rPr>
        <w:t>17</w:t>
      </w:r>
      <w:r>
        <w:rPr/>
        <w:t>、无形资产</w:t>
      </w:r>
    </w:p>
    <w:p>
      <w:pPr>
        <w:spacing w:line="240" w:lineRule="auto" w:before="2"/>
        <w:rPr>
          <w:rFonts w:ascii="宋体" w:hAnsi="宋体" w:cs="宋体" w:eastAsia="宋体" w:hint="default"/>
          <w:sz w:val="17"/>
          <w:szCs w:val="17"/>
        </w:rPr>
      </w:pPr>
    </w:p>
    <w:p>
      <w:pPr>
        <w:pStyle w:val="BodyText"/>
        <w:spacing w:line="259" w:lineRule="auto"/>
        <w:ind w:left="562" w:right="115"/>
        <w:jc w:val="both"/>
      </w:pPr>
      <w:r>
        <w:rPr>
          <w:spacing w:val="-2"/>
        </w:rPr>
        <w:t>本公司无形资产按照成本进行初始计量，并于取得无形资产时分析判断其使用寿命。使</w:t>
      </w:r>
      <w:r>
        <w:rPr>
          <w:spacing w:val="-98"/>
        </w:rPr>
        <w:t> </w:t>
      </w:r>
      <w:r>
        <w:rPr>
          <w:spacing w:val="-98"/>
        </w:rPr>
      </w:r>
      <w:r>
        <w:rPr>
          <w:spacing w:val="-2"/>
        </w:rPr>
        <w:t>用寿命为有限的，自无形资产可供使用时起，采用能反映与该资产有关的经济利益的预</w:t>
      </w:r>
      <w:r>
        <w:rPr>
          <w:spacing w:val="-98"/>
        </w:rPr>
        <w:t> </w:t>
      </w:r>
      <w:r>
        <w:rPr>
          <w:spacing w:val="-98"/>
        </w:rPr>
      </w:r>
      <w:r>
        <w:rPr>
          <w:spacing w:val="-2"/>
        </w:rPr>
        <w:t>期实现方式的摊销方法，在预计使用年限内摊销；无法可靠确定预期实现方式的，采用</w:t>
      </w:r>
      <w:r>
        <w:rPr>
          <w:spacing w:val="-104"/>
        </w:rPr>
        <w:t> </w:t>
      </w:r>
      <w:r>
        <w:rPr>
          <w:spacing w:val="-104"/>
        </w:rPr>
      </w:r>
      <w:r>
        <w:rPr/>
        <w:t>直线法摊销；使用寿命不确定的无形资产，不作摊销。</w:t>
      </w:r>
    </w:p>
    <w:p>
      <w:pPr>
        <w:spacing w:line="240" w:lineRule="auto" w:before="12"/>
        <w:rPr>
          <w:rFonts w:ascii="宋体" w:hAnsi="宋体" w:cs="宋体" w:eastAsia="宋体" w:hint="default"/>
          <w:sz w:val="16"/>
          <w:szCs w:val="16"/>
        </w:rPr>
      </w:pPr>
    </w:p>
    <w:p>
      <w:pPr>
        <w:pStyle w:val="BodyText"/>
        <w:spacing w:line="261" w:lineRule="auto"/>
        <w:ind w:left="562" w:right="115"/>
        <w:jc w:val="both"/>
      </w:pPr>
      <w:r>
        <w:rPr/>
        <w:t>本公司于每年年度终了，对使用寿命有限的无形资产的使用寿命及摊销方法进行复核， 与以前估计不同的，调整原先估计数，并按会计估计变更处理。</w:t>
      </w:r>
    </w:p>
    <w:p>
      <w:pPr>
        <w:spacing w:line="240" w:lineRule="auto" w:before="12"/>
        <w:rPr>
          <w:rFonts w:ascii="宋体" w:hAnsi="宋体" w:cs="宋体" w:eastAsia="宋体" w:hint="default"/>
          <w:sz w:val="16"/>
          <w:szCs w:val="16"/>
        </w:rPr>
      </w:pPr>
    </w:p>
    <w:p>
      <w:pPr>
        <w:pStyle w:val="BodyText"/>
        <w:spacing w:line="259" w:lineRule="auto"/>
        <w:ind w:left="562" w:right="170"/>
        <w:jc w:val="both"/>
      </w:pPr>
      <w:r>
        <w:rPr>
          <w:spacing w:val="-2"/>
        </w:rPr>
        <w:t>本公司期末预计某项无形资产已经不能给企业带来未来经济利益的，将该项无形资产的</w:t>
      </w:r>
      <w:r>
        <w:rPr>
          <w:spacing w:val="-100"/>
        </w:rPr>
        <w:t> </w:t>
      </w:r>
      <w:r>
        <w:rPr>
          <w:spacing w:val="-100"/>
        </w:rPr>
      </w:r>
      <w:r>
        <w:rPr/>
        <w:t>账面价值全部转入当期损益。</w:t>
      </w:r>
    </w:p>
    <w:p>
      <w:pPr>
        <w:spacing w:line="240" w:lineRule="auto" w:before="1"/>
        <w:rPr>
          <w:rFonts w:ascii="宋体" w:hAnsi="宋体" w:cs="宋体" w:eastAsia="宋体" w:hint="default"/>
          <w:sz w:val="17"/>
          <w:szCs w:val="17"/>
        </w:rPr>
      </w:pPr>
    </w:p>
    <w:p>
      <w:pPr>
        <w:pStyle w:val="BodyText"/>
        <w:spacing w:line="240" w:lineRule="auto"/>
        <w:ind w:left="562" w:right="0"/>
        <w:jc w:val="both"/>
      </w:pPr>
      <w:r>
        <w:rPr/>
        <w:t>无形资产计提资产减值方法见本附注二、</w:t>
      </w:r>
      <w:r>
        <w:rPr>
          <w:rFonts w:ascii="Times New Roman" w:hAnsi="Times New Roman" w:cs="Times New Roman" w:eastAsia="Times New Roman" w:hint="default"/>
        </w:rPr>
        <w:t>26</w:t>
      </w:r>
      <w:r>
        <w:rPr/>
        <w:t>。</w:t>
      </w:r>
    </w:p>
    <w:p>
      <w:pPr>
        <w:pStyle w:val="BodyText"/>
        <w:spacing w:line="391" w:lineRule="auto" w:before="196"/>
        <w:ind w:left="562" w:right="1057" w:hanging="420"/>
        <w:jc w:val="left"/>
      </w:pPr>
      <w:r>
        <w:rPr>
          <w:rFonts w:ascii="Times New Roman" w:hAnsi="Times New Roman" w:cs="Times New Roman" w:eastAsia="Times New Roman" w:hint="default"/>
        </w:rPr>
        <w:t>18</w:t>
      </w:r>
      <w:r>
        <w:rPr/>
        <w:t>、研究开发支出 本公司将内部研究开发项目的支出，区分为研究阶段支出和开发阶段支出。 研究阶段的支出，于发生时计入当期损益。</w:t>
      </w:r>
    </w:p>
    <w:p>
      <w:pPr>
        <w:pStyle w:val="BodyText"/>
        <w:spacing w:line="237" w:lineRule="auto" w:before="65"/>
        <w:ind w:left="562" w:right="167"/>
        <w:jc w:val="both"/>
      </w:pPr>
      <w:r>
        <w:rPr>
          <w:spacing w:val="-2"/>
        </w:rPr>
        <w:t>开发阶段的支出，同时满足下列条件的，才能予以资本化，即：完成该无形资产以使其</w:t>
      </w:r>
      <w:r>
        <w:rPr>
          <w:spacing w:val="-102"/>
        </w:rPr>
        <w:t> </w:t>
      </w:r>
      <w:r>
        <w:rPr>
          <w:spacing w:val="-102"/>
        </w:rPr>
      </w:r>
      <w:r>
        <w:rPr>
          <w:spacing w:val="-2"/>
        </w:rPr>
        <w:t>能够使用或出售在技术上具有可行性；具有完成该无形资产并使用或出售的意图；无形</w:t>
      </w:r>
      <w:r>
        <w:rPr>
          <w:spacing w:val="-98"/>
        </w:rPr>
        <w:t> </w:t>
      </w:r>
      <w:r>
        <w:rPr>
          <w:spacing w:val="-98"/>
        </w:rPr>
      </w:r>
      <w:r>
        <w:rPr>
          <w:spacing w:val="-2"/>
        </w:rPr>
        <w:t>资产产生经济利益的方式，包括能够证明运用该无形资产生产的产品存在市场或无形资</w:t>
      </w:r>
      <w:r>
        <w:rPr>
          <w:spacing w:val="-100"/>
        </w:rPr>
        <w:t> </w:t>
      </w:r>
      <w:r>
        <w:rPr>
          <w:spacing w:val="-100"/>
        </w:rPr>
      </w:r>
      <w:r>
        <w:rPr>
          <w:spacing w:val="-2"/>
        </w:rPr>
        <w:t>产自身存在市场，无形资产将在内部使用的，能够证明其有用性；有足够的技术、财务</w:t>
      </w:r>
      <w:r>
        <w:rPr>
          <w:spacing w:val="-105"/>
        </w:rPr>
        <w:t> </w:t>
      </w:r>
      <w:r>
        <w:rPr>
          <w:spacing w:val="-105"/>
        </w:rPr>
      </w:r>
      <w:r>
        <w:rPr>
          <w:spacing w:val="-2"/>
        </w:rPr>
        <w:t>资源和其他资源支持，以完成该无形资产的开发，并有能力使用或出售该无形资产；归</w:t>
      </w:r>
      <w:r>
        <w:rPr>
          <w:spacing w:val="-104"/>
        </w:rPr>
        <w:t> </w:t>
      </w:r>
      <w:r>
        <w:rPr>
          <w:spacing w:val="-104"/>
        </w:rPr>
      </w:r>
      <w:r>
        <w:rPr>
          <w:spacing w:val="-2"/>
        </w:rPr>
        <w:t>属于该无形资产开发阶段的支出能够可靠地计量。不满足上述条件的开发支出计入当期</w:t>
      </w:r>
      <w:r>
        <w:rPr>
          <w:spacing w:val="-100"/>
        </w:rPr>
        <w:t> </w:t>
      </w:r>
      <w:r>
        <w:rPr>
          <w:spacing w:val="-100"/>
        </w:rPr>
      </w:r>
      <w:r>
        <w:rPr/>
        <w:t>损益。</w:t>
      </w:r>
    </w:p>
    <w:p>
      <w:pPr>
        <w:spacing w:line="240" w:lineRule="auto" w:before="11"/>
        <w:rPr>
          <w:rFonts w:ascii="宋体" w:hAnsi="宋体" w:cs="宋体" w:eastAsia="宋体" w:hint="default"/>
          <w:sz w:val="18"/>
          <w:szCs w:val="18"/>
        </w:rPr>
      </w:pPr>
    </w:p>
    <w:p>
      <w:pPr>
        <w:pStyle w:val="BodyText"/>
        <w:spacing w:line="310" w:lineRule="exact"/>
        <w:ind w:left="562" w:right="167"/>
        <w:jc w:val="both"/>
      </w:pPr>
      <w:r>
        <w:rPr>
          <w:spacing w:val="-2"/>
        </w:rPr>
        <w:t>本公司研究开发项目在满足上述条件，通过技术可行性及经济可行性研究，形成项目立</w:t>
      </w:r>
      <w:r>
        <w:rPr>
          <w:spacing w:val="-98"/>
        </w:rPr>
        <w:t> </w:t>
      </w:r>
      <w:r>
        <w:rPr>
          <w:spacing w:val="-98"/>
        </w:rPr>
      </w:r>
      <w:r>
        <w:rPr/>
        <w:t>项后，进入开发阶段。</w:t>
      </w:r>
    </w:p>
    <w:p>
      <w:pPr>
        <w:pStyle w:val="BodyText"/>
        <w:spacing w:line="240" w:lineRule="auto" w:before="185"/>
        <w:ind w:left="245" w:right="4177"/>
        <w:jc w:val="left"/>
      </w:pPr>
      <w:r>
        <w:rPr>
          <w:rFonts w:ascii="Times New Roman" w:hAnsi="Times New Roman" w:cs="Times New Roman" w:eastAsia="Times New Roman" w:hint="default"/>
        </w:rPr>
        <w:t>19</w:t>
      </w:r>
      <w:r>
        <w:rPr/>
        <w:t>、长期待摊费用</w:t>
      </w:r>
    </w:p>
    <w:p>
      <w:pPr>
        <w:spacing w:line="240" w:lineRule="auto" w:before="2"/>
        <w:rPr>
          <w:rFonts w:ascii="宋体" w:hAnsi="宋体" w:cs="宋体" w:eastAsia="宋体" w:hint="default"/>
          <w:sz w:val="17"/>
          <w:szCs w:val="17"/>
        </w:rPr>
      </w:pPr>
    </w:p>
    <w:p>
      <w:pPr>
        <w:pStyle w:val="BodyText"/>
        <w:spacing w:line="259" w:lineRule="auto"/>
        <w:ind w:left="562" w:right="167"/>
        <w:jc w:val="both"/>
      </w:pPr>
      <w:r>
        <w:rPr>
          <w:spacing w:val="-2"/>
        </w:rPr>
        <w:t>本公司发生的长期待摊费用按实际成本计价，并按预计受益期限平均摊销。对不能使以</w:t>
      </w:r>
      <w:r>
        <w:rPr>
          <w:spacing w:val="-98"/>
        </w:rPr>
        <w:t> </w:t>
      </w:r>
      <w:r>
        <w:rPr>
          <w:spacing w:val="-98"/>
        </w:rPr>
      </w:r>
      <w:r>
        <w:rPr/>
        <w:t>后会计期间受益的长期待摊费用项目，其摊余价值全部计入当期损益。</w:t>
      </w:r>
    </w:p>
    <w:p>
      <w:pPr>
        <w:pStyle w:val="BodyText"/>
        <w:spacing w:line="381" w:lineRule="auto" w:before="195"/>
        <w:ind w:left="562" w:right="1057" w:hanging="420"/>
        <w:jc w:val="left"/>
      </w:pPr>
      <w:r>
        <w:rPr>
          <w:rFonts w:ascii="Times New Roman" w:hAnsi="Times New Roman" w:cs="Times New Roman" w:eastAsia="Times New Roman" w:hint="default"/>
        </w:rPr>
        <w:t>20</w:t>
      </w:r>
      <w:r>
        <w:rPr/>
        <w:t>、预计负债 如果与或有事项相关的义务同时符合以下条件，本公司将其确认为预计负债：</w:t>
      </w:r>
    </w:p>
    <w:p>
      <w:pPr>
        <w:pStyle w:val="BodyText"/>
        <w:spacing w:line="240" w:lineRule="auto" w:before="70"/>
        <w:ind w:left="562" w:right="0"/>
        <w:jc w:val="both"/>
      </w:pPr>
      <w:r>
        <w:rPr/>
        <w:t>①</w:t>
      </w:r>
      <w:r>
        <w:rPr>
          <w:spacing w:val="-1"/>
        </w:rPr>
        <w:t> </w:t>
      </w:r>
      <w:r>
        <w:rPr/>
        <w:t>该义务是本公司承担的现时义务；</w:t>
      </w:r>
    </w:p>
    <w:p>
      <w:pPr>
        <w:spacing w:after="0" w:line="240" w:lineRule="auto"/>
        <w:jc w:val="both"/>
        <w:sectPr>
          <w:pgSz w:w="11900" w:h="16850"/>
          <w:pgMar w:header="771" w:footer="919" w:top="1720" w:bottom="1100" w:left="1140" w:right="960"/>
        </w:sectPr>
      </w:pPr>
    </w:p>
    <w:p>
      <w:pPr>
        <w:spacing w:line="240" w:lineRule="auto" w:before="10"/>
        <w:rPr>
          <w:rFonts w:ascii="宋体" w:hAnsi="宋体" w:cs="宋体" w:eastAsia="宋体" w:hint="default"/>
          <w:sz w:val="14"/>
          <w:szCs w:val="14"/>
        </w:rPr>
      </w:pPr>
    </w:p>
    <w:p>
      <w:pPr>
        <w:pStyle w:val="BodyText"/>
        <w:spacing w:line="240" w:lineRule="auto" w:before="26"/>
        <w:ind w:left="562" w:right="0"/>
        <w:jc w:val="both"/>
      </w:pPr>
      <w:r>
        <w:rPr/>
        <w:t>②</w:t>
      </w:r>
      <w:r>
        <w:rPr>
          <w:spacing w:val="-1"/>
        </w:rPr>
        <w:t> </w:t>
      </w:r>
      <w:r>
        <w:rPr/>
        <w:t>该义务的履行很可能导致经济利益流出本公司；</w:t>
      </w:r>
    </w:p>
    <w:p>
      <w:pPr>
        <w:pStyle w:val="BodyText"/>
        <w:spacing w:line="240" w:lineRule="auto" w:before="214"/>
        <w:ind w:left="562" w:right="0"/>
        <w:jc w:val="both"/>
      </w:pPr>
      <w:r>
        <w:rPr/>
        <w:t>③</w:t>
      </w:r>
      <w:r>
        <w:rPr>
          <w:spacing w:val="-1"/>
        </w:rPr>
        <w:t> </w:t>
      </w:r>
      <w:r>
        <w:rPr/>
        <w:t>该义务的金额能够可靠地计量。</w:t>
      </w:r>
    </w:p>
    <w:p>
      <w:pPr>
        <w:spacing w:line="240" w:lineRule="auto" w:before="7"/>
        <w:rPr>
          <w:rFonts w:ascii="宋体" w:hAnsi="宋体" w:cs="宋体" w:eastAsia="宋体" w:hint="default"/>
          <w:sz w:val="18"/>
          <w:szCs w:val="18"/>
        </w:rPr>
      </w:pPr>
    </w:p>
    <w:p>
      <w:pPr>
        <w:pStyle w:val="BodyText"/>
        <w:spacing w:line="312" w:lineRule="exact"/>
        <w:ind w:left="562" w:right="227"/>
        <w:jc w:val="both"/>
      </w:pPr>
      <w:r>
        <w:rPr>
          <w:spacing w:val="-2"/>
        </w:rPr>
        <w:t>如果清偿已确认预计负债所需支出全部或部分预期由第三方或其他方补偿，则补偿金额</w:t>
      </w:r>
      <w:r>
        <w:rPr>
          <w:spacing w:val="-100"/>
        </w:rPr>
        <w:t> </w:t>
      </w:r>
      <w:r>
        <w:rPr>
          <w:spacing w:val="-100"/>
        </w:rPr>
      </w:r>
      <w:r>
        <w:rPr>
          <w:spacing w:val="-2"/>
        </w:rPr>
        <w:t>只能在基本确定能收到时，作为资产单独确认。确认的补偿金额不超过所确认负债的账</w:t>
      </w:r>
      <w:r>
        <w:rPr>
          <w:spacing w:val="-98"/>
        </w:rPr>
        <w:t> </w:t>
      </w:r>
      <w:r>
        <w:rPr>
          <w:spacing w:val="-98"/>
        </w:rPr>
      </w:r>
      <w:r>
        <w:rPr/>
        <w:t>面价值。</w:t>
      </w:r>
    </w:p>
    <w:p>
      <w:pPr>
        <w:pStyle w:val="BodyText"/>
        <w:spacing w:line="240" w:lineRule="auto" w:before="185"/>
        <w:ind w:left="142" w:right="0"/>
        <w:jc w:val="left"/>
      </w:pPr>
      <w:r>
        <w:rPr>
          <w:rFonts w:ascii="Times New Roman" w:hAnsi="Times New Roman" w:cs="Times New Roman" w:eastAsia="Times New Roman" w:hint="default"/>
        </w:rPr>
        <w:t>21</w:t>
      </w:r>
      <w:r>
        <w:rPr/>
        <w:t>、股份支付</w:t>
      </w:r>
    </w:p>
    <w:p>
      <w:pPr>
        <w:pStyle w:val="BodyText"/>
        <w:spacing w:line="381" w:lineRule="auto" w:before="194"/>
        <w:ind w:left="562" w:right="1837" w:hanging="420"/>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240" w:lineRule="auto" w:before="72"/>
        <w:ind w:left="142" w:right="0"/>
        <w:jc w:val="left"/>
      </w:pPr>
      <w:r>
        <w:rPr/>
        <w:t>（</w:t>
      </w:r>
      <w:r>
        <w:rPr>
          <w:rFonts w:ascii="Times New Roman" w:hAnsi="Times New Roman" w:cs="Times New Roman" w:eastAsia="Times New Roman" w:hint="default"/>
        </w:rPr>
        <w:t>2</w:t>
      </w:r>
      <w:r>
        <w:rPr/>
        <w:t>）权益工具公允价值的确定方法</w:t>
      </w:r>
    </w:p>
    <w:p>
      <w:pPr>
        <w:spacing w:line="240" w:lineRule="auto" w:before="2"/>
        <w:rPr>
          <w:rFonts w:ascii="宋体" w:hAnsi="宋体" w:cs="宋体" w:eastAsia="宋体" w:hint="default"/>
          <w:sz w:val="17"/>
          <w:szCs w:val="17"/>
        </w:rPr>
      </w:pPr>
    </w:p>
    <w:p>
      <w:pPr>
        <w:pStyle w:val="BodyText"/>
        <w:spacing w:line="312" w:lineRule="exact"/>
        <w:ind w:left="562" w:right="227"/>
        <w:jc w:val="both"/>
      </w:pPr>
      <w:r>
        <w:rPr>
          <w:spacing w:val="-2"/>
        </w:rPr>
        <w:t>本公司对于授予的存在活跃市场的期权等权益工具，按照活跃市场中的报价确定其公允</w:t>
      </w:r>
      <w:r>
        <w:rPr>
          <w:spacing w:val="-100"/>
        </w:rPr>
        <w:t> </w:t>
      </w:r>
      <w:r>
        <w:rPr>
          <w:spacing w:val="-100"/>
        </w:rPr>
      </w:r>
      <w:r>
        <w:rPr>
          <w:spacing w:val="-2"/>
        </w:rPr>
        <w:t>价值。对于授予的不存在活跃市场的期权等权益工具，采用期权定价模型等确定其公允</w:t>
      </w:r>
      <w:r>
        <w:rPr>
          <w:spacing w:val="-98"/>
        </w:rPr>
        <w:t> </w:t>
      </w:r>
      <w:r>
        <w:rPr>
          <w:spacing w:val="-98"/>
        </w:rPr>
      </w:r>
      <w:r>
        <w:rPr/>
        <w:t>价值。</w:t>
      </w:r>
    </w:p>
    <w:p>
      <w:pPr>
        <w:pStyle w:val="BodyText"/>
        <w:spacing w:line="240" w:lineRule="auto" w:before="183"/>
        <w:ind w:left="142" w:right="0"/>
        <w:jc w:val="left"/>
      </w:pPr>
      <w:r>
        <w:rPr/>
        <w:t>（</w:t>
      </w:r>
      <w:r>
        <w:rPr>
          <w:rFonts w:ascii="Times New Roman" w:hAnsi="Times New Roman" w:cs="Times New Roman" w:eastAsia="Times New Roman" w:hint="default"/>
        </w:rPr>
        <w:t>3</w:t>
      </w:r>
      <w:r>
        <w:rPr/>
        <w:t>）确认可行权权益工具最佳估计的依据</w:t>
      </w:r>
    </w:p>
    <w:p>
      <w:pPr>
        <w:pStyle w:val="BodyText"/>
        <w:spacing w:line="237" w:lineRule="auto" w:before="199"/>
        <w:ind w:left="562" w:right="230"/>
        <w:jc w:val="both"/>
      </w:pPr>
      <w:r>
        <w:rPr>
          <w:spacing w:val="-2"/>
        </w:rPr>
        <w:t>等待期内每个资产负债表日，本公司根据最新取得的可行权职工人数变动等后续信息作</w:t>
      </w:r>
      <w:r>
        <w:rPr>
          <w:spacing w:val="-100"/>
        </w:rPr>
        <w:t> </w:t>
      </w:r>
      <w:r>
        <w:rPr>
          <w:spacing w:val="-100"/>
        </w:rPr>
      </w:r>
      <w:r>
        <w:rPr>
          <w:spacing w:val="-2"/>
        </w:rPr>
        <w:t>出最佳估计，修正预计可行权的权益工具数量。在可行权日，最终预计可行权权益工具</w:t>
      </w:r>
      <w:r>
        <w:rPr>
          <w:spacing w:val="-102"/>
        </w:rPr>
        <w:t> </w:t>
      </w:r>
      <w:r>
        <w:rPr>
          <w:spacing w:val="-102"/>
        </w:rPr>
      </w:r>
      <w:r>
        <w:rPr/>
        <w:t>的数量与实际可行权数量一致。</w:t>
      </w:r>
    </w:p>
    <w:p>
      <w:pPr>
        <w:pStyle w:val="BodyText"/>
        <w:spacing w:line="240" w:lineRule="auto" w:before="214"/>
        <w:ind w:left="245" w:right="0"/>
        <w:jc w:val="left"/>
      </w:pPr>
      <w:r>
        <w:rPr>
          <w:rFonts w:ascii="Times New Roman" w:hAnsi="Times New Roman" w:cs="Times New Roman" w:eastAsia="Times New Roman" w:hint="default"/>
        </w:rPr>
        <w:t>22</w:t>
      </w:r>
      <w:r>
        <w:rPr/>
        <w:t>、收入</w:t>
      </w:r>
    </w:p>
    <w:p>
      <w:pPr>
        <w:pStyle w:val="BodyText"/>
        <w:spacing w:line="240" w:lineRule="auto" w:before="195"/>
        <w:ind w:left="245"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通用软件产品销售收入的确认原则及方法</w:t>
      </w:r>
    </w:p>
    <w:p>
      <w:pPr>
        <w:spacing w:line="240" w:lineRule="auto" w:before="13"/>
        <w:rPr>
          <w:rFonts w:ascii="宋体" w:hAnsi="宋体" w:cs="宋体" w:eastAsia="宋体" w:hint="default"/>
          <w:sz w:val="16"/>
          <w:szCs w:val="16"/>
        </w:rPr>
      </w:pPr>
    </w:p>
    <w:p>
      <w:pPr>
        <w:pStyle w:val="BodyText"/>
        <w:spacing w:line="259" w:lineRule="auto"/>
        <w:ind w:left="562" w:right="227"/>
        <w:jc w:val="both"/>
      </w:pPr>
      <w:r>
        <w:rPr>
          <w:spacing w:val="-2"/>
        </w:rPr>
        <w:t>本公司在已将所销售的软件产品所有权上的主要风险或报酬转移给购货方，并不再对该</w:t>
      </w:r>
      <w:r>
        <w:rPr>
          <w:spacing w:val="-100"/>
        </w:rPr>
        <w:t> </w:t>
      </w:r>
      <w:r>
        <w:rPr>
          <w:spacing w:val="-100"/>
        </w:rPr>
      </w:r>
      <w:r>
        <w:rPr>
          <w:spacing w:val="-2"/>
        </w:rPr>
        <w:t>软件产品实施继续管理权和实际控制权，相关的收入已经取得或取得了收款的凭据且相</w:t>
      </w:r>
      <w:r>
        <w:rPr>
          <w:spacing w:val="-100"/>
        </w:rPr>
        <w:t> </w:t>
      </w:r>
      <w:r>
        <w:rPr>
          <w:spacing w:val="-100"/>
        </w:rPr>
      </w:r>
      <w:r>
        <w:rPr>
          <w:spacing w:val="-2"/>
        </w:rPr>
        <w:t>关的经济利益很可能流入公司，与销售该商品有关的成本能够可靠地计量时，确认商品</w:t>
      </w:r>
      <w:r>
        <w:rPr>
          <w:spacing w:val="-98"/>
        </w:rPr>
        <w:t> </w:t>
      </w:r>
      <w:r>
        <w:rPr>
          <w:spacing w:val="-98"/>
        </w:rPr>
      </w:r>
      <w:r>
        <w:rPr/>
        <w:t>销售收入的实现。</w:t>
      </w:r>
    </w:p>
    <w:p>
      <w:pPr>
        <w:spacing w:line="240" w:lineRule="auto" w:before="1"/>
        <w:rPr>
          <w:rFonts w:ascii="宋体" w:hAnsi="宋体" w:cs="宋体" w:eastAsia="宋体" w:hint="default"/>
          <w:sz w:val="17"/>
          <w:szCs w:val="17"/>
        </w:rPr>
      </w:pPr>
    </w:p>
    <w:p>
      <w:pPr>
        <w:pStyle w:val="BodyText"/>
        <w:spacing w:line="261" w:lineRule="auto"/>
        <w:ind w:left="562" w:right="0"/>
        <w:jc w:val="left"/>
      </w:pPr>
      <w:r>
        <w:rPr/>
        <w:t>合同中明确规定了软件系统维护条款的，结合实际情况，若后续维护工作量较大，与维 </w:t>
      </w:r>
      <w:r>
        <w:rPr>
          <w:spacing w:val="-5"/>
        </w:rPr>
        <w:t>护相关的收入在维护期满后确认；若后续维护工作量较小，在实现销售后确认全部收入。</w:t>
      </w:r>
    </w:p>
    <w:p>
      <w:pPr>
        <w:pStyle w:val="BodyText"/>
        <w:spacing w:line="240" w:lineRule="auto" w:before="190"/>
        <w:ind w:left="245"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软件配套产品销售收入的确认原则及方法</w:t>
      </w:r>
    </w:p>
    <w:p>
      <w:pPr>
        <w:spacing w:line="240" w:lineRule="auto" w:before="2"/>
        <w:rPr>
          <w:rFonts w:ascii="宋体" w:hAnsi="宋体" w:cs="宋体" w:eastAsia="宋体" w:hint="default"/>
          <w:sz w:val="17"/>
          <w:szCs w:val="17"/>
        </w:rPr>
      </w:pPr>
    </w:p>
    <w:p>
      <w:pPr>
        <w:pStyle w:val="BodyText"/>
        <w:spacing w:line="259" w:lineRule="auto"/>
        <w:ind w:left="562" w:right="228"/>
        <w:jc w:val="both"/>
      </w:pPr>
      <w:r>
        <w:rPr>
          <w:spacing w:val="-2"/>
        </w:rPr>
        <w:t>本公司在已将所代理销售的软件产品所有权上的主要风险或报酬转移给购货方，并不再</w:t>
      </w:r>
      <w:r>
        <w:rPr>
          <w:spacing w:val="-100"/>
        </w:rPr>
        <w:t> </w:t>
      </w:r>
      <w:r>
        <w:rPr>
          <w:spacing w:val="-100"/>
        </w:rPr>
      </w:r>
      <w:r>
        <w:rPr>
          <w:spacing w:val="-2"/>
        </w:rPr>
        <w:t>对该软件产品实施继续管理权和实际控制权，相关的收入已经取得或取得了收款的凭据</w:t>
      </w:r>
      <w:r>
        <w:rPr>
          <w:spacing w:val="-100"/>
        </w:rPr>
        <w:t> </w:t>
      </w:r>
      <w:r>
        <w:rPr>
          <w:spacing w:val="-100"/>
        </w:rPr>
      </w:r>
      <w:r>
        <w:rPr>
          <w:spacing w:val="-2"/>
        </w:rPr>
        <w:t>且相关的经济利益很可能流入公司，与销售该商品有关的成本能够可靠地计量时，确认</w:t>
      </w:r>
      <w:r>
        <w:rPr>
          <w:spacing w:val="-99"/>
        </w:rPr>
        <w:t> </w:t>
      </w:r>
      <w:r>
        <w:rPr>
          <w:spacing w:val="-99"/>
        </w:rPr>
      </w:r>
      <w:r>
        <w:rPr/>
        <w:t>商品销售收入的实现。</w:t>
      </w:r>
    </w:p>
    <w:p>
      <w:pPr>
        <w:pStyle w:val="BodyText"/>
        <w:spacing w:line="381" w:lineRule="auto" w:before="194"/>
        <w:ind w:left="562" w:right="2317" w:hanging="317"/>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GIS </w:t>
      </w:r>
      <w:r>
        <w:rPr/>
        <w:t>定制软件收入的确认原则及方法 在同一个会计期间内开始并完成的劳务，在劳务完成时确认收入。</w:t>
      </w:r>
    </w:p>
    <w:p>
      <w:pPr>
        <w:spacing w:after="0" w:line="381" w:lineRule="auto"/>
        <w:jc w:val="left"/>
        <w:sectPr>
          <w:footerReference w:type="default" r:id="rId59"/>
          <w:pgSz w:w="11900" w:h="16850"/>
          <w:pgMar w:footer="919" w:header="771" w:top="1720" w:bottom="1100" w:left="1140" w:right="900"/>
          <w:pgNumType w:start="127"/>
        </w:sectPr>
      </w:pPr>
    </w:p>
    <w:p>
      <w:pPr>
        <w:spacing w:line="240" w:lineRule="auto" w:before="10"/>
        <w:rPr>
          <w:rFonts w:ascii="宋体" w:hAnsi="宋体" w:cs="宋体" w:eastAsia="宋体" w:hint="default"/>
          <w:sz w:val="14"/>
          <w:szCs w:val="14"/>
        </w:rPr>
      </w:pPr>
    </w:p>
    <w:p>
      <w:pPr>
        <w:pStyle w:val="BodyText"/>
        <w:spacing w:line="237" w:lineRule="auto" w:before="28"/>
        <w:ind w:left="562" w:right="147"/>
        <w:jc w:val="both"/>
      </w:pPr>
      <w:r>
        <w:rPr>
          <w:spacing w:val="-2"/>
        </w:rPr>
        <w:t>劳务的开始和完成分属不同的会计期间，且在资产负债表日定制软件收入和成本能够可</w:t>
      </w:r>
      <w:r>
        <w:rPr>
          <w:spacing w:val="-100"/>
        </w:rPr>
        <w:t> </w:t>
      </w:r>
      <w:r>
        <w:rPr>
          <w:spacing w:val="-100"/>
        </w:rPr>
      </w:r>
      <w:r>
        <w:rPr>
          <w:spacing w:val="-2"/>
        </w:rPr>
        <w:t>靠地计量，与交易相关的经济利益能够流入公司，劳务的完成程度能够可靠地确定的前</w:t>
      </w:r>
      <w:r>
        <w:rPr>
          <w:spacing w:val="-98"/>
        </w:rPr>
        <w:t> </w:t>
      </w:r>
      <w:r>
        <w:rPr>
          <w:spacing w:val="-98"/>
        </w:rPr>
      </w:r>
      <w:r>
        <w:rPr/>
        <w:t>提下，采用完工百分比法确认相关的劳务收入。</w:t>
      </w:r>
    </w:p>
    <w:p>
      <w:pPr>
        <w:spacing w:line="240" w:lineRule="auto" w:before="9"/>
        <w:rPr>
          <w:rFonts w:ascii="宋体" w:hAnsi="宋体" w:cs="宋体" w:eastAsia="宋体" w:hint="default"/>
          <w:sz w:val="18"/>
          <w:szCs w:val="18"/>
        </w:rPr>
      </w:pPr>
    </w:p>
    <w:p>
      <w:pPr>
        <w:pStyle w:val="BodyText"/>
        <w:spacing w:line="312" w:lineRule="exact"/>
        <w:ind w:left="562" w:right="147"/>
        <w:jc w:val="both"/>
      </w:pPr>
      <w:r>
        <w:rPr>
          <w:spacing w:val="-2"/>
        </w:rPr>
        <w:t>在资产负债表日根据已经为客户实施的工作量，确定定制软件合同的完工程度，并按完</w:t>
      </w:r>
      <w:r>
        <w:rPr>
          <w:spacing w:val="-98"/>
        </w:rPr>
        <w:t> </w:t>
      </w:r>
      <w:r>
        <w:rPr>
          <w:spacing w:val="-98"/>
        </w:rPr>
      </w:r>
      <w:r>
        <w:rPr/>
        <w:t>工进度确认定制软件收入。</w:t>
      </w:r>
    </w:p>
    <w:p>
      <w:pPr>
        <w:pStyle w:val="BodyText"/>
        <w:spacing w:line="240" w:lineRule="auto" w:before="185"/>
        <w:ind w:left="245" w:right="136"/>
        <w:jc w:val="left"/>
      </w:pPr>
      <w:r>
        <w:rPr/>
        <w:t>（</w:t>
      </w:r>
      <w:r>
        <w:rPr>
          <w:rFonts w:ascii="Times New Roman" w:hAnsi="Times New Roman" w:cs="Times New Roman" w:eastAsia="Times New Roman" w:hint="default"/>
        </w:rPr>
        <w:t>4</w:t>
      </w:r>
      <w:r>
        <w:rPr/>
        <w:t>）具有融资性质的分期收款销售商品收入的确认原则及方法</w:t>
      </w:r>
    </w:p>
    <w:p>
      <w:pPr>
        <w:spacing w:line="240" w:lineRule="auto" w:before="2"/>
        <w:rPr>
          <w:rFonts w:ascii="宋体" w:hAnsi="宋体" w:cs="宋体" w:eastAsia="宋体" w:hint="default"/>
          <w:sz w:val="17"/>
          <w:szCs w:val="17"/>
        </w:rPr>
      </w:pPr>
    </w:p>
    <w:p>
      <w:pPr>
        <w:pStyle w:val="BodyText"/>
        <w:spacing w:line="312" w:lineRule="exact"/>
        <w:ind w:left="562" w:right="147"/>
        <w:jc w:val="both"/>
      </w:pPr>
      <w:r>
        <w:rPr>
          <w:spacing w:val="-2"/>
        </w:rPr>
        <w:t>按照应收的合同或协议价款的公允价值确定收入金额。应收的合同或协议价款与其公允</w:t>
      </w:r>
      <w:r>
        <w:rPr>
          <w:spacing w:val="-100"/>
        </w:rPr>
        <w:t> </w:t>
      </w:r>
      <w:r>
        <w:rPr>
          <w:spacing w:val="-100"/>
        </w:rPr>
      </w:r>
      <w:r>
        <w:rPr>
          <w:spacing w:val="-2"/>
        </w:rPr>
        <w:t>价值之间的差额，在合同或协议期间内，按照应收款项的摊余成本和实际利率计算确定</w:t>
      </w:r>
      <w:r>
        <w:rPr>
          <w:spacing w:val="-98"/>
        </w:rPr>
        <w:t> </w:t>
      </w:r>
      <w:r>
        <w:rPr>
          <w:spacing w:val="-98"/>
        </w:rPr>
      </w:r>
      <w:r>
        <w:rPr/>
        <w:t>的金额进行摊销，作为财务费用的抵减处理。</w:t>
      </w:r>
    </w:p>
    <w:p>
      <w:pPr>
        <w:pStyle w:val="BodyText"/>
        <w:spacing w:line="381" w:lineRule="auto" w:before="183"/>
        <w:ind w:left="562" w:right="3437" w:hanging="420"/>
        <w:jc w:val="left"/>
      </w:pPr>
      <w:r>
        <w:rPr>
          <w:rFonts w:ascii="Times New Roman" w:hAnsi="Times New Roman" w:cs="Times New Roman" w:eastAsia="Times New Roman" w:hint="default"/>
        </w:rPr>
        <w:t>23</w:t>
      </w:r>
      <w:r>
        <w:rPr/>
        <w:t>、政府补助 政府补助在满足政府补助所附条件并能够收到时确认。</w:t>
      </w:r>
    </w:p>
    <w:p>
      <w:pPr>
        <w:pStyle w:val="BodyText"/>
        <w:spacing w:line="237" w:lineRule="auto" w:before="75"/>
        <w:ind w:left="562" w:right="147"/>
        <w:jc w:val="both"/>
      </w:pPr>
      <w:r>
        <w:rPr>
          <w:spacing w:val="-2"/>
        </w:rPr>
        <w:t>对于货币性资产的政府补助，按照收到或应收的金额计量。其中，存在确凿证据表明该</w:t>
      </w:r>
      <w:r>
        <w:rPr>
          <w:spacing w:val="-102"/>
        </w:rPr>
        <w:t> </w:t>
      </w:r>
      <w:r>
        <w:rPr>
          <w:spacing w:val="-102"/>
        </w:rPr>
      </w:r>
      <w:r>
        <w:rPr>
          <w:spacing w:val="-2"/>
        </w:rPr>
        <w:t>项补助是按照固定的定额标准拨付的，可以按照应收的金额计量，否则应当按照实际收</w:t>
      </w:r>
      <w:r>
        <w:rPr>
          <w:spacing w:val="-98"/>
        </w:rPr>
        <w:t> </w:t>
      </w:r>
      <w:r>
        <w:rPr>
          <w:spacing w:val="-98"/>
        </w:rPr>
      </w:r>
      <w:r>
        <w:rPr>
          <w:spacing w:val="-2"/>
        </w:rPr>
        <w:t>到的金额计量。对于非货币性资产的政府补助，按照公允价值计量；公允价值不能够可</w:t>
      </w:r>
      <w:r>
        <w:rPr>
          <w:spacing w:val="-100"/>
        </w:rPr>
        <w:t> </w:t>
      </w:r>
      <w:r>
        <w:rPr>
          <w:spacing w:val="-100"/>
        </w:rPr>
      </w:r>
      <w:r>
        <w:rPr/>
        <w:t>靠取得的，按照名义金额</w:t>
      </w:r>
      <w:r>
        <w:rPr>
          <w:spacing w:val="-60"/>
        </w:rPr>
        <w:t> </w:t>
      </w:r>
      <w:r>
        <w:rPr>
          <w:rFonts w:ascii="Times New Roman" w:hAnsi="Times New Roman" w:cs="Times New Roman" w:eastAsia="Times New Roman" w:hint="default"/>
        </w:rPr>
        <w:t>1 </w:t>
      </w:r>
      <w:r>
        <w:rPr/>
        <w:t>元计量。</w:t>
      </w:r>
    </w:p>
    <w:p>
      <w:pPr>
        <w:pStyle w:val="BodyText"/>
        <w:spacing w:line="237" w:lineRule="auto" w:before="196"/>
        <w:ind w:left="562" w:right="150"/>
        <w:jc w:val="both"/>
      </w:pPr>
      <w:r>
        <w:rPr>
          <w:spacing w:val="-2"/>
        </w:rPr>
        <w:t>与资产相关的政府补助，确认为递延收益，并在相关资产使用期限内平均分配，计入当</w:t>
      </w:r>
      <w:r>
        <w:rPr>
          <w:spacing w:val="-102"/>
        </w:rPr>
        <w:t> </w:t>
      </w:r>
      <w:r>
        <w:rPr>
          <w:spacing w:val="-102"/>
        </w:rPr>
      </w:r>
      <w:r>
        <w:rPr>
          <w:spacing w:val="-2"/>
        </w:rPr>
        <w:t>期损益。与收益相关的政府补助，如果用于补偿已发生的相关费用或损失，则计入当期</w:t>
      </w:r>
      <w:r>
        <w:rPr>
          <w:spacing w:val="-104"/>
        </w:rPr>
        <w:t> </w:t>
      </w:r>
      <w:r>
        <w:rPr>
          <w:spacing w:val="-104"/>
        </w:rPr>
      </w:r>
      <w:r>
        <w:rPr>
          <w:spacing w:val="-2"/>
        </w:rPr>
        <w:t>损益；如果用于补偿以后期间的相关费用或损失，则计入递延收益，于费用确认期间计</w:t>
      </w:r>
      <w:r>
        <w:rPr>
          <w:spacing w:val="-101"/>
        </w:rPr>
        <w:t> </w:t>
      </w:r>
      <w:r>
        <w:rPr>
          <w:spacing w:val="-101"/>
        </w:rPr>
      </w:r>
      <w:r>
        <w:rPr/>
        <w:t>入当期损益。按照名义金额计量的政府补助，直接计入当期损益。</w:t>
      </w:r>
    </w:p>
    <w:p>
      <w:pPr>
        <w:pStyle w:val="BodyText"/>
        <w:spacing w:line="240" w:lineRule="auto" w:before="214"/>
        <w:ind w:left="142" w:right="2957"/>
        <w:jc w:val="left"/>
      </w:pPr>
      <w:r>
        <w:rPr>
          <w:rFonts w:ascii="Times New Roman" w:hAnsi="Times New Roman" w:cs="Times New Roman" w:eastAsia="Times New Roman" w:hint="default"/>
        </w:rPr>
        <w:t>24</w:t>
      </w:r>
      <w:r>
        <w:rPr/>
        <w:t>、递延所得税资产及递延所得税负债</w:t>
      </w:r>
    </w:p>
    <w:p>
      <w:pPr>
        <w:pStyle w:val="BodyText"/>
        <w:spacing w:line="237" w:lineRule="auto" w:before="198"/>
        <w:ind w:left="562" w:right="147"/>
        <w:jc w:val="both"/>
      </w:pPr>
      <w:r>
        <w:rPr>
          <w:spacing w:val="-2"/>
        </w:rPr>
        <w:t>所得税包括当期所得税和递延所得税。除由于企业合并产生的调整商誉，或与直接计入</w:t>
      </w:r>
      <w:r>
        <w:rPr>
          <w:spacing w:val="-98"/>
        </w:rPr>
        <w:t> </w:t>
      </w:r>
      <w:r>
        <w:rPr>
          <w:spacing w:val="-98"/>
        </w:rPr>
      </w:r>
      <w:r>
        <w:rPr>
          <w:spacing w:val="-2"/>
        </w:rPr>
        <w:t>所有者权益的交易或者事项相关的递延所得税计入所有者权益外，均作为所得税费用计</w:t>
      </w:r>
      <w:r>
        <w:rPr>
          <w:spacing w:val="-99"/>
        </w:rPr>
        <w:t> </w:t>
      </w:r>
      <w:r>
        <w:rPr>
          <w:spacing w:val="-99"/>
        </w:rPr>
      </w:r>
      <w:r>
        <w:rPr/>
        <w:t>入当期损益。</w:t>
      </w:r>
    </w:p>
    <w:p>
      <w:pPr>
        <w:spacing w:line="240" w:lineRule="auto" w:before="9"/>
        <w:rPr>
          <w:rFonts w:ascii="宋体" w:hAnsi="宋体" w:cs="宋体" w:eastAsia="宋体" w:hint="default"/>
          <w:sz w:val="18"/>
          <w:szCs w:val="18"/>
        </w:rPr>
      </w:pPr>
    </w:p>
    <w:p>
      <w:pPr>
        <w:pStyle w:val="BodyText"/>
        <w:spacing w:line="312" w:lineRule="exact"/>
        <w:ind w:left="562" w:right="147"/>
        <w:jc w:val="both"/>
      </w:pPr>
      <w:r>
        <w:rPr>
          <w:spacing w:val="-2"/>
        </w:rPr>
        <w:t>本公司根据资产、负债于资产负债表日的账面价值与计税基础之间的暂时性差异，采用</w:t>
      </w:r>
      <w:r>
        <w:rPr>
          <w:spacing w:val="-98"/>
        </w:rPr>
        <w:t> </w:t>
      </w:r>
      <w:r>
        <w:rPr>
          <w:spacing w:val="-98"/>
        </w:rPr>
      </w:r>
      <w:r>
        <w:rPr/>
        <w:t>资产负债表债务法确认递延所得税。</w:t>
      </w:r>
    </w:p>
    <w:p>
      <w:pPr>
        <w:pStyle w:val="BodyText"/>
        <w:spacing w:line="312" w:lineRule="exact" w:before="213"/>
        <w:ind w:left="562" w:right="150"/>
        <w:jc w:val="both"/>
      </w:pPr>
      <w:r>
        <w:rPr>
          <w:spacing w:val="-2"/>
        </w:rPr>
        <w:t>各项应纳税暂时性差异均确认相关的递延所得税负债，除非该应纳税暂时性差异是在以</w:t>
      </w:r>
      <w:r>
        <w:rPr>
          <w:spacing w:val="-100"/>
        </w:rPr>
        <w:t> </w:t>
      </w:r>
      <w:r>
        <w:rPr>
          <w:spacing w:val="-100"/>
        </w:rPr>
      </w:r>
      <w:r>
        <w:rPr/>
        <w:t>下交易中产生的：</w:t>
      </w:r>
    </w:p>
    <w:p>
      <w:pPr>
        <w:spacing w:line="240" w:lineRule="auto" w:before="8"/>
        <w:rPr>
          <w:rFonts w:ascii="宋体" w:hAnsi="宋体" w:cs="宋体" w:eastAsia="宋体" w:hint="default"/>
          <w:sz w:val="16"/>
          <w:szCs w:val="16"/>
        </w:rPr>
      </w:pPr>
    </w:p>
    <w:p>
      <w:pPr>
        <w:pStyle w:val="BodyText"/>
        <w:spacing w:line="310" w:lineRule="exact"/>
        <w:ind w:left="562" w:right="156"/>
        <w:jc w:val="both"/>
      </w:pPr>
      <w:r>
        <w:rPr/>
        <w:t>（</w:t>
      </w:r>
      <w:r>
        <w:rPr>
          <w:rFonts w:ascii="Times New Roman" w:hAnsi="Times New Roman" w:cs="Times New Roman" w:eastAsia="Times New Roman" w:hint="default"/>
        </w:rPr>
        <w:t>1</w:t>
      </w:r>
      <w:r>
        <w:rPr/>
        <w:t>）商誉的初始确认，或者具有以下特征的交易中产生的资产或负债的初始确认：该</w:t>
      </w:r>
      <w:r>
        <w:rPr>
          <w:spacing w:val="-67"/>
        </w:rPr>
        <w:t> </w:t>
      </w:r>
      <w:r>
        <w:rPr>
          <w:spacing w:val="-67"/>
        </w:rPr>
      </w:r>
      <w:r>
        <w:rPr/>
        <w:t>交易不是企业合并，并且交易发生时既不影响会计利润也不影响应纳税所得额；</w:t>
      </w:r>
    </w:p>
    <w:p>
      <w:pPr>
        <w:spacing w:line="240" w:lineRule="auto" w:before="7"/>
        <w:rPr>
          <w:rFonts w:ascii="宋体" w:hAnsi="宋体" w:cs="宋体" w:eastAsia="宋体" w:hint="default"/>
          <w:sz w:val="16"/>
          <w:szCs w:val="16"/>
        </w:rPr>
      </w:pPr>
    </w:p>
    <w:p>
      <w:pPr>
        <w:pStyle w:val="BodyText"/>
        <w:spacing w:line="312" w:lineRule="exact"/>
        <w:ind w:left="562" w:right="147"/>
        <w:jc w:val="both"/>
      </w:pPr>
      <w:r>
        <w:rPr/>
        <w:t>（</w:t>
      </w:r>
      <w:r>
        <w:rPr>
          <w:rFonts w:ascii="Times New Roman" w:hAnsi="Times New Roman" w:cs="Times New Roman" w:eastAsia="Times New Roman" w:hint="default"/>
        </w:rPr>
        <w:t>2</w:t>
      </w:r>
      <w:r>
        <w:rPr/>
        <w:t>）对于与子公司、合营企业及联营企业投资相关的应纳税暂时性差异，该暂时性差</w:t>
      </w:r>
      <w:r>
        <w:rPr>
          <w:spacing w:val="-67"/>
        </w:rPr>
        <w:t> </w:t>
      </w:r>
      <w:r>
        <w:rPr>
          <w:spacing w:val="-67"/>
        </w:rPr>
      </w:r>
      <w:r>
        <w:rPr/>
        <w:t>异转回的时间能够控制并且该暂时性差异在可预见的未来很可能不会转回。</w:t>
      </w:r>
    </w:p>
    <w:p>
      <w:pPr>
        <w:pStyle w:val="BodyText"/>
        <w:spacing w:line="312" w:lineRule="exact" w:before="213"/>
        <w:ind w:left="562" w:right="147"/>
        <w:jc w:val="both"/>
      </w:pPr>
      <w:r>
        <w:rPr>
          <w:spacing w:val="-2"/>
        </w:rPr>
        <w:t>对于可抵扣暂时性差异、能够结转以后年度的可抵扣亏损和税款抵减，本公司以很可能</w:t>
      </w:r>
      <w:r>
        <w:rPr>
          <w:spacing w:val="-98"/>
        </w:rPr>
        <w:t> </w:t>
      </w:r>
      <w:r>
        <w:rPr>
          <w:spacing w:val="-98"/>
        </w:rPr>
      </w:r>
      <w:r>
        <w:rPr>
          <w:spacing w:val="-2"/>
        </w:rPr>
        <w:t>取得用来抵扣可抵扣暂时性差异、可抵扣亏损和税款抵减的未来应纳税所得额为限，确</w:t>
      </w:r>
      <w:r>
        <w:rPr>
          <w:spacing w:val="-98"/>
        </w:rPr>
        <w:t> </w:t>
      </w:r>
      <w:r>
        <w:rPr>
          <w:spacing w:val="-98"/>
        </w:rPr>
      </w:r>
      <w:r>
        <w:rPr/>
        <w:t>认由此产生的递延所得税资产，除非该可抵扣暂时性差异是在以下交易中产生的：</w:t>
      </w:r>
    </w:p>
    <w:p>
      <w:pPr>
        <w:spacing w:after="0" w:line="312" w:lineRule="exact"/>
        <w:jc w:val="both"/>
        <w:sectPr>
          <w:pgSz w:w="11900" w:h="16850"/>
          <w:pgMar w:header="771" w:footer="919" w:top="1720" w:bottom="1100" w:left="1140" w:right="980"/>
        </w:sectPr>
      </w:pPr>
    </w:p>
    <w:p>
      <w:pPr>
        <w:spacing w:line="240" w:lineRule="auto" w:before="10"/>
        <w:rPr>
          <w:rFonts w:ascii="宋体" w:hAnsi="宋体" w:cs="宋体" w:eastAsia="宋体" w:hint="default"/>
          <w:sz w:val="14"/>
          <w:szCs w:val="14"/>
        </w:rPr>
      </w:pPr>
    </w:p>
    <w:p>
      <w:pPr>
        <w:pStyle w:val="BodyText"/>
        <w:spacing w:line="240" w:lineRule="auto" w:before="26"/>
        <w:ind w:left="562"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pStyle w:val="BodyText"/>
        <w:spacing w:line="230" w:lineRule="auto" w:before="207"/>
        <w:ind w:left="562" w:right="227"/>
        <w:jc w:val="both"/>
      </w:pPr>
      <w:r>
        <w:rPr/>
        <w:t>（</w:t>
      </w:r>
      <w:r>
        <w:rPr>
          <w:rFonts w:ascii="Times New Roman" w:hAnsi="Times New Roman" w:cs="Times New Roman" w:eastAsia="Times New Roman" w:hint="default"/>
        </w:rPr>
        <w:t>2</w:t>
      </w:r>
      <w:r>
        <w:rPr/>
        <w:t>）对于与子公司、合营企业及联营企业投资相关的可抵扣暂时性差异，同时满足下</w:t>
      </w:r>
      <w:r>
        <w:rPr>
          <w:spacing w:val="-67"/>
        </w:rPr>
        <w:t> </w:t>
      </w:r>
      <w:r>
        <w:rPr>
          <w:spacing w:val="-67"/>
        </w:rPr>
      </w:r>
      <w:r>
        <w:rPr>
          <w:spacing w:val="-2"/>
        </w:rPr>
        <w:t>列条件的，确认相应的递延所得税资产：暂时性差异在可预见的未来很可能转回，且未</w:t>
      </w:r>
      <w:r>
        <w:rPr>
          <w:spacing w:val="-104"/>
        </w:rPr>
        <w:t> </w:t>
      </w:r>
      <w:r>
        <w:rPr>
          <w:spacing w:val="-104"/>
        </w:rPr>
      </w:r>
      <w:r>
        <w:rPr/>
        <w:t>来很可能获得用来抵扣可抵扣暂时性差异的应纳税所得额。</w:t>
      </w:r>
    </w:p>
    <w:p>
      <w:pPr>
        <w:spacing w:line="240" w:lineRule="auto" w:before="9"/>
        <w:rPr>
          <w:rFonts w:ascii="宋体" w:hAnsi="宋体" w:cs="宋体" w:eastAsia="宋体" w:hint="default"/>
          <w:sz w:val="16"/>
          <w:szCs w:val="16"/>
        </w:rPr>
      </w:pPr>
    </w:p>
    <w:p>
      <w:pPr>
        <w:pStyle w:val="BodyText"/>
        <w:spacing w:line="237" w:lineRule="auto"/>
        <w:ind w:left="562" w:right="227"/>
        <w:jc w:val="both"/>
      </w:pPr>
      <w:r>
        <w:rPr>
          <w:spacing w:val="-2"/>
        </w:rPr>
        <w:t>于资产负债表日，本公司对递延所得税资产和递延所得税负债，按照预期收回该资产或</w:t>
      </w:r>
      <w:r>
        <w:rPr>
          <w:spacing w:val="-98"/>
        </w:rPr>
        <w:t> </w:t>
      </w:r>
      <w:r>
        <w:rPr>
          <w:spacing w:val="-98"/>
        </w:rPr>
      </w:r>
      <w:r>
        <w:rPr>
          <w:spacing w:val="-2"/>
        </w:rPr>
        <w:t>清偿该负债期间的适用税率计量，并反映资产负债表日预期收回资产或清偿负债方式的</w:t>
      </w:r>
      <w:r>
        <w:rPr>
          <w:spacing w:val="-100"/>
        </w:rPr>
        <w:t> </w:t>
      </w:r>
      <w:r>
        <w:rPr>
          <w:spacing w:val="-100"/>
        </w:rPr>
      </w:r>
      <w:r>
        <w:rPr/>
        <w:t>所得税影响。</w:t>
      </w:r>
    </w:p>
    <w:p>
      <w:pPr>
        <w:spacing w:line="240" w:lineRule="auto" w:before="8"/>
        <w:rPr>
          <w:rFonts w:ascii="宋体" w:hAnsi="宋体" w:cs="宋体" w:eastAsia="宋体" w:hint="default"/>
          <w:sz w:val="16"/>
          <w:szCs w:val="16"/>
        </w:rPr>
      </w:pPr>
    </w:p>
    <w:p>
      <w:pPr>
        <w:pStyle w:val="BodyText"/>
        <w:spacing w:line="237" w:lineRule="auto"/>
        <w:ind w:left="562" w:right="227"/>
        <w:jc w:val="both"/>
      </w:pPr>
      <w:r>
        <w:rPr>
          <w:spacing w:val="-2"/>
        </w:rPr>
        <w:t>于资产负债表日，本公司对递延所得税资产的账面价值进行复核。如果未来期间很可能</w:t>
      </w:r>
      <w:r>
        <w:rPr>
          <w:spacing w:val="-98"/>
        </w:rPr>
        <w:t> </w:t>
      </w:r>
      <w:r>
        <w:rPr>
          <w:spacing w:val="-98"/>
        </w:rPr>
      </w:r>
      <w:r>
        <w:rPr>
          <w:spacing w:val="-2"/>
        </w:rPr>
        <w:t>无法获得足够的应纳税所得额用以抵扣递延所得税资产的利益，减记递延所得税资产的</w:t>
      </w:r>
      <w:r>
        <w:rPr>
          <w:spacing w:val="-100"/>
        </w:rPr>
        <w:t> </w:t>
      </w:r>
      <w:r>
        <w:rPr>
          <w:spacing w:val="-100"/>
        </w:rPr>
      </w:r>
      <w:r>
        <w:rPr/>
        <w:t>账面价值。在很可能获得足够的应纳税所得额时，减记的金额予以转回。</w:t>
      </w:r>
    </w:p>
    <w:p>
      <w:pPr>
        <w:pStyle w:val="BodyText"/>
        <w:spacing w:line="240" w:lineRule="auto" w:before="214"/>
        <w:ind w:left="142" w:right="0"/>
        <w:jc w:val="left"/>
      </w:pPr>
      <w:r>
        <w:rPr>
          <w:rFonts w:ascii="Times New Roman" w:hAnsi="Times New Roman" w:cs="Times New Roman" w:eastAsia="Times New Roman" w:hint="default"/>
        </w:rPr>
        <w:t>25</w:t>
      </w:r>
      <w:r>
        <w:rPr/>
        <w:t>、经营租赁与融资租赁</w:t>
      </w:r>
    </w:p>
    <w:p>
      <w:pPr>
        <w:spacing w:line="240" w:lineRule="auto" w:before="6"/>
        <w:rPr>
          <w:rFonts w:ascii="宋体" w:hAnsi="宋体" w:cs="宋体" w:eastAsia="宋体" w:hint="default"/>
          <w:sz w:val="17"/>
          <w:szCs w:val="17"/>
        </w:rPr>
      </w:pPr>
    </w:p>
    <w:p>
      <w:pPr>
        <w:pStyle w:val="BodyText"/>
        <w:spacing w:line="310" w:lineRule="exact"/>
        <w:ind w:left="562" w:right="230"/>
        <w:jc w:val="both"/>
      </w:pPr>
      <w:r>
        <w:rPr>
          <w:spacing w:val="-2"/>
        </w:rPr>
        <w:t>本公司将实质上转移了与资产所有权有关的全部风险和报酬的租赁确认为融资租赁，除</w:t>
      </w:r>
      <w:r>
        <w:rPr>
          <w:spacing w:val="-100"/>
        </w:rPr>
        <w:t> </w:t>
      </w:r>
      <w:r>
        <w:rPr>
          <w:spacing w:val="-100"/>
        </w:rPr>
      </w:r>
      <w:r>
        <w:rPr/>
        <w:t>融资租赁之外的其他租赁确认为经营租赁。</w:t>
      </w:r>
    </w:p>
    <w:p>
      <w:pPr>
        <w:pStyle w:val="BodyText"/>
        <w:spacing w:line="237" w:lineRule="auto" w:before="188"/>
        <w:ind w:left="562" w:right="227"/>
        <w:jc w:val="both"/>
      </w:pPr>
      <w:r>
        <w:rPr>
          <w:spacing w:val="-2"/>
        </w:rPr>
        <w:t>在租赁期开始日，本公司将租赁开始日租赁资产公允价值与最低租赁付款额现值中较低</w:t>
      </w:r>
      <w:r>
        <w:rPr>
          <w:spacing w:val="-100"/>
        </w:rPr>
        <w:t> </w:t>
      </w:r>
      <w:r>
        <w:rPr>
          <w:spacing w:val="-100"/>
        </w:rPr>
      </w:r>
      <w:r>
        <w:rPr>
          <w:spacing w:val="-2"/>
        </w:rPr>
        <w:t>者作为租入资产的入账价值，将最低租赁付款额作为长期应付款的入账价值，其差额作</w:t>
      </w:r>
      <w:r>
        <w:rPr>
          <w:spacing w:val="-98"/>
        </w:rPr>
        <w:t> </w:t>
      </w:r>
      <w:r>
        <w:rPr>
          <w:spacing w:val="-98"/>
        </w:rPr>
      </w:r>
      <w:r>
        <w:rPr/>
        <w:t>为未确认融资费用。</w:t>
      </w:r>
    </w:p>
    <w:p>
      <w:pPr>
        <w:pStyle w:val="BodyText"/>
        <w:spacing w:line="240" w:lineRule="auto" w:before="214"/>
        <w:ind w:left="562" w:right="0"/>
        <w:jc w:val="both"/>
      </w:pPr>
      <w:r>
        <w:rPr/>
        <w:t>经营租赁的租金在租赁期内的各个期间按直线法计入相关资产成本或当期损益。</w:t>
      </w:r>
    </w:p>
    <w:p>
      <w:pPr>
        <w:pStyle w:val="BodyText"/>
        <w:spacing w:line="240" w:lineRule="auto" w:before="214"/>
        <w:ind w:left="142" w:right="0"/>
        <w:jc w:val="left"/>
      </w:pPr>
      <w:r>
        <w:rPr>
          <w:rFonts w:ascii="Times New Roman" w:hAnsi="Times New Roman" w:cs="Times New Roman" w:eastAsia="Times New Roman" w:hint="default"/>
        </w:rPr>
        <w:t>26</w:t>
      </w:r>
      <w:r>
        <w:rPr/>
        <w:t>、资产减值</w:t>
      </w:r>
    </w:p>
    <w:p>
      <w:pPr>
        <w:spacing w:line="240" w:lineRule="auto" w:before="13"/>
        <w:rPr>
          <w:rFonts w:ascii="宋体" w:hAnsi="宋体" w:cs="宋体" w:eastAsia="宋体" w:hint="default"/>
          <w:sz w:val="16"/>
          <w:szCs w:val="16"/>
        </w:rPr>
      </w:pPr>
    </w:p>
    <w:p>
      <w:pPr>
        <w:pStyle w:val="BodyText"/>
        <w:spacing w:line="261" w:lineRule="auto"/>
        <w:ind w:left="562" w:right="227"/>
        <w:jc w:val="both"/>
      </w:pPr>
      <w:r>
        <w:rPr>
          <w:spacing w:val="-2"/>
        </w:rPr>
        <w:t>本公司对子公司、联营企业和合营企业的长期股权投资、采用成本模式进行后续计量的</w:t>
      </w:r>
      <w:r>
        <w:rPr>
          <w:spacing w:val="-98"/>
        </w:rPr>
        <w:t> </w:t>
      </w:r>
      <w:r>
        <w:rPr>
          <w:spacing w:val="-98"/>
        </w:rPr>
      </w:r>
      <w:r>
        <w:rPr>
          <w:spacing w:val="-2"/>
        </w:rPr>
        <w:t>投资性房地产、固定资产、无形资产、商誉等（存货、按公允价值模式计量的投资性房</w:t>
      </w:r>
      <w:r>
        <w:rPr>
          <w:spacing w:val="-100"/>
        </w:rPr>
        <w:t> </w:t>
      </w:r>
      <w:r>
        <w:rPr>
          <w:spacing w:val="-100"/>
        </w:rPr>
      </w:r>
      <w:r>
        <w:rPr/>
        <w:t>地产、递延所得税资产、金融资产除外）的资产减值，按以下方法确定：</w:t>
      </w:r>
    </w:p>
    <w:p>
      <w:pPr>
        <w:spacing w:line="240" w:lineRule="auto" w:before="10"/>
        <w:rPr>
          <w:rFonts w:ascii="宋体" w:hAnsi="宋体" w:cs="宋体" w:eastAsia="宋体" w:hint="default"/>
          <w:sz w:val="16"/>
          <w:szCs w:val="16"/>
        </w:rPr>
      </w:pPr>
    </w:p>
    <w:p>
      <w:pPr>
        <w:pStyle w:val="BodyText"/>
        <w:spacing w:line="259" w:lineRule="auto"/>
        <w:ind w:left="562" w:right="228"/>
        <w:jc w:val="both"/>
      </w:pPr>
      <w:r>
        <w:rPr>
          <w:spacing w:val="-2"/>
        </w:rPr>
        <w:t>本公司于资产负债表日判断资产是否存在可能发生减值的迹象，存在减值迹象的，本公</w:t>
      </w:r>
      <w:r>
        <w:rPr>
          <w:spacing w:val="-99"/>
        </w:rPr>
        <w:t> </w:t>
      </w:r>
      <w:r>
        <w:rPr>
          <w:spacing w:val="-99"/>
        </w:rPr>
      </w:r>
      <w:r>
        <w:rPr>
          <w:spacing w:val="-2"/>
        </w:rPr>
        <w:t>司将估计其可收回金额，进行减值测试。对因企业合并所形成的商誉、使用寿命不确定</w:t>
      </w:r>
      <w:r>
        <w:rPr>
          <w:spacing w:val="-102"/>
        </w:rPr>
        <w:t> </w:t>
      </w:r>
      <w:r>
        <w:rPr>
          <w:spacing w:val="-102"/>
        </w:rPr>
      </w:r>
      <w:r>
        <w:rPr>
          <w:spacing w:val="-2"/>
        </w:rPr>
        <w:t>的无形资产和尚未达到可使用状态的无形资产无论是否存在减值迹象，每年都进行减值</w:t>
      </w:r>
      <w:r>
        <w:rPr>
          <w:spacing w:val="-100"/>
        </w:rPr>
        <w:t> </w:t>
      </w:r>
      <w:r>
        <w:rPr>
          <w:spacing w:val="-100"/>
        </w:rPr>
      </w:r>
      <w:r>
        <w:rPr/>
        <w:t>测试。</w:t>
      </w:r>
    </w:p>
    <w:p>
      <w:pPr>
        <w:spacing w:line="240" w:lineRule="auto" w:before="1"/>
        <w:rPr>
          <w:rFonts w:ascii="宋体" w:hAnsi="宋体" w:cs="宋体" w:eastAsia="宋体" w:hint="default"/>
          <w:sz w:val="17"/>
          <w:szCs w:val="17"/>
        </w:rPr>
      </w:pPr>
    </w:p>
    <w:p>
      <w:pPr>
        <w:pStyle w:val="BodyText"/>
        <w:spacing w:line="259" w:lineRule="auto"/>
        <w:ind w:left="562" w:right="227"/>
        <w:jc w:val="both"/>
      </w:pPr>
      <w:r>
        <w:rPr>
          <w:spacing w:val="4"/>
        </w:rPr>
        <w:t>可收回金额根据资产的公允价值减去处置费用后的净额与资产预计未来现金流量的现</w:t>
      </w:r>
      <w:r>
        <w:rPr>
          <w:spacing w:val="-113"/>
        </w:rPr>
        <w:t> </w:t>
      </w:r>
      <w:r>
        <w:rPr>
          <w:spacing w:val="-113"/>
        </w:rPr>
      </w:r>
      <w:r>
        <w:rPr>
          <w:spacing w:val="-2"/>
        </w:rPr>
        <w:t>值两者之间较高者确定。本公司以单项资产为基础估计其可收回金额；难以对单项资产</w:t>
      </w:r>
      <w:r>
        <w:rPr>
          <w:spacing w:val="-98"/>
        </w:rPr>
        <w:t> </w:t>
      </w:r>
      <w:r>
        <w:rPr>
          <w:spacing w:val="-98"/>
        </w:rPr>
      </w:r>
      <w:r>
        <w:rPr>
          <w:spacing w:val="-2"/>
        </w:rPr>
        <w:t>的可收回金额进行估计的，以该资产所属的资产组为基础确定资产组的可收回金额。资</w:t>
      </w:r>
      <w:r>
        <w:rPr>
          <w:spacing w:val="-98"/>
        </w:rPr>
        <w:t> </w:t>
      </w:r>
      <w:r>
        <w:rPr>
          <w:spacing w:val="-98"/>
        </w:rPr>
      </w:r>
      <w:r>
        <w:rPr>
          <w:spacing w:val="-2"/>
        </w:rPr>
        <w:t>产组的认定，以资产组产生的主要现金流入是否独立于其他资产或者资产组的现金流入</w:t>
      </w:r>
      <w:r>
        <w:rPr>
          <w:spacing w:val="-99"/>
        </w:rPr>
        <w:t> </w:t>
      </w:r>
      <w:r>
        <w:rPr>
          <w:spacing w:val="-99"/>
        </w:rPr>
      </w:r>
      <w:r>
        <w:rPr/>
        <w:t>为依据。</w:t>
      </w:r>
    </w:p>
    <w:p>
      <w:pPr>
        <w:spacing w:line="240" w:lineRule="auto" w:before="12"/>
        <w:rPr>
          <w:rFonts w:ascii="宋体" w:hAnsi="宋体" w:cs="宋体" w:eastAsia="宋体" w:hint="default"/>
          <w:sz w:val="16"/>
          <w:szCs w:val="16"/>
        </w:rPr>
      </w:pPr>
    </w:p>
    <w:p>
      <w:pPr>
        <w:pStyle w:val="BodyText"/>
        <w:spacing w:line="261" w:lineRule="auto"/>
        <w:ind w:left="562" w:right="227"/>
        <w:jc w:val="both"/>
      </w:pPr>
      <w:r>
        <w:rPr>
          <w:spacing w:val="-2"/>
        </w:rPr>
        <w:t>当资产或资产组的可收回金额低于其账面价值时，本公司将其账面价值减记至可收回金</w:t>
      </w:r>
      <w:r>
        <w:rPr>
          <w:spacing w:val="-100"/>
        </w:rPr>
        <w:t> </w:t>
      </w:r>
      <w:r>
        <w:rPr>
          <w:spacing w:val="-100"/>
        </w:rPr>
      </w:r>
      <w:r>
        <w:rPr/>
        <w:t>额，减记的金额计入当期损益，同时计提相应的资产减值准备。</w:t>
      </w:r>
    </w:p>
    <w:p>
      <w:pPr>
        <w:spacing w:line="240" w:lineRule="auto" w:before="12"/>
        <w:rPr>
          <w:rFonts w:ascii="宋体" w:hAnsi="宋体" w:cs="宋体" w:eastAsia="宋体" w:hint="default"/>
          <w:sz w:val="16"/>
          <w:szCs w:val="16"/>
        </w:rPr>
      </w:pPr>
    </w:p>
    <w:p>
      <w:pPr>
        <w:pStyle w:val="BodyText"/>
        <w:spacing w:line="240" w:lineRule="auto"/>
        <w:ind w:left="562" w:right="0"/>
        <w:jc w:val="both"/>
      </w:pPr>
      <w:r>
        <w:rPr/>
        <w:t>就商誉的减值测试而言，对于因企业合并形成的商誉的账面价值，自购买日起按照合理</w:t>
      </w:r>
    </w:p>
    <w:p>
      <w:pPr>
        <w:spacing w:after="0" w:line="240" w:lineRule="auto"/>
        <w:jc w:val="both"/>
        <w:sectPr>
          <w:pgSz w:w="11900" w:h="16850"/>
          <w:pgMar w:header="771" w:footer="919" w:top="1720" w:bottom="1100" w:left="1140" w:right="900"/>
        </w:sectPr>
      </w:pPr>
    </w:p>
    <w:p>
      <w:pPr>
        <w:spacing w:line="240" w:lineRule="auto" w:before="12"/>
        <w:rPr>
          <w:rFonts w:ascii="宋体" w:hAnsi="宋体" w:cs="宋体" w:eastAsia="宋体" w:hint="default"/>
          <w:sz w:val="16"/>
          <w:szCs w:val="16"/>
        </w:rPr>
      </w:pPr>
    </w:p>
    <w:p>
      <w:pPr>
        <w:pStyle w:val="BodyText"/>
        <w:spacing w:line="259" w:lineRule="auto" w:before="26"/>
        <w:ind w:left="562" w:right="167"/>
        <w:jc w:val="both"/>
      </w:pPr>
      <w:r>
        <w:rPr>
          <w:spacing w:val="-2"/>
        </w:rPr>
        <w:t>的方法分摊至相关的资产组；难以分摊至相关的资产组的，将其分摊至相关的资产组组</w:t>
      </w:r>
      <w:r>
        <w:rPr>
          <w:spacing w:val="-98"/>
        </w:rPr>
        <w:t> </w:t>
      </w:r>
      <w:r>
        <w:rPr>
          <w:spacing w:val="-98"/>
        </w:rPr>
      </w:r>
      <w:r>
        <w:rPr>
          <w:spacing w:val="-2"/>
        </w:rPr>
        <w:t>合。相关的资产组或资产组组合，是能够从企业合并的协同效应中受益的资产组或者资</w:t>
      </w:r>
      <w:r>
        <w:rPr>
          <w:spacing w:val="-98"/>
        </w:rPr>
        <w:t> </w:t>
      </w:r>
      <w:r>
        <w:rPr>
          <w:spacing w:val="-98"/>
        </w:rPr>
      </w:r>
      <w:r>
        <w:rPr/>
        <w:t>产组组合，且不大于本公司确定的报告分部。</w:t>
      </w:r>
    </w:p>
    <w:p>
      <w:pPr>
        <w:spacing w:line="240" w:lineRule="auto" w:before="1"/>
        <w:rPr>
          <w:rFonts w:ascii="宋体" w:hAnsi="宋体" w:cs="宋体" w:eastAsia="宋体" w:hint="default"/>
          <w:sz w:val="17"/>
          <w:szCs w:val="17"/>
        </w:rPr>
      </w:pPr>
    </w:p>
    <w:p>
      <w:pPr>
        <w:pStyle w:val="BodyText"/>
        <w:spacing w:line="259" w:lineRule="auto"/>
        <w:ind w:left="562" w:right="115"/>
        <w:jc w:val="both"/>
      </w:pPr>
      <w:r>
        <w:rPr>
          <w:spacing w:val="-2"/>
        </w:rPr>
        <w:t>减值测试时，如与商誉相关的资产组或者资产组组合存在减值迹象的，首先对不包含商</w:t>
      </w:r>
      <w:r>
        <w:rPr>
          <w:spacing w:val="-98"/>
        </w:rPr>
        <w:t> </w:t>
      </w:r>
      <w:r>
        <w:rPr>
          <w:spacing w:val="-98"/>
        </w:rPr>
      </w:r>
      <w:r>
        <w:rPr>
          <w:spacing w:val="-2"/>
        </w:rPr>
        <w:t>誉的资产组或者资产组组合进行减值测试，计算可收回金额，确认相应的减值损失。然</w:t>
      </w:r>
      <w:r>
        <w:rPr>
          <w:spacing w:val="-105"/>
        </w:rPr>
        <w:t> </w:t>
      </w:r>
      <w:r>
        <w:rPr>
          <w:spacing w:val="-105"/>
        </w:rPr>
      </w:r>
      <w:r>
        <w:rPr/>
        <w:t>后对包含商誉的资产组或者资产组组合进行减值测试，比较其账面价值与可收回金额， 如可收回金额低于账面价值的，确认商誉的减值损失。</w:t>
      </w:r>
    </w:p>
    <w:p>
      <w:pPr>
        <w:spacing w:line="240" w:lineRule="auto" w:before="2"/>
        <w:rPr>
          <w:rFonts w:ascii="宋体" w:hAnsi="宋体" w:cs="宋体" w:eastAsia="宋体" w:hint="default"/>
          <w:sz w:val="17"/>
          <w:szCs w:val="17"/>
        </w:rPr>
      </w:pPr>
    </w:p>
    <w:p>
      <w:pPr>
        <w:pStyle w:val="BodyText"/>
        <w:spacing w:line="240" w:lineRule="auto"/>
        <w:ind w:left="562" w:right="0"/>
        <w:jc w:val="both"/>
      </w:pPr>
      <w:r>
        <w:rPr/>
        <w:t>资产减值损失一经确认，在以后会计期间不再转回。</w:t>
      </w:r>
    </w:p>
    <w:p>
      <w:pPr>
        <w:pStyle w:val="BodyText"/>
        <w:spacing w:line="240" w:lineRule="auto" w:before="211"/>
        <w:ind w:left="142" w:right="4177"/>
        <w:jc w:val="left"/>
      </w:pPr>
      <w:r>
        <w:rPr>
          <w:rFonts w:ascii="Times New Roman" w:hAnsi="Times New Roman" w:cs="Times New Roman" w:eastAsia="Times New Roman" w:hint="default"/>
        </w:rPr>
        <w:t>27</w:t>
      </w:r>
      <w:r>
        <w:rPr/>
        <w:t>、职工薪酬</w:t>
      </w:r>
    </w:p>
    <w:p>
      <w:pPr>
        <w:pStyle w:val="BodyText"/>
        <w:spacing w:line="230" w:lineRule="auto" w:before="207"/>
        <w:ind w:left="559" w:right="167"/>
        <w:jc w:val="both"/>
      </w:pPr>
      <w:r>
        <w:rPr>
          <w:spacing w:val="-2"/>
        </w:rPr>
        <w:t>职工工资、奖金、津贴、补贴、福利费、社会保险、住房公积金等，在职工提供服务的</w:t>
      </w:r>
      <w:r>
        <w:rPr>
          <w:spacing w:val="-100"/>
        </w:rPr>
        <w:t> </w:t>
      </w:r>
      <w:r>
        <w:rPr>
          <w:spacing w:val="-100"/>
        </w:rPr>
      </w:r>
      <w:r>
        <w:rPr/>
        <w:t>会计期间内确认。对于资产负债表日后</w:t>
      </w:r>
      <w:r>
        <w:rPr>
          <w:spacing w:val="-85"/>
        </w:rPr>
        <w:t>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年以上到期的，如果折现的影响金额重大，则 以其现值列示。</w:t>
      </w:r>
    </w:p>
    <w:p>
      <w:pPr>
        <w:pStyle w:val="BodyText"/>
        <w:spacing w:line="240" w:lineRule="auto" w:before="215"/>
        <w:ind w:left="142" w:right="4177"/>
        <w:jc w:val="left"/>
      </w:pPr>
      <w:r>
        <w:rPr>
          <w:rFonts w:ascii="Times New Roman" w:hAnsi="Times New Roman" w:cs="Times New Roman" w:eastAsia="Times New Roman" w:hint="default"/>
        </w:rPr>
        <w:t>28</w:t>
      </w:r>
      <w:r>
        <w:rPr/>
        <w:t>、分部报告</w:t>
      </w:r>
    </w:p>
    <w:p>
      <w:pPr>
        <w:spacing w:line="240" w:lineRule="auto" w:before="4"/>
        <w:rPr>
          <w:rFonts w:ascii="宋体" w:hAnsi="宋体" w:cs="宋体" w:eastAsia="宋体" w:hint="default"/>
          <w:sz w:val="17"/>
          <w:szCs w:val="17"/>
        </w:rPr>
      </w:pPr>
    </w:p>
    <w:p>
      <w:pPr>
        <w:pStyle w:val="BodyText"/>
        <w:spacing w:line="312" w:lineRule="exact"/>
        <w:ind w:left="559" w:right="168"/>
        <w:jc w:val="both"/>
      </w:pPr>
      <w:r>
        <w:rPr>
          <w:spacing w:val="-2"/>
        </w:rPr>
        <w:t>本公司以内部组织结构、管理要求、内部报告制度为依据确定经营分部，以经营分部为</w:t>
      </w:r>
      <w:r>
        <w:rPr>
          <w:spacing w:val="-97"/>
        </w:rPr>
        <w:t> </w:t>
      </w:r>
      <w:r>
        <w:rPr>
          <w:spacing w:val="-97"/>
        </w:rPr>
      </w:r>
      <w:r>
        <w:rPr/>
        <w:t>基础确定报告分部。</w:t>
      </w:r>
    </w:p>
    <w:p>
      <w:pPr>
        <w:pStyle w:val="BodyText"/>
        <w:spacing w:line="225" w:lineRule="auto" w:before="199"/>
        <w:ind w:left="559" w:right="169"/>
        <w:jc w:val="both"/>
      </w:pPr>
      <w:r>
        <w:rPr>
          <w:spacing w:val="-5"/>
        </w:rPr>
        <w:t>经营分部，是指本公司内同时满足下列条件的组成部分：（</w:t>
      </w:r>
      <w:r>
        <w:rPr>
          <w:rFonts w:ascii="Times New Roman" w:hAnsi="Times New Roman" w:cs="Times New Roman" w:eastAsia="Times New Roman" w:hint="default"/>
          <w:spacing w:val="-5"/>
        </w:rPr>
        <w:t>1</w:t>
      </w:r>
      <w:r>
        <w:rPr>
          <w:spacing w:val="-5"/>
        </w:rPr>
        <w:t>）该组成部分能够在日常活</w:t>
      </w:r>
      <w:r>
        <w:rPr>
          <w:spacing w:val="-99"/>
        </w:rPr>
        <w:t> </w:t>
      </w:r>
      <w:r>
        <w:rPr>
          <w:spacing w:val="-99"/>
        </w:rPr>
      </w:r>
      <w:r>
        <w:rPr>
          <w:spacing w:val="-5"/>
        </w:rPr>
        <w:t>动中产生收入、发生费用；（</w:t>
      </w:r>
      <w:r>
        <w:rPr>
          <w:rFonts w:ascii="Times New Roman" w:hAnsi="Times New Roman" w:cs="Times New Roman" w:eastAsia="Times New Roman" w:hint="default"/>
          <w:spacing w:val="-5"/>
        </w:rPr>
        <w:t>2</w:t>
      </w:r>
      <w:r>
        <w:rPr>
          <w:spacing w:val="-5"/>
        </w:rPr>
        <w:t>）企业管理层能够定期评价该组成部分的经营成果，以决</w:t>
      </w:r>
      <w:r>
        <w:rPr>
          <w:spacing w:val="-101"/>
        </w:rPr>
        <w:t> </w:t>
      </w:r>
      <w:r>
        <w:rPr>
          <w:spacing w:val="-101"/>
        </w:rPr>
      </w:r>
      <w:r>
        <w:rPr>
          <w:spacing w:val="-5"/>
        </w:rPr>
        <w:t>定向其配置资源、评价其业绩；（</w:t>
      </w:r>
      <w:r>
        <w:rPr>
          <w:rFonts w:ascii="Times New Roman" w:hAnsi="Times New Roman" w:cs="Times New Roman" w:eastAsia="Times New Roman" w:hint="default"/>
          <w:spacing w:val="-5"/>
        </w:rPr>
        <w:t>3</w:t>
      </w:r>
      <w:r>
        <w:rPr>
          <w:spacing w:val="-5"/>
        </w:rPr>
        <w:t>）企业能够取得该组成部分的财务状况、经营成果和</w:t>
      </w:r>
      <w:r>
        <w:rPr>
          <w:spacing w:val="-101"/>
        </w:rPr>
        <w:t> </w:t>
      </w:r>
      <w:r>
        <w:rPr>
          <w:spacing w:val="-101"/>
        </w:rPr>
      </w:r>
      <w:r>
        <w:rPr/>
        <w:t>现金流量等有关会计信息。</w:t>
      </w:r>
    </w:p>
    <w:p>
      <w:pPr>
        <w:spacing w:line="240" w:lineRule="auto" w:before="11"/>
        <w:rPr>
          <w:rFonts w:ascii="宋体" w:hAnsi="宋体" w:cs="宋体" w:eastAsia="宋体" w:hint="default"/>
          <w:sz w:val="18"/>
          <w:szCs w:val="18"/>
        </w:rPr>
      </w:pPr>
    </w:p>
    <w:p>
      <w:pPr>
        <w:pStyle w:val="BodyText"/>
        <w:spacing w:line="312" w:lineRule="exact"/>
        <w:ind w:left="562" w:right="172"/>
        <w:jc w:val="both"/>
      </w:pPr>
      <w:r>
        <w:rPr>
          <w:spacing w:val="-2"/>
        </w:rPr>
        <w:t>除软件业务外，本公司未经营其他对经营成果有重大影响的行业。同时，由于本公司生</w:t>
      </w:r>
      <w:r>
        <w:rPr>
          <w:spacing w:val="-104"/>
        </w:rPr>
        <w:t> </w:t>
      </w:r>
      <w:r>
        <w:rPr>
          <w:spacing w:val="-104"/>
        </w:rPr>
      </w:r>
      <w:r>
        <w:rPr/>
        <w:t>产经营和主要经营资产均于一个地区内，因此本公司无需披露分部数据。</w:t>
      </w:r>
    </w:p>
    <w:p>
      <w:pPr>
        <w:pStyle w:val="BodyText"/>
        <w:spacing w:line="240" w:lineRule="auto" w:before="183"/>
        <w:ind w:left="245" w:right="4177"/>
        <w:jc w:val="left"/>
      </w:pPr>
      <w:r>
        <w:rPr>
          <w:rFonts w:ascii="Times New Roman" w:hAnsi="Times New Roman" w:cs="Times New Roman" w:eastAsia="Times New Roman" w:hint="default"/>
        </w:rPr>
        <w:t>29</w:t>
      </w:r>
      <w:r>
        <w:rPr/>
        <w:t>、重大会计判断和估计</w:t>
      </w:r>
    </w:p>
    <w:p>
      <w:pPr>
        <w:spacing w:line="240" w:lineRule="auto" w:before="4"/>
        <w:rPr>
          <w:rFonts w:ascii="宋体" w:hAnsi="宋体" w:cs="宋体" w:eastAsia="宋体" w:hint="default"/>
          <w:sz w:val="17"/>
          <w:szCs w:val="17"/>
        </w:rPr>
      </w:pPr>
    </w:p>
    <w:p>
      <w:pPr>
        <w:pStyle w:val="BodyText"/>
        <w:spacing w:line="312" w:lineRule="exact"/>
        <w:ind w:left="562" w:right="166"/>
        <w:jc w:val="both"/>
      </w:pPr>
      <w:r>
        <w:rPr>
          <w:spacing w:val="-2"/>
        </w:rPr>
        <w:t>本公司根据历史经验和其它因素，包括对未来事项的合理预期，对所采用的重要会计估</w:t>
      </w:r>
      <w:r>
        <w:rPr>
          <w:spacing w:val="-97"/>
        </w:rPr>
        <w:t> </w:t>
      </w:r>
      <w:r>
        <w:rPr>
          <w:spacing w:val="-97"/>
        </w:rPr>
      </w:r>
      <w:r>
        <w:rPr/>
        <w:t>计和关键假设进行持续的评价。</w:t>
      </w:r>
    </w:p>
    <w:p>
      <w:pPr>
        <w:pStyle w:val="BodyText"/>
        <w:spacing w:line="240" w:lineRule="auto" w:before="183"/>
        <w:ind w:left="245" w:right="4177"/>
        <w:jc w:val="left"/>
      </w:pPr>
      <w:r>
        <w:rPr>
          <w:rFonts w:ascii="Times New Roman" w:hAnsi="Times New Roman" w:cs="Times New Roman" w:eastAsia="Times New Roman" w:hint="default"/>
        </w:rPr>
        <w:t>30</w:t>
      </w:r>
      <w:r>
        <w:rPr/>
        <w:t>、主要会计政策、会计估计的变更</w:t>
      </w:r>
    </w:p>
    <w:p>
      <w:pPr>
        <w:pStyle w:val="BodyText"/>
        <w:spacing w:line="381" w:lineRule="auto" w:before="195"/>
        <w:ind w:left="562" w:right="5137" w:hanging="317"/>
        <w:jc w:val="left"/>
      </w:pPr>
      <w:r>
        <w:rPr/>
        <w:t>（</w:t>
      </w:r>
      <w:r>
        <w:rPr>
          <w:rFonts w:ascii="Times New Roman" w:hAnsi="Times New Roman" w:cs="Times New Roman" w:eastAsia="Times New Roman" w:hint="default"/>
        </w:rPr>
        <w:t>1</w:t>
      </w:r>
      <w:r>
        <w:rPr/>
        <w:t>）会计政策变更 本报告期主要会计政策是否变更：否。</w:t>
      </w:r>
    </w:p>
    <w:p>
      <w:pPr>
        <w:pStyle w:val="BodyText"/>
        <w:spacing w:line="381" w:lineRule="auto" w:before="70"/>
        <w:ind w:left="562" w:right="5137" w:hanging="317"/>
        <w:jc w:val="left"/>
      </w:pPr>
      <w:r>
        <w:rPr/>
        <w:t>（</w:t>
      </w:r>
      <w:r>
        <w:rPr>
          <w:rFonts w:ascii="Times New Roman" w:hAnsi="Times New Roman" w:cs="Times New Roman" w:eastAsia="Times New Roman" w:hint="default"/>
        </w:rPr>
        <w:t>2</w:t>
      </w:r>
      <w:r>
        <w:rPr/>
        <w:t>）会计估计变更 本报告期主要会计估计是否变更：是。</w:t>
      </w:r>
    </w:p>
    <w:p>
      <w:pPr>
        <w:spacing w:after="0" w:line="381" w:lineRule="auto"/>
        <w:jc w:val="left"/>
        <w:sectPr>
          <w:footerReference w:type="default" r:id="rId60"/>
          <w:pgSz w:w="11900" w:h="16850"/>
          <w:pgMar w:footer="919" w:header="771" w:top="1720" w:bottom="1100" w:left="1140" w:right="960"/>
        </w:sectPr>
      </w:pPr>
    </w:p>
    <w:p>
      <w:pPr>
        <w:spacing w:line="240" w:lineRule="auto" w:before="3"/>
        <w:rPr>
          <w:rFonts w:ascii="宋体" w:hAnsi="宋体" w:cs="宋体" w:eastAsia="宋体" w:hint="default"/>
          <w:sz w:val="5"/>
          <w:szCs w:val="5"/>
        </w:rPr>
      </w:pPr>
      <w:r>
        <w:rPr/>
        <w:pict>
          <v:group style="position:absolute;margin-left:62.664001pt;margin-top:85.93998pt;width:477.25pt;height:.1pt;mso-position-horizontal-relative:page;mso-position-vertical-relative:page;z-index:-765592" coordorigin="1253,1719" coordsize="9545,2">
            <v:shape style="position:absolute;left:1253;top:1719;width:9545;height:2" coordorigin="1253,1719" coordsize="9545,0" path="m1253,1719l10798,1719e" filled="false" stroked="true" strokeweight=".72pt" strokecolor="#000000">
              <v:path arrowok="t"/>
            </v:shape>
            <w10:wrap type="none"/>
          </v:group>
        </w:pict>
      </w:r>
    </w:p>
    <w:tbl>
      <w:tblPr>
        <w:tblW w:w="0" w:type="auto"/>
        <w:jc w:val="left"/>
        <w:tblInd w:w="547" w:type="dxa"/>
        <w:tblLayout w:type="fixed"/>
        <w:tblCellMar>
          <w:top w:w="0" w:type="dxa"/>
          <w:left w:w="0" w:type="dxa"/>
          <w:bottom w:w="0" w:type="dxa"/>
          <w:right w:w="0" w:type="dxa"/>
        </w:tblCellMar>
        <w:tblLook w:val="01E0"/>
      </w:tblPr>
      <w:tblGrid>
        <w:gridCol w:w="3723"/>
        <w:gridCol w:w="1541"/>
        <w:gridCol w:w="2352"/>
        <w:gridCol w:w="1535"/>
      </w:tblGrid>
      <w:tr>
        <w:trPr>
          <w:trHeight w:val="679" w:hRule="exact"/>
        </w:trPr>
        <w:tc>
          <w:tcPr>
            <w:tcW w:w="3723"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b/>
                <w:bCs/>
                <w:sz w:val="24"/>
                <w:szCs w:val="24"/>
              </w:rPr>
              <w:t>会计估计变更的内容和原因</w:t>
            </w:r>
            <w:r>
              <w:rPr>
                <w:rFonts w:ascii="宋体" w:hAnsi="宋体" w:cs="宋体" w:eastAsia="宋体" w:hint="default"/>
                <w:sz w:val="24"/>
                <w:szCs w:val="24"/>
              </w:rPr>
            </w:r>
          </w:p>
        </w:tc>
        <w:tc>
          <w:tcPr>
            <w:tcW w:w="1541"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212"/>
              <w:jc w:val="right"/>
              <w:rPr>
                <w:rFonts w:ascii="宋体" w:hAnsi="宋体" w:cs="宋体" w:eastAsia="宋体" w:hint="default"/>
                <w:sz w:val="24"/>
                <w:szCs w:val="24"/>
              </w:rPr>
            </w:pPr>
            <w:r>
              <w:rPr>
                <w:rFonts w:ascii="宋体" w:hAnsi="宋体" w:cs="宋体" w:eastAsia="宋体" w:hint="default"/>
                <w:b/>
                <w:bCs/>
                <w:sz w:val="24"/>
                <w:szCs w:val="24"/>
              </w:rPr>
              <w:t>审批程序</w:t>
            </w:r>
            <w:r>
              <w:rPr>
                <w:rFonts w:ascii="宋体" w:hAnsi="宋体" w:cs="宋体" w:eastAsia="宋体" w:hint="default"/>
                <w:sz w:val="24"/>
                <w:szCs w:val="24"/>
              </w:rPr>
            </w:r>
          </w:p>
        </w:tc>
        <w:tc>
          <w:tcPr>
            <w:tcW w:w="2352"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left="214" w:right="0"/>
              <w:jc w:val="left"/>
              <w:rPr>
                <w:rFonts w:ascii="宋体" w:hAnsi="宋体" w:cs="宋体" w:eastAsia="宋体" w:hint="default"/>
                <w:sz w:val="24"/>
                <w:szCs w:val="24"/>
              </w:rPr>
            </w:pPr>
            <w:r>
              <w:rPr>
                <w:rFonts w:ascii="宋体" w:hAnsi="宋体" w:cs="宋体" w:eastAsia="宋体" w:hint="default"/>
                <w:b/>
                <w:bCs/>
                <w:sz w:val="24"/>
                <w:szCs w:val="24"/>
              </w:rPr>
              <w:t>受影响的报表项目</w:t>
            </w:r>
            <w:r>
              <w:rPr>
                <w:rFonts w:ascii="宋体" w:hAnsi="宋体" w:cs="宋体" w:eastAsia="宋体" w:hint="default"/>
                <w:sz w:val="24"/>
                <w:szCs w:val="24"/>
              </w:rPr>
            </w:r>
          </w:p>
        </w:tc>
        <w:tc>
          <w:tcPr>
            <w:tcW w:w="1535" w:type="dxa"/>
            <w:tcBorders>
              <w:top w:val="single" w:sz="4" w:space="0" w:color="000000"/>
              <w:left w:val="nil" w:sz="6" w:space="0" w:color="auto"/>
              <w:bottom w:val="single" w:sz="4" w:space="0" w:color="000000"/>
              <w:right w:val="nil" w:sz="6" w:space="0" w:color="auto"/>
            </w:tcBorders>
          </w:tcPr>
          <w:p>
            <w:pPr>
              <w:pStyle w:val="TableParagraph"/>
              <w:spacing w:line="240" w:lineRule="auto" w:before="3"/>
              <w:ind w:right="66"/>
              <w:jc w:val="right"/>
              <w:rPr>
                <w:rFonts w:ascii="宋体" w:hAnsi="宋体" w:cs="宋体" w:eastAsia="宋体" w:hint="default"/>
                <w:sz w:val="24"/>
                <w:szCs w:val="24"/>
              </w:rPr>
            </w:pPr>
            <w:r>
              <w:rPr>
                <w:rFonts w:ascii="宋体" w:hAnsi="宋体" w:cs="宋体" w:eastAsia="宋体" w:hint="default"/>
                <w:b/>
                <w:bCs/>
                <w:sz w:val="24"/>
                <w:szCs w:val="24"/>
              </w:rPr>
              <w:t>影响金额</w:t>
            </w:r>
            <w:r>
              <w:rPr>
                <w:rFonts w:ascii="宋体" w:hAnsi="宋体" w:cs="宋体" w:eastAsia="宋体" w:hint="default"/>
                <w:sz w:val="24"/>
                <w:szCs w:val="24"/>
              </w:rPr>
            </w:r>
          </w:p>
        </w:tc>
      </w:tr>
      <w:tr>
        <w:trPr>
          <w:trHeight w:val="1586" w:hRule="exact"/>
        </w:trPr>
        <w:tc>
          <w:tcPr>
            <w:tcW w:w="3723" w:type="dxa"/>
            <w:tcBorders>
              <w:top w:val="single" w:sz="4" w:space="0" w:color="000000"/>
              <w:left w:val="nil" w:sz="6" w:space="0" w:color="auto"/>
              <w:bottom w:val="nil" w:sz="6" w:space="0" w:color="auto"/>
              <w:right w:val="nil" w:sz="6" w:space="0" w:color="auto"/>
            </w:tcBorders>
          </w:tcPr>
          <w:p>
            <w:pPr>
              <w:pStyle w:val="TableParagraph"/>
              <w:spacing w:line="273" w:lineRule="exact"/>
              <w:ind w:left="122" w:right="0"/>
              <w:jc w:val="both"/>
              <w:rPr>
                <w:rFonts w:ascii="宋体" w:hAnsi="宋体" w:cs="宋体" w:eastAsia="宋体" w:hint="default"/>
                <w:sz w:val="24"/>
                <w:szCs w:val="24"/>
              </w:rPr>
            </w:pPr>
            <w:r>
              <w:rPr>
                <w:rFonts w:ascii="宋体" w:hAnsi="宋体" w:cs="宋体" w:eastAsia="宋体" w:hint="default"/>
                <w:sz w:val="24"/>
                <w:szCs w:val="24"/>
              </w:rPr>
              <w:t>为了能够更加公允</w:t>
            </w:r>
            <w:r>
              <w:rPr>
                <w:rFonts w:ascii="宋体" w:hAnsi="宋体" w:cs="宋体" w:eastAsia="宋体" w:hint="default"/>
                <w:spacing w:val="-108"/>
                <w:sz w:val="24"/>
                <w:szCs w:val="24"/>
              </w:rPr>
              <w:t>、</w:t>
            </w:r>
            <w:r>
              <w:rPr>
                <w:rFonts w:ascii="宋体" w:hAnsi="宋体" w:cs="宋体" w:eastAsia="宋体" w:hint="default"/>
                <w:sz w:val="24"/>
                <w:szCs w:val="24"/>
              </w:rPr>
              <w:t>恰当地反映本</w:t>
            </w:r>
          </w:p>
          <w:p>
            <w:pPr>
              <w:pStyle w:val="TableParagraph"/>
              <w:spacing w:line="237" w:lineRule="auto" w:before="1"/>
              <w:ind w:left="122" w:right="106"/>
              <w:jc w:val="both"/>
              <w:rPr>
                <w:rFonts w:ascii="宋体" w:hAnsi="宋体" w:cs="宋体" w:eastAsia="宋体" w:hint="default"/>
                <w:sz w:val="24"/>
                <w:szCs w:val="24"/>
              </w:rPr>
            </w:pPr>
            <w:r>
              <w:rPr>
                <w:rFonts w:ascii="宋体" w:hAnsi="宋体" w:cs="宋体" w:eastAsia="宋体" w:hint="default"/>
                <w:spacing w:val="-8"/>
                <w:sz w:val="24"/>
                <w:szCs w:val="24"/>
              </w:rPr>
              <w:t>公司的财务状况和经营成果，使房</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8"/>
                <w:sz w:val="24"/>
                <w:szCs w:val="24"/>
              </w:rPr>
              <w:t>屋及建筑物类固定资产折旧年限</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8"/>
                <w:sz w:val="24"/>
                <w:szCs w:val="24"/>
              </w:rPr>
              <w:t>与其实际使用寿命更加接近，新增</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房屋建筑物按</w:t>
            </w:r>
            <w:r>
              <w:rPr>
                <w:rFonts w:ascii="宋体" w:hAnsi="宋体" w:cs="宋体" w:eastAsia="宋体" w:hint="default"/>
                <w:spacing w:val="-63"/>
                <w:sz w:val="24"/>
                <w:szCs w:val="24"/>
              </w:rPr>
              <w:t> </w:t>
            </w:r>
            <w:r>
              <w:rPr>
                <w:rFonts w:ascii="Arial Narrow" w:hAnsi="Arial Narrow" w:cs="Arial Narrow" w:eastAsia="Arial Narrow" w:hint="default"/>
                <w:sz w:val="24"/>
                <w:szCs w:val="24"/>
              </w:rPr>
              <w:t>40</w:t>
            </w:r>
            <w:r>
              <w:rPr>
                <w:rFonts w:ascii="Arial Narrow" w:hAnsi="Arial Narrow" w:cs="Arial Narrow" w:eastAsia="Arial Narrow" w:hint="default"/>
                <w:spacing w:val="4"/>
                <w:sz w:val="24"/>
                <w:szCs w:val="24"/>
              </w:rPr>
              <w:t> </w:t>
            </w:r>
            <w:r>
              <w:rPr>
                <w:rFonts w:ascii="宋体" w:hAnsi="宋体" w:cs="宋体" w:eastAsia="宋体" w:hint="default"/>
                <w:sz w:val="24"/>
                <w:szCs w:val="24"/>
              </w:rPr>
              <w:t>年计提折旧</w:t>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30"/>
              <w:jc w:val="right"/>
              <w:rPr>
                <w:rFonts w:ascii="宋体" w:hAnsi="宋体" w:cs="宋体" w:eastAsia="宋体" w:hint="default"/>
                <w:sz w:val="24"/>
                <w:szCs w:val="24"/>
              </w:rPr>
            </w:pPr>
            <w:r>
              <w:rPr>
                <w:rFonts w:ascii="宋体" w:hAnsi="宋体" w:cs="宋体" w:eastAsia="宋体" w:hint="default"/>
                <w:sz w:val="24"/>
                <w:szCs w:val="24"/>
              </w:rPr>
              <w:t>董事会批准</w:t>
            </w: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4" w:right="0"/>
              <w:jc w:val="left"/>
              <w:rPr>
                <w:rFonts w:ascii="宋体" w:hAnsi="宋体" w:cs="宋体" w:eastAsia="宋体" w:hint="default"/>
                <w:sz w:val="24"/>
                <w:szCs w:val="24"/>
              </w:rPr>
            </w:pPr>
            <w:r>
              <w:rPr>
                <w:rFonts w:ascii="宋体" w:hAnsi="宋体" w:cs="宋体" w:eastAsia="宋体" w:hint="default"/>
                <w:sz w:val="24"/>
                <w:szCs w:val="24"/>
              </w:rPr>
              <w:t>①固定资产</w:t>
            </w:r>
          </w:p>
        </w:tc>
        <w:tc>
          <w:tcPr>
            <w:tcW w:w="153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6"/>
              <w:jc w:val="right"/>
              <w:rPr>
                <w:rFonts w:ascii="Arial Narrow" w:hAnsi="Arial Narrow" w:cs="Arial Narrow" w:eastAsia="Arial Narrow" w:hint="default"/>
                <w:sz w:val="24"/>
                <w:szCs w:val="24"/>
              </w:rPr>
            </w:pPr>
            <w:r>
              <w:rPr>
                <w:rFonts w:ascii="Arial Narrow"/>
                <w:spacing w:val="-1"/>
                <w:sz w:val="24"/>
              </w:rPr>
              <w:t>1,300,523.44</w:t>
            </w:r>
          </w:p>
        </w:tc>
      </w:tr>
      <w:tr>
        <w:trPr>
          <w:trHeight w:val="374" w:hRule="exact"/>
        </w:trPr>
        <w:tc>
          <w:tcPr>
            <w:tcW w:w="3723"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91" w:lineRule="exact"/>
              <w:ind w:left="214" w:right="0"/>
              <w:jc w:val="left"/>
              <w:rPr>
                <w:rFonts w:ascii="宋体" w:hAnsi="宋体" w:cs="宋体" w:eastAsia="宋体" w:hint="default"/>
                <w:sz w:val="24"/>
                <w:szCs w:val="24"/>
              </w:rPr>
            </w:pPr>
            <w:r>
              <w:rPr>
                <w:rFonts w:ascii="宋体" w:hAnsi="宋体" w:cs="宋体" w:eastAsia="宋体" w:hint="default"/>
                <w:sz w:val="24"/>
                <w:szCs w:val="24"/>
              </w:rPr>
              <w:t>②管理费用</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Narrow" w:hAnsi="Arial Narrow" w:cs="Arial Narrow" w:eastAsia="Arial Narrow" w:hint="default"/>
                <w:sz w:val="24"/>
                <w:szCs w:val="24"/>
              </w:rPr>
            </w:pPr>
            <w:r>
              <w:rPr>
                <w:rFonts w:ascii="Arial Narrow"/>
                <w:spacing w:val="-1"/>
                <w:sz w:val="24"/>
              </w:rPr>
              <w:t>-1,300,523.44</w:t>
            </w:r>
          </w:p>
        </w:tc>
      </w:tr>
      <w:tr>
        <w:trPr>
          <w:trHeight w:val="404" w:hRule="exact"/>
        </w:trPr>
        <w:tc>
          <w:tcPr>
            <w:tcW w:w="3723" w:type="dxa"/>
            <w:tcBorders>
              <w:top w:val="nil" w:sz="6" w:space="0" w:color="auto"/>
              <w:left w:val="nil" w:sz="6" w:space="0" w:color="auto"/>
              <w:bottom w:val="single" w:sz="8" w:space="0" w:color="000000"/>
              <w:right w:val="nil" w:sz="6" w:space="0" w:color="auto"/>
            </w:tcBorders>
          </w:tcPr>
          <w:p>
            <w:pPr/>
          </w:p>
        </w:tc>
        <w:tc>
          <w:tcPr>
            <w:tcW w:w="1541" w:type="dxa"/>
            <w:tcBorders>
              <w:top w:val="nil" w:sz="6" w:space="0" w:color="auto"/>
              <w:left w:val="nil" w:sz="6" w:space="0" w:color="auto"/>
              <w:bottom w:val="single" w:sz="8" w:space="0" w:color="000000"/>
              <w:right w:val="nil" w:sz="6" w:space="0" w:color="auto"/>
            </w:tcBorders>
          </w:tcPr>
          <w:p>
            <w:pPr/>
          </w:p>
        </w:tc>
        <w:tc>
          <w:tcPr>
            <w:tcW w:w="235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214" w:right="0"/>
              <w:jc w:val="left"/>
              <w:rPr>
                <w:rFonts w:ascii="宋体" w:hAnsi="宋体" w:cs="宋体" w:eastAsia="宋体" w:hint="default"/>
                <w:sz w:val="24"/>
                <w:szCs w:val="24"/>
              </w:rPr>
            </w:pPr>
            <w:r>
              <w:rPr>
                <w:rFonts w:ascii="宋体" w:hAnsi="宋体" w:cs="宋体" w:eastAsia="宋体" w:hint="default"/>
                <w:sz w:val="24"/>
                <w:szCs w:val="24"/>
              </w:rPr>
              <w:t>③所得税费用</w:t>
            </w:r>
          </w:p>
        </w:tc>
        <w:tc>
          <w:tcPr>
            <w:tcW w:w="1535"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-195,078.52</w:t>
            </w:r>
          </w:p>
        </w:tc>
      </w:tr>
    </w:tbl>
    <w:p>
      <w:pPr>
        <w:pStyle w:val="BodyText"/>
        <w:spacing w:line="240" w:lineRule="auto" w:before="79"/>
        <w:ind w:left="559" w:right="0"/>
        <w:jc w:val="left"/>
      </w:pPr>
      <w:r>
        <w:rPr/>
        <w:t>（</w:t>
      </w:r>
      <w:r>
        <w:rPr>
          <w:rFonts w:ascii="Times New Roman" w:hAnsi="Times New Roman" w:cs="Times New Roman" w:eastAsia="Times New Roman" w:hint="default"/>
        </w:rPr>
        <w:t>3</w:t>
      </w:r>
      <w:r>
        <w:rPr/>
        <w:t>）上述会计估计变更对本期和上期净利润的影响如下：</w:t>
      </w:r>
    </w:p>
    <w:p>
      <w:pPr>
        <w:spacing w:line="240" w:lineRule="auto" w:before="1"/>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4556"/>
        <w:gridCol w:w="3110"/>
        <w:gridCol w:w="1471"/>
      </w:tblGrid>
      <w:tr>
        <w:trPr>
          <w:trHeight w:val="413" w:hRule="exact"/>
        </w:trPr>
        <w:tc>
          <w:tcPr>
            <w:tcW w:w="455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240" w:lineRule="auto" w:before="3"/>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110"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877"/>
              <w:jc w:val="right"/>
              <w:rPr>
                <w:rFonts w:ascii="宋体" w:hAnsi="宋体" w:cs="宋体" w:eastAsia="宋体" w:hint="default"/>
                <w:sz w:val="24"/>
                <w:szCs w:val="24"/>
              </w:rPr>
            </w:pPr>
            <w:r>
              <w:rPr>
                <w:rFonts w:ascii="宋体" w:hAnsi="宋体" w:cs="宋体" w:eastAsia="宋体" w:hint="default"/>
                <w:b/>
                <w:bCs/>
                <w:sz w:val="24"/>
                <w:szCs w:val="24"/>
              </w:rPr>
              <w:t>本期</w:t>
            </w:r>
            <w:r>
              <w:rPr>
                <w:rFonts w:ascii="宋体" w:hAnsi="宋体" w:cs="宋体" w:eastAsia="宋体" w:hint="default"/>
                <w:sz w:val="24"/>
                <w:szCs w:val="24"/>
              </w:rPr>
            </w:r>
          </w:p>
        </w:tc>
        <w:tc>
          <w:tcPr>
            <w:tcW w:w="1471"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105"/>
              <w:jc w:val="right"/>
              <w:rPr>
                <w:rFonts w:ascii="宋体" w:hAnsi="宋体" w:cs="宋体" w:eastAsia="宋体" w:hint="default"/>
                <w:sz w:val="24"/>
                <w:szCs w:val="24"/>
              </w:rPr>
            </w:pPr>
            <w:r>
              <w:rPr>
                <w:rFonts w:ascii="宋体" w:hAnsi="宋体" w:cs="宋体" w:eastAsia="宋体" w:hint="default"/>
                <w:b/>
                <w:bCs/>
                <w:sz w:val="24"/>
                <w:szCs w:val="24"/>
              </w:rPr>
              <w:t>上期</w:t>
            </w:r>
            <w:r>
              <w:rPr>
                <w:rFonts w:ascii="宋体" w:hAnsi="宋体" w:cs="宋体" w:eastAsia="宋体" w:hint="default"/>
                <w:sz w:val="24"/>
                <w:szCs w:val="24"/>
              </w:rPr>
            </w:r>
          </w:p>
        </w:tc>
      </w:tr>
      <w:tr>
        <w:trPr>
          <w:trHeight w:val="413" w:hRule="exact"/>
        </w:trPr>
        <w:tc>
          <w:tcPr>
            <w:tcW w:w="4556"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sz w:val="24"/>
                <w:szCs w:val="24"/>
              </w:rPr>
              <w:t>新增房屋建筑物按</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40 </w:t>
            </w:r>
            <w:r>
              <w:rPr>
                <w:rFonts w:ascii="宋体" w:hAnsi="宋体" w:cs="宋体" w:eastAsia="宋体" w:hint="default"/>
                <w:sz w:val="24"/>
                <w:szCs w:val="24"/>
              </w:rPr>
              <w:t>年计提折旧</w:t>
            </w:r>
          </w:p>
        </w:tc>
        <w:tc>
          <w:tcPr>
            <w:tcW w:w="3110"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880"/>
              <w:jc w:val="right"/>
              <w:rPr>
                <w:rFonts w:ascii="Times New Roman" w:hAnsi="Times New Roman" w:cs="Times New Roman" w:eastAsia="Times New Roman" w:hint="default"/>
                <w:sz w:val="24"/>
                <w:szCs w:val="24"/>
              </w:rPr>
            </w:pPr>
            <w:r>
              <w:rPr>
                <w:rFonts w:ascii="Times New Roman"/>
                <w:sz w:val="24"/>
              </w:rPr>
              <w:t>1,105,444.92</w:t>
            </w:r>
          </w:p>
        </w:tc>
        <w:tc>
          <w:tcPr>
            <w:tcW w:w="1471" w:type="dxa"/>
            <w:tcBorders>
              <w:top w:val="single" w:sz="4" w:space="0" w:color="000000"/>
              <w:left w:val="nil" w:sz="6" w:space="0" w:color="auto"/>
              <w:bottom w:val="single" w:sz="8"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bl>
    <w:p>
      <w:pPr>
        <w:pStyle w:val="BodyText"/>
        <w:spacing w:line="379" w:lineRule="auto" w:before="79"/>
        <w:ind w:left="502" w:right="5237" w:hanging="257"/>
        <w:jc w:val="left"/>
      </w:pPr>
      <w:r>
        <w:rPr>
          <w:rFonts w:ascii="Times New Roman" w:hAnsi="Times New Roman" w:cs="Times New Roman" w:eastAsia="Times New Roman" w:hint="default"/>
        </w:rPr>
        <w:t>31</w:t>
      </w:r>
      <w:r>
        <w:rPr/>
        <w:t>、前期会计差错更正 本报告期是否发现前期会计差错：否。</w:t>
      </w:r>
    </w:p>
    <w:p>
      <w:pPr>
        <w:pStyle w:val="Heading5"/>
        <w:spacing w:line="240" w:lineRule="auto" w:before="74"/>
        <w:ind w:left="142" w:right="0"/>
        <w:jc w:val="left"/>
        <w:rPr>
          <w:b w:val="0"/>
          <w:bCs w:val="0"/>
        </w:rPr>
      </w:pPr>
      <w:r>
        <w:rPr/>
        <w:t>三、税项</w:t>
      </w:r>
      <w:r>
        <w:rPr>
          <w:b w:val="0"/>
          <w:bCs w:val="0"/>
        </w:rPr>
      </w:r>
    </w:p>
    <w:p>
      <w:pPr>
        <w:pStyle w:val="BodyText"/>
        <w:spacing w:line="240" w:lineRule="auto" w:before="214"/>
        <w:ind w:left="245" w:right="0"/>
        <w:jc w:val="left"/>
      </w:pPr>
      <w:r>
        <w:rPr>
          <w:rFonts w:ascii="Times New Roman" w:hAnsi="Times New Roman" w:cs="Times New Roman" w:eastAsia="Times New Roman" w:hint="default"/>
        </w:rPr>
        <w:t>1</w:t>
      </w:r>
      <w:r>
        <w:rPr/>
        <w:t>、主要税种及税率</w:t>
      </w:r>
    </w:p>
    <w:p>
      <w:pPr>
        <w:spacing w:line="240" w:lineRule="auto" w:before="1"/>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2434"/>
        <w:gridCol w:w="3685"/>
        <w:gridCol w:w="2915"/>
      </w:tblGrid>
      <w:tr>
        <w:trPr>
          <w:trHeight w:val="420" w:hRule="exact"/>
        </w:trPr>
        <w:tc>
          <w:tcPr>
            <w:tcW w:w="2434"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b/>
                <w:bCs/>
                <w:sz w:val="24"/>
                <w:szCs w:val="24"/>
              </w:rPr>
              <w:t>税</w:t>
            </w:r>
            <w:r>
              <w:rPr>
                <w:rFonts w:ascii="宋体" w:hAnsi="宋体" w:cs="宋体" w:eastAsia="宋体" w:hint="default"/>
                <w:b/>
                <w:bCs/>
                <w:spacing w:val="-1"/>
                <w:sz w:val="24"/>
                <w:szCs w:val="24"/>
              </w:rPr>
              <w:t> </w:t>
            </w:r>
            <w:r>
              <w:rPr>
                <w:rFonts w:ascii="宋体" w:hAnsi="宋体" w:cs="宋体" w:eastAsia="宋体" w:hint="default"/>
                <w:b/>
                <w:bCs/>
                <w:sz w:val="24"/>
                <w:szCs w:val="24"/>
              </w:rPr>
              <w:t>种</w:t>
            </w:r>
            <w:r>
              <w:rPr>
                <w:rFonts w:ascii="宋体" w:hAnsi="宋体" w:cs="宋体" w:eastAsia="宋体" w:hint="default"/>
                <w:sz w:val="24"/>
                <w:szCs w:val="24"/>
              </w:rPr>
            </w:r>
          </w:p>
        </w:tc>
        <w:tc>
          <w:tcPr>
            <w:tcW w:w="368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645" w:right="0"/>
              <w:jc w:val="left"/>
              <w:rPr>
                <w:rFonts w:ascii="宋体" w:hAnsi="宋体" w:cs="宋体" w:eastAsia="宋体" w:hint="default"/>
                <w:sz w:val="24"/>
                <w:szCs w:val="24"/>
              </w:rPr>
            </w:pPr>
            <w:r>
              <w:rPr>
                <w:rFonts w:ascii="宋体" w:hAnsi="宋体" w:cs="宋体" w:eastAsia="宋体" w:hint="default"/>
                <w:b/>
                <w:bCs/>
                <w:sz w:val="24"/>
                <w:szCs w:val="24"/>
              </w:rPr>
              <w:t>计税依据</w:t>
            </w:r>
            <w:r>
              <w:rPr>
                <w:rFonts w:ascii="宋体" w:hAnsi="宋体" w:cs="宋体" w:eastAsia="宋体" w:hint="default"/>
                <w:sz w:val="24"/>
                <w:szCs w:val="24"/>
              </w:rPr>
            </w:r>
          </w:p>
        </w:tc>
        <w:tc>
          <w:tcPr>
            <w:tcW w:w="291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108"/>
              <w:jc w:val="right"/>
              <w:rPr>
                <w:rFonts w:ascii="Times New Roman" w:hAnsi="Times New Roman" w:cs="Times New Roman" w:eastAsia="Times New Roman" w:hint="default"/>
                <w:sz w:val="24"/>
                <w:szCs w:val="24"/>
              </w:rPr>
            </w:pPr>
            <w:r>
              <w:rPr>
                <w:rFonts w:ascii="宋体" w:hAnsi="宋体" w:cs="宋体" w:eastAsia="宋体" w:hint="default"/>
                <w:b/>
                <w:bCs/>
                <w:sz w:val="24"/>
                <w:szCs w:val="24"/>
              </w:rPr>
              <w:t>法定税率</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411" w:hRule="exact"/>
        </w:trPr>
        <w:tc>
          <w:tcPr>
            <w:tcW w:w="243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68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645"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91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9"/>
              <w:jc w:val="right"/>
              <w:rPr>
                <w:rFonts w:ascii="Times New Roman" w:hAnsi="Times New Roman" w:cs="Times New Roman" w:eastAsia="Times New Roman" w:hint="default"/>
                <w:sz w:val="24"/>
                <w:szCs w:val="24"/>
              </w:rPr>
            </w:pPr>
            <w:r>
              <w:rPr>
                <w:rFonts w:ascii="Times New Roman"/>
                <w:sz w:val="24"/>
              </w:rPr>
              <w:t>17</w:t>
            </w:r>
          </w:p>
        </w:tc>
      </w:tr>
      <w:tr>
        <w:trPr>
          <w:trHeight w:val="404"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4"/>
              <w:ind w:left="645"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09"/>
              <w:jc w:val="right"/>
              <w:rPr>
                <w:rFonts w:ascii="Times New Roman" w:hAnsi="Times New Roman" w:cs="Times New Roman" w:eastAsia="Times New Roman" w:hint="default"/>
                <w:sz w:val="24"/>
                <w:szCs w:val="24"/>
              </w:rPr>
            </w:pPr>
            <w:r>
              <w:rPr>
                <w:rFonts w:ascii="Times New Roman"/>
                <w:sz w:val="24"/>
              </w:rPr>
              <w:t>5</w:t>
            </w:r>
          </w:p>
        </w:tc>
      </w:tr>
      <w:tr>
        <w:trPr>
          <w:trHeight w:val="406" w:hRule="exact"/>
        </w:trPr>
        <w:tc>
          <w:tcPr>
            <w:tcW w:w="2434"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6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645"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9"/>
              <w:jc w:val="right"/>
              <w:rPr>
                <w:rFonts w:ascii="Times New Roman" w:hAnsi="Times New Roman" w:cs="Times New Roman" w:eastAsia="Times New Roman" w:hint="default"/>
                <w:sz w:val="24"/>
                <w:szCs w:val="24"/>
              </w:rPr>
            </w:pPr>
            <w:r>
              <w:rPr>
                <w:rFonts w:ascii="Times New Roman"/>
                <w:sz w:val="24"/>
              </w:rPr>
              <w:t>7</w:t>
            </w:r>
          </w:p>
        </w:tc>
      </w:tr>
      <w:tr>
        <w:trPr>
          <w:trHeight w:val="413" w:hRule="exact"/>
        </w:trPr>
        <w:tc>
          <w:tcPr>
            <w:tcW w:w="2434" w:type="dxa"/>
            <w:tcBorders>
              <w:top w:val="nil" w:sz="6" w:space="0" w:color="auto"/>
              <w:left w:val="nil" w:sz="6" w:space="0" w:color="auto"/>
              <w:bottom w:val="single" w:sz="8" w:space="0" w:color="000000"/>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685" w:type="dxa"/>
            <w:tcBorders>
              <w:top w:val="nil" w:sz="6" w:space="0" w:color="auto"/>
              <w:left w:val="nil" w:sz="6" w:space="0" w:color="auto"/>
              <w:bottom w:val="single" w:sz="8" w:space="0" w:color="000000"/>
              <w:right w:val="nil" w:sz="6" w:space="0" w:color="auto"/>
            </w:tcBorders>
          </w:tcPr>
          <w:p>
            <w:pPr>
              <w:pStyle w:val="TableParagraph"/>
              <w:spacing w:line="240" w:lineRule="auto" w:before="5"/>
              <w:ind w:left="645"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915"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209"/>
              <w:jc w:val="right"/>
              <w:rPr>
                <w:rFonts w:ascii="Times New Roman" w:hAnsi="Times New Roman" w:cs="Times New Roman" w:eastAsia="Times New Roman" w:hint="default"/>
                <w:sz w:val="24"/>
                <w:szCs w:val="24"/>
              </w:rPr>
            </w:pPr>
            <w:r>
              <w:rPr>
                <w:rFonts w:ascii="Times New Roman"/>
                <w:sz w:val="24"/>
              </w:rPr>
              <w:t>25</w:t>
            </w:r>
          </w:p>
        </w:tc>
      </w:tr>
    </w:tbl>
    <w:p>
      <w:pPr>
        <w:pStyle w:val="BodyText"/>
        <w:spacing w:line="240" w:lineRule="auto" w:before="80"/>
        <w:ind w:left="562" w:right="0"/>
        <w:jc w:val="left"/>
      </w:pPr>
      <w:r>
        <w:rPr/>
        <w:t>本公司之子公司日本超图株式会社注册地为日本东京，适用税种及税率如下：</w:t>
      </w:r>
    </w:p>
    <w:p>
      <w:pPr>
        <w:spacing w:line="240" w:lineRule="auto" w:before="6"/>
        <w:rPr>
          <w:rFonts w:ascii="宋体" w:hAnsi="宋体" w:cs="宋体" w:eastAsia="宋体" w:hint="default"/>
          <w:sz w:val="19"/>
          <w:szCs w:val="19"/>
        </w:rPr>
      </w:pPr>
    </w:p>
    <w:tbl>
      <w:tblPr>
        <w:tblW w:w="0" w:type="auto"/>
        <w:jc w:val="left"/>
        <w:tblInd w:w="562" w:type="dxa"/>
        <w:tblLayout w:type="fixed"/>
        <w:tblCellMar>
          <w:top w:w="0" w:type="dxa"/>
          <w:left w:w="0" w:type="dxa"/>
          <w:bottom w:w="0" w:type="dxa"/>
          <w:right w:w="0" w:type="dxa"/>
        </w:tblCellMar>
        <w:tblLook w:val="01E0"/>
      </w:tblPr>
      <w:tblGrid>
        <w:gridCol w:w="2194"/>
        <w:gridCol w:w="3925"/>
        <w:gridCol w:w="2915"/>
      </w:tblGrid>
      <w:tr>
        <w:trPr>
          <w:trHeight w:val="420" w:hRule="exact"/>
        </w:trPr>
        <w:tc>
          <w:tcPr>
            <w:tcW w:w="2194"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left="108" w:right="0"/>
              <w:jc w:val="left"/>
              <w:rPr>
                <w:rFonts w:ascii="宋体" w:hAnsi="宋体" w:cs="宋体" w:eastAsia="宋体" w:hint="default"/>
                <w:sz w:val="24"/>
                <w:szCs w:val="24"/>
              </w:rPr>
            </w:pPr>
            <w:r>
              <w:rPr>
                <w:rFonts w:ascii="宋体" w:hAnsi="宋体" w:cs="宋体" w:eastAsia="宋体" w:hint="default"/>
                <w:b/>
                <w:bCs/>
                <w:sz w:val="24"/>
                <w:szCs w:val="24"/>
              </w:rPr>
              <w:t>税</w:t>
            </w:r>
            <w:r>
              <w:rPr>
                <w:rFonts w:ascii="宋体" w:hAnsi="宋体" w:cs="宋体" w:eastAsia="宋体" w:hint="default"/>
                <w:b/>
                <w:bCs/>
                <w:spacing w:val="-1"/>
                <w:sz w:val="24"/>
                <w:szCs w:val="24"/>
              </w:rPr>
              <w:t> </w:t>
            </w:r>
            <w:r>
              <w:rPr>
                <w:rFonts w:ascii="宋体" w:hAnsi="宋体" w:cs="宋体" w:eastAsia="宋体" w:hint="default"/>
                <w:b/>
                <w:bCs/>
                <w:sz w:val="24"/>
                <w:szCs w:val="24"/>
              </w:rPr>
              <w:t>种</w:t>
            </w:r>
            <w:r>
              <w:rPr>
                <w:rFonts w:ascii="宋体" w:hAnsi="宋体" w:cs="宋体" w:eastAsia="宋体" w:hint="default"/>
                <w:sz w:val="24"/>
                <w:szCs w:val="24"/>
              </w:rPr>
            </w:r>
          </w:p>
        </w:tc>
        <w:tc>
          <w:tcPr>
            <w:tcW w:w="3925"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left="885" w:right="0"/>
              <w:jc w:val="left"/>
              <w:rPr>
                <w:rFonts w:ascii="宋体" w:hAnsi="宋体" w:cs="宋体" w:eastAsia="宋体" w:hint="default"/>
                <w:sz w:val="24"/>
                <w:szCs w:val="24"/>
              </w:rPr>
            </w:pPr>
            <w:r>
              <w:rPr>
                <w:rFonts w:ascii="宋体" w:hAnsi="宋体" w:cs="宋体" w:eastAsia="宋体" w:hint="default"/>
                <w:b/>
                <w:bCs/>
                <w:sz w:val="24"/>
                <w:szCs w:val="24"/>
              </w:rPr>
              <w:t>计税依据</w:t>
            </w:r>
            <w:r>
              <w:rPr>
                <w:rFonts w:ascii="宋体" w:hAnsi="宋体" w:cs="宋体" w:eastAsia="宋体" w:hint="default"/>
                <w:sz w:val="24"/>
                <w:szCs w:val="24"/>
              </w:rPr>
            </w:r>
          </w:p>
        </w:tc>
        <w:tc>
          <w:tcPr>
            <w:tcW w:w="2915" w:type="dxa"/>
            <w:tcBorders>
              <w:top w:val="single" w:sz="8" w:space="0" w:color="000000"/>
              <w:left w:val="nil" w:sz="6" w:space="0" w:color="auto"/>
              <w:bottom w:val="single" w:sz="4" w:space="0" w:color="000000"/>
              <w:right w:val="nil" w:sz="6" w:space="0" w:color="auto"/>
            </w:tcBorders>
          </w:tcPr>
          <w:p>
            <w:pPr>
              <w:pStyle w:val="TableParagraph"/>
              <w:spacing w:line="240" w:lineRule="auto" w:before="7"/>
              <w:ind w:right="108"/>
              <w:jc w:val="right"/>
              <w:rPr>
                <w:rFonts w:ascii="Times New Roman" w:hAnsi="Times New Roman" w:cs="Times New Roman" w:eastAsia="Times New Roman" w:hint="default"/>
                <w:sz w:val="24"/>
                <w:szCs w:val="24"/>
              </w:rPr>
            </w:pPr>
            <w:r>
              <w:rPr>
                <w:rFonts w:ascii="宋体" w:hAnsi="宋体" w:cs="宋体" w:eastAsia="宋体" w:hint="default"/>
                <w:b/>
                <w:bCs/>
                <w:sz w:val="24"/>
                <w:szCs w:val="24"/>
              </w:rPr>
              <w:t>法定税率</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r>
      <w:tr>
        <w:trPr>
          <w:trHeight w:val="411" w:hRule="exact"/>
        </w:trPr>
        <w:tc>
          <w:tcPr>
            <w:tcW w:w="219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4"/>
                <w:szCs w:val="24"/>
              </w:rPr>
            </w:pPr>
            <w:r>
              <w:rPr>
                <w:rFonts w:ascii="宋体" w:hAnsi="宋体" w:cs="宋体" w:eastAsia="宋体" w:hint="default"/>
                <w:sz w:val="24"/>
                <w:szCs w:val="24"/>
              </w:rPr>
              <w:t>法人税</w:t>
            </w:r>
          </w:p>
        </w:tc>
        <w:tc>
          <w:tcPr>
            <w:tcW w:w="392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885"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91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9"/>
              <w:jc w:val="right"/>
              <w:rPr>
                <w:rFonts w:ascii="Times New Roman" w:hAnsi="Times New Roman" w:cs="Times New Roman" w:eastAsia="Times New Roman" w:hint="default"/>
                <w:sz w:val="24"/>
                <w:szCs w:val="24"/>
              </w:rPr>
            </w:pPr>
            <w:r>
              <w:rPr>
                <w:rFonts w:ascii="Times New Roman"/>
                <w:sz w:val="24"/>
              </w:rPr>
              <w:t>30.00</w:t>
            </w:r>
          </w:p>
        </w:tc>
      </w:tr>
      <w:tr>
        <w:trPr>
          <w:trHeight w:val="406" w:hRule="exact"/>
        </w:trPr>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法人事业税</w:t>
            </w:r>
          </w:p>
        </w:tc>
        <w:tc>
          <w:tcPr>
            <w:tcW w:w="3925" w:type="dxa"/>
            <w:tcBorders>
              <w:top w:val="nil" w:sz="6" w:space="0" w:color="auto"/>
              <w:left w:val="nil" w:sz="6" w:space="0" w:color="auto"/>
              <w:bottom w:val="nil" w:sz="6" w:space="0" w:color="auto"/>
              <w:right w:val="nil" w:sz="6" w:space="0" w:color="auto"/>
            </w:tcBorders>
          </w:tcPr>
          <w:p>
            <w:pPr>
              <w:pStyle w:val="TableParagraph"/>
              <w:spacing w:line="240" w:lineRule="auto" w:before="4"/>
              <w:ind w:left="885"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9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9"/>
              <w:jc w:val="right"/>
              <w:rPr>
                <w:rFonts w:ascii="Times New Roman" w:hAnsi="Times New Roman" w:cs="Times New Roman" w:eastAsia="Times New Roman" w:hint="default"/>
                <w:sz w:val="24"/>
                <w:szCs w:val="24"/>
              </w:rPr>
            </w:pPr>
            <w:r>
              <w:rPr>
                <w:rFonts w:ascii="Times New Roman"/>
                <w:sz w:val="24"/>
              </w:rPr>
              <w:t>5.30</w:t>
            </w:r>
          </w:p>
        </w:tc>
      </w:tr>
      <w:tr>
        <w:trPr>
          <w:trHeight w:val="414" w:hRule="exact"/>
        </w:trPr>
        <w:tc>
          <w:tcPr>
            <w:tcW w:w="2194"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法人住民税</w:t>
            </w:r>
          </w:p>
        </w:tc>
        <w:tc>
          <w:tcPr>
            <w:tcW w:w="3925"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885"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915" w:type="dxa"/>
            <w:tcBorders>
              <w:top w:val="nil" w:sz="6" w:space="0" w:color="auto"/>
              <w:left w:val="nil" w:sz="6" w:space="0" w:color="auto"/>
              <w:bottom w:val="single" w:sz="8" w:space="0" w:color="000000"/>
              <w:right w:val="nil" w:sz="6" w:space="0" w:color="auto"/>
            </w:tcBorders>
          </w:tcPr>
          <w:p>
            <w:pPr>
              <w:pStyle w:val="TableParagraph"/>
              <w:spacing w:line="240" w:lineRule="auto" w:before="53"/>
              <w:ind w:right="209"/>
              <w:jc w:val="right"/>
              <w:rPr>
                <w:rFonts w:ascii="Times New Roman" w:hAnsi="Times New Roman" w:cs="Times New Roman" w:eastAsia="Times New Roman" w:hint="default"/>
                <w:sz w:val="24"/>
                <w:szCs w:val="24"/>
              </w:rPr>
            </w:pPr>
            <w:r>
              <w:rPr>
                <w:rFonts w:ascii="Times New Roman"/>
                <w:sz w:val="24"/>
              </w:rPr>
              <w:t>5.19</w:t>
            </w:r>
          </w:p>
        </w:tc>
      </w:tr>
    </w:tbl>
    <w:p>
      <w:pPr>
        <w:pStyle w:val="BodyText"/>
        <w:spacing w:line="240" w:lineRule="auto" w:before="79"/>
        <w:ind w:left="245" w:right="0"/>
        <w:jc w:val="left"/>
      </w:pPr>
      <w:r>
        <w:rPr>
          <w:rFonts w:ascii="Times New Roman" w:hAnsi="Times New Roman" w:cs="Times New Roman" w:eastAsia="Times New Roman" w:hint="default"/>
        </w:rPr>
        <w:t>2</w:t>
      </w:r>
      <w:r>
        <w:rPr/>
        <w:t>、优惠税负及批文</w:t>
      </w:r>
    </w:p>
    <w:p>
      <w:pPr>
        <w:pStyle w:val="BodyText"/>
        <w:spacing w:line="322" w:lineRule="exact" w:before="193"/>
        <w:ind w:left="562" w:right="0"/>
        <w:jc w:val="both"/>
      </w:pPr>
      <w:r>
        <w:rPr/>
        <w:t>根据财政部、国家税务总局</w:t>
      </w:r>
      <w:r>
        <w:rPr>
          <w:spacing w:val="-6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日发布的财税【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号文《财政部、</w:t>
      </w:r>
    </w:p>
    <w:p>
      <w:pPr>
        <w:pStyle w:val="BodyText"/>
        <w:spacing w:line="228" w:lineRule="auto" w:before="4"/>
        <w:ind w:left="562" w:right="207"/>
        <w:jc w:val="both"/>
      </w:pPr>
      <w:r>
        <w:rPr/>
        <w:t>国家税务总局关于软件产品增值税政策的通知》规定，本公司自</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日起销 售自行开发生产的计算机软件产品按法定 </w:t>
      </w:r>
      <w:r>
        <w:rPr>
          <w:rFonts w:ascii="Times New Roman" w:hAnsi="Times New Roman" w:cs="Times New Roman" w:eastAsia="Times New Roman" w:hint="default"/>
        </w:rPr>
        <w:t>17%</w:t>
      </w:r>
      <w:r>
        <w:rPr/>
        <w:t>的税率征收后，对实际税负超过</w:t>
      </w:r>
      <w:r>
        <w:rPr>
          <w:spacing w:val="-96"/>
        </w:rPr>
        <w:t> </w:t>
      </w:r>
      <w:r>
        <w:rPr>
          <w:rFonts w:ascii="Times New Roman" w:hAnsi="Times New Roman" w:cs="Times New Roman" w:eastAsia="Times New Roman" w:hint="default"/>
        </w:rPr>
        <w:t>3%</w:t>
      </w:r>
      <w:r>
        <w:rPr/>
        <w:t>的部 </w:t>
      </w:r>
      <w:r>
        <w:rPr>
          <w:spacing w:val="-2"/>
        </w:rPr>
        <w:t>分实行即征即退，所退税款用于研究开发软件产品和扩大再生产，不作为企业所得税应</w:t>
      </w:r>
      <w:r>
        <w:rPr>
          <w:spacing w:val="-98"/>
        </w:rPr>
        <w:t> </w:t>
      </w:r>
      <w:r>
        <w:rPr>
          <w:spacing w:val="-98"/>
        </w:rPr>
      </w:r>
      <w:r>
        <w:rPr/>
        <w:t>税收入，不予征收企业所得税。</w:t>
      </w:r>
    </w:p>
    <w:p>
      <w:pPr>
        <w:pStyle w:val="BodyText"/>
        <w:spacing w:line="240" w:lineRule="auto" w:before="215"/>
        <w:ind w:left="562" w:right="0"/>
        <w:jc w:val="both"/>
      </w:pPr>
      <w:r>
        <w:rPr/>
        <w:t>根据财政部和国家税务总局关于贯彻落实《中共中央国务院关于加强技术创新发展高科</w:t>
      </w:r>
    </w:p>
    <w:p>
      <w:pPr>
        <w:spacing w:after="0" w:line="240" w:lineRule="auto"/>
        <w:jc w:val="both"/>
        <w:sectPr>
          <w:footerReference w:type="default" r:id="rId61"/>
          <w:pgSz w:w="11900" w:h="16850"/>
          <w:pgMar w:footer="919" w:header="771" w:top="1640" w:bottom="1100" w:left="1140" w:right="920"/>
          <w:pgNumType w:start="131"/>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7.95pt;height:.75pt;mso-position-horizontal-relative:char;mso-position-vertical-relative:line" coordorigin="0,0" coordsize="9559,15">
            <v:group style="position:absolute;left:7;top:7;width:9545;height:2" coordorigin="7,7" coordsize="9545,2">
              <v:shape style="position:absolute;left:7;top:7;width:9545;height:2" coordorigin="7,7" coordsize="9545,0" path="m7,7l9552,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pStyle w:val="BodyText"/>
        <w:spacing w:line="312" w:lineRule="exact" w:before="56"/>
        <w:ind w:left="562" w:right="209"/>
        <w:jc w:val="both"/>
      </w:pPr>
      <w:r>
        <w:rPr>
          <w:spacing w:val="-6"/>
        </w:rPr>
        <w:t>技实现产业化决定》（财税字</w:t>
      </w:r>
      <w:r>
        <w:rPr>
          <w:rFonts w:ascii="Times New Roman" w:hAnsi="Times New Roman" w:cs="Times New Roman" w:eastAsia="Times New Roman" w:hint="default"/>
          <w:spacing w:val="-6"/>
        </w:rPr>
        <w:t>[1999]273</w:t>
      </w:r>
      <w:r>
        <w:rPr>
          <w:rFonts w:ascii="Times New Roman" w:hAnsi="Times New Roman" w:cs="Times New Roman" w:eastAsia="Times New Roman" w:hint="default"/>
          <w:spacing w:val="15"/>
        </w:rPr>
        <w:t> </w:t>
      </w:r>
      <w:r>
        <w:rPr>
          <w:spacing w:val="-2"/>
        </w:rPr>
        <w:t>号）有关税收问题文件规定，本公司从事技术转</w:t>
      </w:r>
      <w:r>
        <w:rPr/>
        <w:t> 让、技术开发业务和与之相关的技术咨询、技术服务业务取得的收入，免征营业税。</w:t>
      </w:r>
    </w:p>
    <w:p>
      <w:pPr>
        <w:pStyle w:val="BodyText"/>
        <w:spacing w:line="312" w:lineRule="exact" w:before="213"/>
        <w:ind w:left="562" w:right="209"/>
        <w:jc w:val="both"/>
      </w:pPr>
      <w:r>
        <w:rPr>
          <w:spacing w:val="-2"/>
        </w:rPr>
        <w:t>根据北京市科学技术委员会、北京市财政局、北京市国家税务局、北京市地方税务局于</w:t>
      </w:r>
      <w:r>
        <w:rPr>
          <w:spacing w:val="-101"/>
        </w:rPr>
        <w:t> </w:t>
      </w:r>
      <w:r>
        <w:rPr>
          <w:spacing w:val="-101"/>
        </w:rPr>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09</w:t>
      </w:r>
      <w:r>
        <w:rPr>
          <w:rFonts w:ascii="Times New Roman" w:hAnsi="Times New Roman" w:cs="Times New Roman" w:eastAsia="Times New Roman" w:hint="default"/>
          <w:spacing w:val="18"/>
        </w:rPr>
        <w:t> </w:t>
      </w:r>
      <w:r>
        <w:rPr/>
        <w:t>月</w:t>
      </w:r>
      <w:r>
        <w:rPr>
          <w:spacing w:val="-42"/>
        </w:rPr>
        <w:t> </w:t>
      </w:r>
      <w:r>
        <w:rPr>
          <w:rFonts w:ascii="Times New Roman" w:hAnsi="Times New Roman" w:cs="Times New Roman" w:eastAsia="Times New Roman" w:hint="default"/>
          <w:spacing w:val="-2"/>
        </w:rPr>
        <w:t>14</w:t>
      </w:r>
      <w:r>
        <w:rPr>
          <w:rFonts w:ascii="Times New Roman" w:hAnsi="Times New Roman" w:cs="Times New Roman" w:eastAsia="Times New Roman" w:hint="default"/>
          <w:spacing w:val="18"/>
        </w:rPr>
        <w:t> </w:t>
      </w:r>
      <w:r>
        <w:rPr>
          <w:spacing w:val="-1"/>
        </w:rPr>
        <w:t>日联合颁发的</w:t>
      </w:r>
      <w:r>
        <w:rPr>
          <w:spacing w:val="-41"/>
        </w:rPr>
        <w:t> </w:t>
      </w:r>
      <w:r>
        <w:rPr>
          <w:rFonts w:ascii="Times New Roman" w:hAnsi="Times New Roman" w:cs="Times New Roman" w:eastAsia="Times New Roman" w:hint="default"/>
          <w:spacing w:val="-3"/>
          <w:w w:val="99"/>
        </w:rPr>
        <w:t>GF201111000840</w:t>
      </w:r>
      <w:r>
        <w:rPr>
          <w:rFonts w:ascii="Times New Roman" w:hAnsi="Times New Roman" w:cs="Times New Roman" w:eastAsia="Times New Roman" w:hint="default"/>
          <w:spacing w:val="19"/>
          <w:w w:val="99"/>
        </w:rPr>
        <w:t> </w:t>
      </w:r>
      <w:r>
        <w:rPr>
          <w:spacing w:val="-8"/>
        </w:rPr>
        <w:t>号《高新技术企业证书》，本公司被认</w:t>
      </w:r>
      <w:r>
        <w:rPr/>
        <w:t> 定为高新技术企业，</w:t>
      </w:r>
      <w:r>
        <w:rPr>
          <w:rFonts w:ascii="Times New Roman" w:hAnsi="Times New Roman" w:cs="Times New Roman" w:eastAsia="Times New Roman" w:hint="default"/>
        </w:rPr>
        <w:t>2011 </w:t>
      </w:r>
      <w:r>
        <w:rPr/>
        <w:t>年度执行</w:t>
      </w:r>
      <w:r>
        <w:rPr>
          <w:spacing w:val="-69"/>
        </w:rPr>
        <w:t> </w:t>
      </w:r>
      <w:r>
        <w:rPr>
          <w:rFonts w:ascii="Times New Roman" w:hAnsi="Times New Roman" w:cs="Times New Roman" w:eastAsia="Times New Roman" w:hint="default"/>
        </w:rPr>
        <w:t>15%</w:t>
      </w:r>
      <w:r>
        <w:rPr/>
        <w:t>的企业所得税税率。</w:t>
      </w:r>
    </w:p>
    <w:p>
      <w:pPr>
        <w:pStyle w:val="Heading5"/>
        <w:spacing w:line="240" w:lineRule="auto" w:before="185"/>
        <w:ind w:left="142" w:right="0"/>
        <w:jc w:val="left"/>
        <w:rPr>
          <w:b w:val="0"/>
          <w:bCs w:val="0"/>
        </w:rPr>
      </w:pPr>
      <w:r>
        <w:rPr/>
        <w:t>四、企业合并及合并财务报表</w:t>
      </w:r>
      <w:r>
        <w:rPr>
          <w:b w:val="0"/>
          <w:bCs w:val="0"/>
        </w:rPr>
      </w:r>
    </w:p>
    <w:p>
      <w:pPr>
        <w:pStyle w:val="BodyText"/>
        <w:spacing w:line="240" w:lineRule="auto" w:before="212"/>
        <w:ind w:left="142" w:right="0"/>
        <w:jc w:val="left"/>
      </w:pPr>
      <w:r>
        <w:rPr>
          <w:rFonts w:ascii="Arial Narrow" w:hAnsi="Arial Narrow" w:cs="Arial Narrow" w:eastAsia="Arial Narrow" w:hint="default"/>
        </w:rPr>
        <w:t>1</w:t>
      </w:r>
      <w:r>
        <w:rPr/>
        <w:t>、子公司、孙公司情况</w:t>
      </w:r>
    </w:p>
    <w:p>
      <w:pPr>
        <w:pStyle w:val="BodyText"/>
        <w:spacing w:line="240" w:lineRule="auto" w:before="197"/>
        <w:ind w:left="559" w:right="0"/>
        <w:jc w:val="both"/>
      </w:pPr>
      <w:r>
        <w:rPr/>
        <w:t>（</w:t>
      </w:r>
      <w:r>
        <w:rPr>
          <w:rFonts w:ascii="Arial Narrow" w:hAnsi="Arial Narrow" w:cs="Arial Narrow" w:eastAsia="Arial Narrow" w:hint="default"/>
        </w:rPr>
        <w:t>1</w:t>
      </w:r>
      <w:r>
        <w:rPr/>
        <w:t>）通过设立或投资等方式取得的子公司</w:t>
      </w:r>
    </w:p>
    <w:p>
      <w:pPr>
        <w:spacing w:line="240" w:lineRule="auto" w:before="2"/>
        <w:rPr>
          <w:rFonts w:ascii="宋体" w:hAnsi="宋体" w:cs="宋体" w:eastAsia="宋体" w:hint="default"/>
          <w:sz w:val="18"/>
          <w:szCs w:val="18"/>
        </w:rPr>
      </w:pPr>
    </w:p>
    <w:tbl>
      <w:tblPr>
        <w:tblW w:w="0" w:type="auto"/>
        <w:jc w:val="left"/>
        <w:tblInd w:w="454" w:type="dxa"/>
        <w:tblLayout w:type="fixed"/>
        <w:tblCellMar>
          <w:top w:w="0" w:type="dxa"/>
          <w:left w:w="0" w:type="dxa"/>
          <w:bottom w:w="0" w:type="dxa"/>
          <w:right w:w="0" w:type="dxa"/>
        </w:tblCellMar>
        <w:tblLook w:val="01E0"/>
      </w:tblPr>
      <w:tblGrid>
        <w:gridCol w:w="1153"/>
        <w:gridCol w:w="700"/>
        <w:gridCol w:w="2133"/>
        <w:gridCol w:w="755"/>
        <w:gridCol w:w="1351"/>
        <w:gridCol w:w="912"/>
        <w:gridCol w:w="767"/>
        <w:gridCol w:w="816"/>
        <w:gridCol w:w="695"/>
      </w:tblGrid>
      <w:tr>
        <w:trPr>
          <w:trHeight w:val="1104" w:hRule="exact"/>
        </w:trPr>
        <w:tc>
          <w:tcPr>
            <w:tcW w:w="1153"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92"/>
              <w:jc w:val="left"/>
              <w:rPr>
                <w:rFonts w:ascii="宋体" w:hAnsi="宋体" w:cs="宋体" w:eastAsia="宋体" w:hint="default"/>
                <w:sz w:val="21"/>
                <w:szCs w:val="21"/>
              </w:rPr>
            </w:pPr>
            <w:r>
              <w:rPr>
                <w:rFonts w:ascii="宋体" w:hAnsi="宋体" w:cs="宋体" w:eastAsia="宋体" w:hint="default"/>
                <w:b/>
                <w:bCs/>
                <w:spacing w:val="18"/>
                <w:sz w:val="21"/>
                <w:szCs w:val="21"/>
              </w:rPr>
              <w:t>子公司全</w:t>
            </w:r>
            <w:r>
              <w:rPr>
                <w:rFonts w:ascii="宋体" w:hAnsi="宋体" w:cs="宋体" w:eastAsia="宋体" w:hint="default"/>
                <w:b/>
                <w:bCs/>
                <w:spacing w:val="-99"/>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700" w:type="dxa"/>
            <w:tcBorders>
              <w:top w:val="single" w:sz="8" w:space="0" w:color="000000"/>
              <w:left w:val="nil" w:sz="6" w:space="0" w:color="auto"/>
              <w:bottom w:val="single" w:sz="4" w:space="0" w:color="000000"/>
              <w:right w:val="nil" w:sz="6" w:space="0" w:color="auto"/>
            </w:tcBorders>
          </w:tcPr>
          <w:p>
            <w:pPr>
              <w:pStyle w:val="TableParagraph"/>
              <w:spacing w:line="237" w:lineRule="auto" w:before="105"/>
              <w:ind w:left="94" w:right="79"/>
              <w:jc w:val="both"/>
              <w:rPr>
                <w:rFonts w:ascii="宋体" w:hAnsi="宋体" w:cs="宋体" w:eastAsia="宋体" w:hint="default"/>
                <w:sz w:val="21"/>
                <w:szCs w:val="21"/>
              </w:rPr>
            </w:pPr>
            <w:r>
              <w:rPr>
                <w:rFonts w:ascii="宋体" w:hAnsi="宋体" w:cs="宋体" w:eastAsia="宋体" w:hint="default"/>
                <w:b/>
                <w:bCs/>
                <w:spacing w:val="24"/>
                <w:sz w:val="21"/>
                <w:szCs w:val="21"/>
              </w:rPr>
              <w:t>子公</w:t>
            </w:r>
            <w:r>
              <w:rPr>
                <w:rFonts w:ascii="宋体" w:hAnsi="宋体" w:cs="宋体" w:eastAsia="宋体" w:hint="default"/>
                <w:b/>
                <w:bCs/>
                <w:spacing w:val="-104"/>
                <w:sz w:val="21"/>
                <w:szCs w:val="21"/>
              </w:rPr>
              <w:t> </w:t>
            </w:r>
            <w:r>
              <w:rPr>
                <w:rFonts w:ascii="宋体" w:hAnsi="宋体" w:cs="宋体" w:eastAsia="宋体" w:hint="default"/>
                <w:b/>
                <w:bCs/>
                <w:spacing w:val="24"/>
                <w:sz w:val="21"/>
                <w:szCs w:val="21"/>
              </w:rPr>
              <w:t>司类</w:t>
            </w:r>
            <w:r>
              <w:rPr>
                <w:rFonts w:ascii="宋体" w:hAnsi="宋体" w:cs="宋体" w:eastAsia="宋体" w:hint="default"/>
                <w:b/>
                <w:bCs/>
                <w:spacing w:val="-104"/>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133"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81"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755"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0" w:right="180"/>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1351"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63" w:right="163"/>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w w:val="100"/>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912"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1" w:right="115"/>
              <w:jc w:val="left"/>
              <w:rPr>
                <w:rFonts w:ascii="宋体" w:hAnsi="宋体" w:cs="宋体" w:eastAsia="宋体" w:hint="default"/>
                <w:sz w:val="21"/>
                <w:szCs w:val="21"/>
              </w:rPr>
            </w:pPr>
            <w:r>
              <w:rPr>
                <w:rFonts w:ascii="宋体" w:hAnsi="宋体" w:cs="宋体" w:eastAsia="宋体" w:hint="default"/>
                <w:b/>
                <w:bCs/>
                <w:sz w:val="21"/>
                <w:szCs w:val="21"/>
              </w:rPr>
              <w:t>经营</w:t>
            </w:r>
            <w:r>
              <w:rPr>
                <w:rFonts w:ascii="宋体" w:hAnsi="宋体" w:cs="宋体" w:eastAsia="宋体" w:hint="default"/>
                <w:b/>
                <w:bCs/>
                <w:w w:val="100"/>
                <w:sz w:val="21"/>
                <w:szCs w:val="21"/>
              </w:rPr>
              <w:t> </w:t>
            </w:r>
            <w:r>
              <w:rPr>
                <w:rFonts w:ascii="宋体" w:hAnsi="宋体" w:cs="宋体" w:eastAsia="宋体" w:hint="default"/>
                <w:b/>
                <w:bCs/>
                <w:sz w:val="21"/>
                <w:szCs w:val="21"/>
              </w:rPr>
              <w:t>范围</w:t>
            </w:r>
            <w:r>
              <w:rPr>
                <w:rFonts w:ascii="宋体" w:hAnsi="宋体" w:cs="宋体" w:eastAsia="宋体" w:hint="default"/>
                <w:sz w:val="21"/>
                <w:szCs w:val="21"/>
              </w:rPr>
            </w:r>
          </w:p>
        </w:tc>
        <w:tc>
          <w:tcPr>
            <w:tcW w:w="767" w:type="dxa"/>
            <w:tcBorders>
              <w:top w:val="single" w:sz="8" w:space="0" w:color="000000"/>
              <w:left w:val="nil" w:sz="6" w:space="0" w:color="auto"/>
              <w:bottom w:val="single" w:sz="4" w:space="0" w:color="000000"/>
              <w:right w:val="nil" w:sz="6" w:space="0" w:color="auto"/>
            </w:tcBorders>
          </w:tcPr>
          <w:p>
            <w:pPr>
              <w:pStyle w:val="TableParagraph"/>
              <w:spacing w:line="273" w:lineRule="exact" w:before="102"/>
              <w:ind w:left="218"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40" w:lineRule="auto"/>
              <w:ind w:left="276" w:right="121" w:firstLine="153"/>
              <w:jc w:val="left"/>
              <w:rPr>
                <w:rFonts w:ascii="Arial Narrow" w:hAnsi="Arial Narrow" w:cs="Arial Narrow" w:eastAsia="Arial Narrow" w:hint="default"/>
                <w:sz w:val="21"/>
                <w:szCs w:val="21"/>
              </w:rPr>
            </w:pP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816" w:type="dxa"/>
            <w:tcBorders>
              <w:top w:val="single" w:sz="8" w:space="0" w:color="000000"/>
              <w:left w:val="nil" w:sz="6" w:space="0" w:color="auto"/>
              <w:bottom w:val="single" w:sz="4" w:space="0" w:color="000000"/>
              <w:right w:val="nil" w:sz="6" w:space="0" w:color="auto"/>
            </w:tcBorders>
          </w:tcPr>
          <w:p>
            <w:pPr>
              <w:pStyle w:val="TableParagraph"/>
              <w:spacing w:line="239" w:lineRule="exact"/>
              <w:ind w:right="166"/>
              <w:jc w:val="right"/>
              <w:rPr>
                <w:rFonts w:ascii="宋体" w:hAnsi="宋体" w:cs="宋体" w:eastAsia="宋体" w:hint="default"/>
                <w:sz w:val="21"/>
                <w:szCs w:val="21"/>
              </w:rPr>
            </w:pPr>
            <w:r>
              <w:rPr>
                <w:rFonts w:ascii="宋体" w:hAnsi="宋体" w:cs="宋体" w:eastAsia="宋体" w:hint="default"/>
                <w:b/>
                <w:bCs/>
                <w:sz w:val="21"/>
                <w:szCs w:val="21"/>
              </w:rPr>
              <w:t>表决</w:t>
            </w:r>
            <w:r>
              <w:rPr>
                <w:rFonts w:ascii="宋体" w:hAnsi="宋体" w:cs="宋体" w:eastAsia="宋体" w:hint="default"/>
                <w:sz w:val="21"/>
                <w:szCs w:val="21"/>
              </w:rPr>
            </w:r>
          </w:p>
          <w:p>
            <w:pPr>
              <w:pStyle w:val="TableParagraph"/>
              <w:spacing w:line="237" w:lineRule="auto"/>
              <w:ind w:left="284" w:right="162" w:firstLine="153"/>
              <w:jc w:val="right"/>
              <w:rPr>
                <w:rFonts w:ascii="Arial Narrow" w:hAnsi="Arial Narrow" w:cs="Arial Narrow" w:eastAsia="Arial Narrow" w:hint="default"/>
                <w:sz w:val="21"/>
                <w:szCs w:val="21"/>
              </w:rPr>
            </w:pPr>
            <w:r>
              <w:rPr>
                <w:rFonts w:ascii="宋体" w:hAnsi="宋体" w:cs="宋体" w:eastAsia="宋体" w:hint="default"/>
                <w:b/>
                <w:bCs/>
                <w:sz w:val="21"/>
                <w:szCs w:val="21"/>
              </w:rPr>
              <w:t>权</w:t>
            </w:r>
            <w:r>
              <w:rPr>
                <w:rFonts w:ascii="宋体" w:hAnsi="宋体" w:cs="宋体" w:eastAsia="宋体" w:hint="default"/>
                <w:b/>
                <w:bCs/>
                <w:w w:val="100"/>
                <w:sz w:val="21"/>
                <w:szCs w:val="21"/>
              </w:rPr>
              <w:t> </w:t>
            </w: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695" w:type="dxa"/>
            <w:tcBorders>
              <w:top w:val="single" w:sz="8" w:space="0" w:color="000000"/>
              <w:left w:val="nil" w:sz="6" w:space="0" w:color="auto"/>
              <w:bottom w:val="single" w:sz="4" w:space="0" w:color="000000"/>
              <w:right w:val="nil" w:sz="6" w:space="0" w:color="auto"/>
            </w:tcBorders>
          </w:tcPr>
          <w:p>
            <w:pPr>
              <w:pStyle w:val="TableParagraph"/>
              <w:spacing w:line="237" w:lineRule="auto" w:before="105"/>
              <w:ind w:left="164" w:right="106"/>
              <w:jc w:val="both"/>
              <w:rPr>
                <w:rFonts w:ascii="宋体" w:hAnsi="宋体" w:cs="宋体" w:eastAsia="宋体" w:hint="default"/>
                <w:sz w:val="21"/>
                <w:szCs w:val="21"/>
              </w:rPr>
            </w:pPr>
            <w:r>
              <w:rPr>
                <w:rFonts w:ascii="宋体" w:hAnsi="宋体" w:cs="宋体" w:eastAsia="宋体" w:hint="default"/>
                <w:b/>
                <w:bCs/>
                <w:sz w:val="21"/>
                <w:szCs w:val="21"/>
              </w:rPr>
              <w:t>是否</w:t>
            </w:r>
            <w:r>
              <w:rPr>
                <w:rFonts w:ascii="宋体" w:hAnsi="宋体" w:cs="宋体" w:eastAsia="宋体" w:hint="default"/>
                <w:b/>
                <w:bCs/>
                <w:w w:val="100"/>
                <w:sz w:val="21"/>
                <w:szCs w:val="21"/>
              </w:rPr>
              <w:t> </w:t>
            </w:r>
            <w:r>
              <w:rPr>
                <w:rFonts w:ascii="宋体" w:hAnsi="宋体" w:cs="宋体" w:eastAsia="宋体" w:hint="default"/>
                <w:b/>
                <w:bCs/>
                <w:sz w:val="21"/>
                <w:szCs w:val="21"/>
              </w:rPr>
              <w:t>合并</w:t>
            </w:r>
            <w:r>
              <w:rPr>
                <w:rFonts w:ascii="宋体" w:hAnsi="宋体" w:cs="宋体" w:eastAsia="宋体" w:hint="default"/>
                <w:b/>
                <w:bCs/>
                <w:w w:val="100"/>
                <w:sz w:val="21"/>
                <w:szCs w:val="21"/>
              </w:rPr>
              <w:t> </w:t>
            </w:r>
            <w:r>
              <w:rPr>
                <w:rFonts w:ascii="宋体" w:hAnsi="宋体" w:cs="宋体" w:eastAsia="宋体" w:hint="default"/>
                <w:b/>
                <w:bCs/>
                <w:sz w:val="21"/>
                <w:szCs w:val="21"/>
              </w:rPr>
              <w:t>报表</w:t>
            </w:r>
            <w:r>
              <w:rPr>
                <w:rFonts w:ascii="宋体" w:hAnsi="宋体" w:cs="宋体" w:eastAsia="宋体" w:hint="default"/>
                <w:sz w:val="21"/>
                <w:szCs w:val="21"/>
              </w:rPr>
            </w:r>
          </w:p>
        </w:tc>
      </w:tr>
      <w:tr>
        <w:trPr>
          <w:trHeight w:val="825" w:hRule="exact"/>
        </w:trPr>
        <w:tc>
          <w:tcPr>
            <w:tcW w:w="1153"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8"/>
                <w:sz w:val="21"/>
                <w:szCs w:val="21"/>
              </w:rPr>
              <w:t> </w:t>
            </w:r>
            <w:r>
              <w:rPr>
                <w:rFonts w:ascii="宋体" w:hAnsi="宋体" w:cs="宋体" w:eastAsia="宋体" w:hint="default"/>
                <w:sz w:val="21"/>
                <w:szCs w:val="21"/>
              </w:rPr>
              <w:t>京</w:t>
            </w:r>
            <w:r>
              <w:rPr>
                <w:rFonts w:ascii="宋体" w:hAnsi="宋体" w:cs="宋体" w:eastAsia="宋体" w:hint="default"/>
                <w:spacing w:val="-76"/>
                <w:sz w:val="21"/>
                <w:szCs w:val="21"/>
              </w:rPr>
              <w:t> </w:t>
            </w:r>
            <w:r>
              <w:rPr>
                <w:rFonts w:ascii="宋体" w:hAnsi="宋体" w:cs="宋体" w:eastAsia="宋体" w:hint="default"/>
                <w:sz w:val="21"/>
                <w:szCs w:val="21"/>
              </w:rPr>
              <w:t>超</w:t>
            </w:r>
            <w:r>
              <w:rPr>
                <w:rFonts w:ascii="宋体" w:hAnsi="宋体" w:cs="宋体" w:eastAsia="宋体" w:hint="default"/>
                <w:spacing w:val="-78"/>
                <w:sz w:val="21"/>
                <w:szCs w:val="21"/>
              </w:rPr>
              <w:t> </w:t>
            </w:r>
            <w:r>
              <w:rPr>
                <w:rFonts w:ascii="宋体" w:hAnsi="宋体" w:cs="宋体" w:eastAsia="宋体" w:hint="default"/>
                <w:sz w:val="21"/>
                <w:szCs w:val="21"/>
              </w:rPr>
              <w:t>图</w:t>
            </w:r>
          </w:p>
          <w:p>
            <w:pPr>
              <w:pStyle w:val="TableParagraph"/>
              <w:spacing w:line="240" w:lineRule="auto"/>
              <w:ind w:left="108" w:right="117"/>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78"/>
                <w:sz w:val="21"/>
                <w:szCs w:val="21"/>
              </w:rPr>
              <w:t> </w:t>
            </w:r>
            <w:r>
              <w:rPr>
                <w:rFonts w:ascii="宋体" w:hAnsi="宋体" w:cs="宋体" w:eastAsia="宋体" w:hint="default"/>
                <w:sz w:val="21"/>
                <w:szCs w:val="21"/>
              </w:rPr>
              <w:t>息</w:t>
            </w:r>
            <w:r>
              <w:rPr>
                <w:rFonts w:ascii="宋体" w:hAnsi="宋体" w:cs="宋体" w:eastAsia="宋体" w:hint="default"/>
                <w:spacing w:val="-76"/>
                <w:sz w:val="21"/>
                <w:szCs w:val="21"/>
              </w:rPr>
              <w:t> </w:t>
            </w:r>
            <w:r>
              <w:rPr>
                <w:rFonts w:ascii="宋体" w:hAnsi="宋体" w:cs="宋体" w:eastAsia="宋体" w:hint="default"/>
                <w:sz w:val="21"/>
                <w:szCs w:val="21"/>
              </w:rPr>
              <w:t>技</w:t>
            </w:r>
            <w:r>
              <w:rPr>
                <w:rFonts w:ascii="宋体" w:hAnsi="宋体" w:cs="宋体" w:eastAsia="宋体" w:hint="default"/>
                <w:spacing w:val="-78"/>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00"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全资</w:t>
            </w:r>
          </w:p>
        </w:tc>
        <w:tc>
          <w:tcPr>
            <w:tcW w:w="2133" w:type="dxa"/>
            <w:tcBorders>
              <w:top w:val="single" w:sz="4" w:space="0" w:color="000000"/>
              <w:left w:val="nil" w:sz="6" w:space="0" w:color="auto"/>
              <w:bottom w:val="nil" w:sz="6" w:space="0" w:color="auto"/>
              <w:right w:val="nil" w:sz="6" w:space="0" w:color="auto"/>
            </w:tcBorders>
          </w:tcPr>
          <w:p>
            <w:pPr>
              <w:pStyle w:val="TableParagraph"/>
              <w:spacing w:line="239" w:lineRule="exact"/>
              <w:ind w:left="81" w:right="0"/>
              <w:jc w:val="left"/>
              <w:rPr>
                <w:rFonts w:ascii="宋体" w:hAnsi="宋体" w:cs="宋体" w:eastAsia="宋体" w:hint="default"/>
                <w:sz w:val="21"/>
                <w:szCs w:val="21"/>
              </w:rPr>
            </w:pPr>
            <w:r>
              <w:rPr>
                <w:rFonts w:ascii="宋体" w:hAnsi="宋体" w:cs="宋体" w:eastAsia="宋体" w:hint="default"/>
                <w:spacing w:val="21"/>
                <w:sz w:val="21"/>
                <w:szCs w:val="21"/>
              </w:rPr>
              <w:t>北京市朝阳区安翔</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80" w:lineRule="exact"/>
              <w:ind w:left="81" w:right="0"/>
              <w:jc w:val="left"/>
              <w:rPr>
                <w:rFonts w:ascii="宋体" w:hAnsi="宋体" w:cs="宋体" w:eastAsia="宋体" w:hint="default"/>
                <w:sz w:val="21"/>
                <w:szCs w:val="21"/>
              </w:rPr>
            </w:pPr>
            <w:r>
              <w:rPr>
                <w:rFonts w:ascii="宋体" w:hAnsi="宋体" w:cs="宋体" w:eastAsia="宋体" w:hint="default"/>
                <w:sz w:val="21"/>
                <w:szCs w:val="21"/>
              </w:rPr>
              <w:t>北里甲</w:t>
            </w:r>
            <w:r>
              <w:rPr>
                <w:rFonts w:ascii="宋体" w:hAnsi="宋体" w:cs="宋体" w:eastAsia="宋体" w:hint="default"/>
                <w:spacing w:val="-74"/>
                <w:sz w:val="21"/>
                <w:szCs w:val="21"/>
              </w:rPr>
              <w:t> </w:t>
            </w:r>
            <w:r>
              <w:rPr>
                <w:rFonts w:ascii="Arial Narrow" w:hAnsi="Arial Narrow" w:cs="Arial Narrow" w:eastAsia="Arial Narrow" w:hint="default"/>
                <w:spacing w:val="-7"/>
                <w:sz w:val="21"/>
                <w:szCs w:val="21"/>
              </w:rPr>
              <w:t>11</w:t>
            </w:r>
            <w:r>
              <w:rPr>
                <w:rFonts w:ascii="Arial Narrow" w:hAnsi="Arial Narrow" w:cs="Arial Narrow" w:eastAsia="Arial Narrow" w:hint="default"/>
                <w:spacing w:val="-15"/>
                <w:sz w:val="21"/>
                <w:szCs w:val="21"/>
              </w:rPr>
              <w:t> </w:t>
            </w:r>
            <w:r>
              <w:rPr>
                <w:rFonts w:ascii="宋体" w:hAnsi="宋体" w:cs="宋体" w:eastAsia="宋体" w:hint="default"/>
                <w:sz w:val="21"/>
                <w:szCs w:val="21"/>
              </w:rPr>
              <w:t>号院</w:t>
            </w:r>
            <w:r>
              <w:rPr>
                <w:rFonts w:ascii="宋体" w:hAnsi="宋体" w:cs="宋体" w:eastAsia="宋体" w:hint="default"/>
                <w:spacing w:val="-72"/>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15"/>
                <w:sz w:val="21"/>
                <w:szCs w:val="21"/>
              </w:rPr>
              <w:t> </w:t>
            </w:r>
            <w:r>
              <w:rPr>
                <w:rFonts w:ascii="宋体" w:hAnsi="宋体" w:cs="宋体" w:eastAsia="宋体" w:hint="default"/>
                <w:spacing w:val="-3"/>
                <w:sz w:val="21"/>
                <w:szCs w:val="21"/>
              </w:rPr>
              <w:t>号楼</w:t>
            </w:r>
            <w:r>
              <w:rPr>
                <w:rFonts w:ascii="宋体" w:hAnsi="宋体" w:cs="宋体" w:eastAsia="宋体" w:hint="default"/>
                <w:sz w:val="21"/>
                <w:szCs w:val="21"/>
              </w:rPr>
            </w:r>
          </w:p>
          <w:p>
            <w:pPr>
              <w:pStyle w:val="TableParagraph"/>
              <w:spacing w:line="282" w:lineRule="exact"/>
              <w:ind w:left="81" w:right="0"/>
              <w:jc w:val="left"/>
              <w:rPr>
                <w:rFonts w:ascii="宋体" w:hAnsi="宋体" w:cs="宋体" w:eastAsia="宋体" w:hint="default"/>
                <w:sz w:val="21"/>
                <w:szCs w:val="21"/>
              </w:rPr>
            </w:pPr>
            <w:r>
              <w:rPr>
                <w:rFonts w:ascii="Arial Narrow" w:hAnsi="Arial Narrow" w:cs="Arial Narrow" w:eastAsia="Arial Narrow" w:hint="default"/>
                <w:sz w:val="21"/>
                <w:szCs w:val="21"/>
              </w:rPr>
              <w:t>1310</w:t>
            </w:r>
            <w:r>
              <w:rPr>
                <w:rFonts w:ascii="Arial Narrow" w:hAnsi="Arial Narrow" w:cs="Arial Narrow" w:eastAsia="Arial Narrow" w:hint="default"/>
                <w:spacing w:val="5"/>
                <w:sz w:val="21"/>
                <w:szCs w:val="21"/>
              </w:rPr>
              <w:t> </w:t>
            </w:r>
            <w:r>
              <w:rPr>
                <w:rFonts w:ascii="宋体" w:hAnsi="宋体" w:cs="宋体" w:eastAsia="宋体" w:hint="default"/>
                <w:sz w:val="21"/>
                <w:szCs w:val="21"/>
              </w:rPr>
              <w:t>室</w:t>
            </w:r>
          </w:p>
        </w:tc>
        <w:tc>
          <w:tcPr>
            <w:tcW w:w="755" w:type="dxa"/>
            <w:tcBorders>
              <w:top w:val="single" w:sz="4" w:space="0" w:color="000000"/>
              <w:left w:val="nil" w:sz="6" w:space="0" w:color="auto"/>
              <w:bottom w:val="nil" w:sz="6" w:space="0" w:color="auto"/>
              <w:right w:val="nil" w:sz="6" w:space="0" w:color="auto"/>
            </w:tcBorders>
          </w:tcPr>
          <w:p>
            <w:pPr>
              <w:pStyle w:val="TableParagraph"/>
              <w:spacing w:line="239" w:lineRule="exact"/>
              <w:ind w:left="152" w:right="0"/>
              <w:jc w:val="left"/>
              <w:rPr>
                <w:rFonts w:ascii="宋体" w:hAnsi="宋体" w:cs="宋体" w:eastAsia="宋体" w:hint="default"/>
                <w:sz w:val="21"/>
                <w:szCs w:val="21"/>
              </w:rPr>
            </w:pPr>
            <w:r>
              <w:rPr>
                <w:rFonts w:ascii="宋体" w:hAnsi="宋体" w:cs="宋体" w:eastAsia="宋体" w:hint="default"/>
                <w:sz w:val="21"/>
                <w:szCs w:val="21"/>
              </w:rPr>
              <w:t>软件</w:t>
            </w:r>
          </w:p>
          <w:p>
            <w:pPr>
              <w:pStyle w:val="TableParagraph"/>
              <w:spacing w:line="240" w:lineRule="auto"/>
              <w:ind w:left="152" w:right="178"/>
              <w:jc w:val="left"/>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0" w:right="0"/>
              <w:jc w:val="left"/>
              <w:rPr>
                <w:rFonts w:ascii="Arial Narrow" w:hAnsi="Arial Narrow" w:cs="Arial Narrow" w:eastAsia="Arial Narrow" w:hint="default"/>
                <w:sz w:val="21"/>
                <w:szCs w:val="21"/>
              </w:rPr>
            </w:pPr>
            <w:r>
              <w:rPr>
                <w:rFonts w:ascii="Arial Narrow"/>
                <w:sz w:val="21"/>
              </w:rPr>
              <w:t>5,000,000.00</w:t>
            </w:r>
          </w:p>
        </w:tc>
        <w:tc>
          <w:tcPr>
            <w:tcW w:w="912" w:type="dxa"/>
            <w:tcBorders>
              <w:top w:val="single" w:sz="4" w:space="0" w:color="000000"/>
              <w:left w:val="nil" w:sz="6" w:space="0" w:color="auto"/>
              <w:bottom w:val="nil" w:sz="6" w:space="0" w:color="auto"/>
              <w:right w:val="nil" w:sz="6" w:space="0" w:color="auto"/>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软件开</w:t>
            </w:r>
          </w:p>
          <w:p>
            <w:pPr>
              <w:pStyle w:val="TableParagraph"/>
              <w:spacing w:line="272" w:lineRule="exact"/>
              <w:ind w:left="163" w:right="0"/>
              <w:jc w:val="left"/>
              <w:rPr>
                <w:rFonts w:ascii="宋体" w:hAnsi="宋体" w:cs="宋体" w:eastAsia="宋体" w:hint="default"/>
                <w:sz w:val="21"/>
                <w:szCs w:val="21"/>
              </w:rPr>
            </w:pPr>
            <w:r>
              <w:rPr>
                <w:rFonts w:ascii="宋体" w:hAnsi="宋体" w:cs="宋体" w:eastAsia="宋体" w:hint="default"/>
                <w:sz w:val="21"/>
                <w:szCs w:val="21"/>
              </w:rPr>
              <w:t>发、销</w:t>
            </w:r>
          </w:p>
          <w:p>
            <w:pPr>
              <w:pStyle w:val="TableParagraph"/>
              <w:spacing w:line="274" w:lineRule="exact"/>
              <w:ind w:left="58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7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1"/>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81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9"/>
              <w:jc w:val="center"/>
              <w:rPr>
                <w:rFonts w:ascii="Arial Narrow" w:hAnsi="Arial Narrow" w:cs="Arial Narrow" w:eastAsia="Arial Narrow" w:hint="default"/>
                <w:sz w:val="21"/>
                <w:szCs w:val="21"/>
              </w:rPr>
            </w:pPr>
            <w:r>
              <w:rPr>
                <w:rFonts w:ascii="Arial Narrow"/>
                <w:sz w:val="21"/>
              </w:rPr>
              <w:t>100.00</w:t>
            </w:r>
          </w:p>
        </w:tc>
        <w:tc>
          <w:tcPr>
            <w:tcW w:w="69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824" w:hRule="exact"/>
        </w:trPr>
        <w:tc>
          <w:tcPr>
            <w:tcW w:w="1153" w:type="dxa"/>
            <w:tcBorders>
              <w:top w:val="nil" w:sz="6" w:space="0" w:color="auto"/>
              <w:left w:val="nil" w:sz="6" w:space="0" w:color="auto"/>
              <w:bottom w:val="single" w:sz="8" w:space="0" w:color="000000"/>
              <w:right w:val="nil" w:sz="6" w:space="0" w:color="auto"/>
            </w:tcBorders>
          </w:tcPr>
          <w:p>
            <w:pPr>
              <w:pStyle w:val="TableParagraph"/>
              <w:spacing w:line="240" w:lineRule="auto" w:before="98"/>
              <w:ind w:left="108" w:right="117"/>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78"/>
                <w:sz w:val="21"/>
                <w:szCs w:val="21"/>
              </w:rPr>
              <w:t> </w:t>
            </w:r>
            <w:r>
              <w:rPr>
                <w:rFonts w:ascii="宋体" w:hAnsi="宋体" w:cs="宋体" w:eastAsia="宋体" w:hint="default"/>
                <w:sz w:val="21"/>
                <w:szCs w:val="21"/>
              </w:rPr>
              <w:t>图</w:t>
            </w:r>
            <w:r>
              <w:rPr>
                <w:rFonts w:ascii="宋体" w:hAnsi="宋体" w:cs="宋体" w:eastAsia="宋体" w:hint="default"/>
                <w:spacing w:val="-76"/>
                <w:sz w:val="21"/>
                <w:szCs w:val="21"/>
              </w:rPr>
              <w:t> </w:t>
            </w:r>
            <w:r>
              <w:rPr>
                <w:rFonts w:ascii="宋体" w:hAnsi="宋体" w:cs="宋体" w:eastAsia="宋体" w:hint="default"/>
                <w:sz w:val="21"/>
                <w:szCs w:val="21"/>
              </w:rPr>
              <w:t>国</w:t>
            </w:r>
            <w:r>
              <w:rPr>
                <w:rFonts w:ascii="宋体" w:hAnsi="宋体" w:cs="宋体" w:eastAsia="宋体" w:hint="default"/>
                <w:spacing w:val="-78"/>
                <w:sz w:val="21"/>
                <w:szCs w:val="21"/>
              </w:rPr>
              <w:t> </w:t>
            </w:r>
            <w:r>
              <w:rPr>
                <w:rFonts w:ascii="宋体" w:hAnsi="宋体" w:cs="宋体" w:eastAsia="宋体" w:hint="default"/>
                <w:sz w:val="21"/>
                <w:szCs w:val="21"/>
              </w:rPr>
              <w:t>际</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70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85"/>
              <w:jc w:val="center"/>
              <w:rPr>
                <w:rFonts w:ascii="宋体" w:hAnsi="宋体" w:cs="宋体" w:eastAsia="宋体" w:hint="default"/>
                <w:sz w:val="21"/>
                <w:szCs w:val="21"/>
              </w:rPr>
            </w:pPr>
            <w:r>
              <w:rPr>
                <w:rFonts w:ascii="宋体" w:hAnsi="宋体" w:cs="宋体" w:eastAsia="宋体" w:hint="default"/>
                <w:sz w:val="21"/>
                <w:szCs w:val="21"/>
              </w:rPr>
              <w:t>全资</w:t>
            </w:r>
          </w:p>
        </w:tc>
        <w:tc>
          <w:tcPr>
            <w:tcW w:w="2133" w:type="dxa"/>
            <w:tcBorders>
              <w:top w:val="nil" w:sz="6" w:space="0" w:color="auto"/>
              <w:left w:val="nil" w:sz="6" w:space="0" w:color="auto"/>
              <w:bottom w:val="single" w:sz="8" w:space="0" w:color="000000"/>
              <w:right w:val="nil" w:sz="6" w:space="0" w:color="auto"/>
            </w:tcBorders>
          </w:tcPr>
          <w:p>
            <w:pPr>
              <w:pStyle w:val="TableParagraph"/>
              <w:spacing w:line="236" w:lineRule="exact"/>
              <w:ind w:left="81" w:right="0"/>
              <w:jc w:val="left"/>
              <w:rPr>
                <w:rFonts w:ascii="宋体" w:hAnsi="宋体" w:cs="宋体" w:eastAsia="宋体" w:hint="default"/>
                <w:sz w:val="21"/>
                <w:szCs w:val="21"/>
              </w:rPr>
            </w:pPr>
            <w:r>
              <w:rPr>
                <w:rFonts w:ascii="宋体" w:hAnsi="宋体" w:cs="宋体" w:eastAsia="宋体" w:hint="default"/>
                <w:spacing w:val="21"/>
                <w:sz w:val="21"/>
                <w:szCs w:val="21"/>
              </w:rPr>
              <w:t>香港新界沙田香港</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80" w:lineRule="exact"/>
              <w:ind w:left="81" w:right="0"/>
              <w:jc w:val="left"/>
              <w:rPr>
                <w:rFonts w:ascii="Arial Narrow" w:hAnsi="Arial Narrow" w:cs="Arial Narrow" w:eastAsia="Arial Narrow" w:hint="default"/>
                <w:sz w:val="21"/>
                <w:szCs w:val="21"/>
              </w:rPr>
            </w:pPr>
            <w:r>
              <w:rPr>
                <w:rFonts w:ascii="宋体" w:hAnsi="宋体" w:cs="宋体" w:eastAsia="宋体" w:hint="default"/>
                <w:sz w:val="21"/>
                <w:szCs w:val="21"/>
              </w:rPr>
              <w:t>科学园科技大道西</w:t>
            </w:r>
            <w:r>
              <w:rPr>
                <w:rFonts w:ascii="宋体" w:hAnsi="宋体" w:cs="宋体" w:eastAsia="宋体" w:hint="default"/>
                <w:spacing w:val="-8"/>
                <w:sz w:val="21"/>
                <w:szCs w:val="21"/>
              </w:rPr>
              <w:t> </w:t>
            </w:r>
            <w:r>
              <w:rPr>
                <w:rFonts w:ascii="Arial Narrow" w:hAnsi="Arial Narrow" w:cs="Arial Narrow" w:eastAsia="Arial Narrow" w:hint="default"/>
                <w:sz w:val="21"/>
                <w:szCs w:val="21"/>
              </w:rPr>
              <w:t>8</w:t>
            </w:r>
          </w:p>
          <w:p>
            <w:pPr>
              <w:pStyle w:val="TableParagraph"/>
              <w:spacing w:line="280" w:lineRule="exact"/>
              <w:ind w:left="81" w:right="0"/>
              <w:jc w:val="left"/>
              <w:rPr>
                <w:rFonts w:ascii="宋体" w:hAnsi="宋体" w:cs="宋体" w:eastAsia="宋体" w:hint="default"/>
                <w:sz w:val="21"/>
                <w:szCs w:val="21"/>
              </w:rPr>
            </w:pPr>
            <w:r>
              <w:rPr>
                <w:rFonts w:ascii="宋体" w:hAnsi="宋体" w:cs="宋体" w:eastAsia="宋体" w:hint="default"/>
                <w:sz w:val="21"/>
                <w:szCs w:val="21"/>
              </w:rPr>
              <w:t>号西翼</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Arial Narrow" w:hAnsi="Arial Narrow" w:cs="Arial Narrow" w:eastAsia="Arial Narrow" w:hint="default"/>
                <w:sz w:val="21"/>
                <w:szCs w:val="21"/>
              </w:rPr>
              <w:t>201</w:t>
            </w:r>
            <w:r>
              <w:rPr>
                <w:rFonts w:ascii="Arial Narrow" w:hAnsi="Arial Narrow" w:cs="Arial Narrow" w:eastAsia="Arial Narrow" w:hint="default"/>
                <w:spacing w:val="4"/>
                <w:sz w:val="21"/>
                <w:szCs w:val="21"/>
              </w:rPr>
              <w:t> </w:t>
            </w:r>
            <w:r>
              <w:rPr>
                <w:rFonts w:ascii="宋体" w:hAnsi="宋体" w:cs="宋体" w:eastAsia="宋体" w:hint="default"/>
                <w:sz w:val="21"/>
                <w:szCs w:val="21"/>
              </w:rPr>
              <w:t>室</w:t>
            </w:r>
          </w:p>
        </w:tc>
        <w:tc>
          <w:tcPr>
            <w:tcW w:w="755" w:type="dxa"/>
            <w:tcBorders>
              <w:top w:val="nil" w:sz="6" w:space="0" w:color="auto"/>
              <w:left w:val="nil" w:sz="6" w:space="0" w:color="auto"/>
              <w:bottom w:val="single" w:sz="8" w:space="0" w:color="000000"/>
              <w:right w:val="nil" w:sz="6" w:space="0" w:color="auto"/>
            </w:tcBorders>
          </w:tcPr>
          <w:p>
            <w:pPr>
              <w:pStyle w:val="TableParagraph"/>
              <w:spacing w:line="236" w:lineRule="exact"/>
              <w:ind w:left="152" w:right="0"/>
              <w:jc w:val="left"/>
              <w:rPr>
                <w:rFonts w:ascii="宋体" w:hAnsi="宋体" w:cs="宋体" w:eastAsia="宋体" w:hint="default"/>
                <w:sz w:val="21"/>
                <w:szCs w:val="21"/>
              </w:rPr>
            </w:pPr>
            <w:r>
              <w:rPr>
                <w:rFonts w:ascii="宋体" w:hAnsi="宋体" w:cs="宋体" w:eastAsia="宋体" w:hint="default"/>
                <w:sz w:val="21"/>
                <w:szCs w:val="21"/>
              </w:rPr>
              <w:t>软件</w:t>
            </w:r>
          </w:p>
          <w:p>
            <w:pPr>
              <w:pStyle w:val="TableParagraph"/>
              <w:spacing w:line="272" w:lineRule="exact" w:before="27"/>
              <w:ind w:left="152" w:right="178"/>
              <w:jc w:val="left"/>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1351" w:type="dxa"/>
            <w:tcBorders>
              <w:top w:val="nil" w:sz="6" w:space="0" w:color="auto"/>
              <w:left w:val="nil" w:sz="6" w:space="0" w:color="auto"/>
              <w:bottom w:val="single" w:sz="8" w:space="0" w:color="000000"/>
              <w:right w:val="nil" w:sz="6" w:space="0" w:color="auto"/>
            </w:tcBorders>
          </w:tcPr>
          <w:p>
            <w:pPr>
              <w:pStyle w:val="TableParagraph"/>
              <w:spacing w:line="240" w:lineRule="auto" w:before="115"/>
              <w:ind w:left="765" w:right="0"/>
              <w:jc w:val="left"/>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25"/>
              <w:ind w:left="180" w:right="0"/>
              <w:jc w:val="left"/>
              <w:rPr>
                <w:rFonts w:ascii="Arial Narrow" w:hAnsi="Arial Narrow" w:cs="Arial Narrow" w:eastAsia="Arial Narrow" w:hint="default"/>
                <w:sz w:val="21"/>
                <w:szCs w:val="21"/>
              </w:rPr>
            </w:pPr>
            <w:r>
              <w:rPr>
                <w:rFonts w:ascii="Arial Narrow"/>
                <w:sz w:val="21"/>
              </w:rPr>
              <w:t>4,500,000.00</w:t>
            </w:r>
          </w:p>
        </w:tc>
        <w:tc>
          <w:tcPr>
            <w:tcW w:w="912" w:type="dxa"/>
            <w:tcBorders>
              <w:top w:val="nil" w:sz="6" w:space="0" w:color="auto"/>
              <w:left w:val="nil" w:sz="6" w:space="0" w:color="auto"/>
              <w:bottom w:val="single" w:sz="8" w:space="0" w:color="000000"/>
              <w:right w:val="nil" w:sz="6" w:space="0" w:color="auto"/>
            </w:tcBorders>
          </w:tcPr>
          <w:p>
            <w:pPr>
              <w:pStyle w:val="TableParagraph"/>
              <w:spacing w:line="236" w:lineRule="exact"/>
              <w:ind w:left="163" w:right="0"/>
              <w:jc w:val="left"/>
              <w:rPr>
                <w:rFonts w:ascii="宋体" w:hAnsi="宋体" w:cs="宋体" w:eastAsia="宋体" w:hint="default"/>
                <w:sz w:val="21"/>
                <w:szCs w:val="21"/>
              </w:rPr>
            </w:pPr>
            <w:r>
              <w:rPr>
                <w:rFonts w:ascii="宋体" w:hAnsi="宋体" w:cs="宋体" w:eastAsia="宋体" w:hint="default"/>
                <w:sz w:val="21"/>
                <w:szCs w:val="21"/>
              </w:rPr>
              <w:t>软件开</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发、销</w:t>
            </w:r>
          </w:p>
          <w:p>
            <w:pPr>
              <w:pStyle w:val="TableParagraph"/>
              <w:spacing w:line="273" w:lineRule="exact"/>
              <w:ind w:left="583"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767"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21"/>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816"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9"/>
              <w:jc w:val="center"/>
              <w:rPr>
                <w:rFonts w:ascii="Arial Narrow" w:hAnsi="Arial Narrow" w:cs="Arial Narrow" w:eastAsia="Arial Narrow" w:hint="default"/>
                <w:sz w:val="21"/>
                <w:szCs w:val="21"/>
              </w:rPr>
            </w:pPr>
            <w:r>
              <w:rPr>
                <w:rFonts w:ascii="Arial Narrow"/>
                <w:sz w:val="21"/>
              </w:rPr>
              <w:t>100.00</w:t>
            </w:r>
          </w:p>
        </w:tc>
        <w:tc>
          <w:tcPr>
            <w:tcW w:w="695"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06"/>
              <w:jc w:val="righ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79"/>
        <w:ind w:left="562" w:right="0"/>
        <w:jc w:val="left"/>
      </w:pPr>
      <w:r>
        <w:rPr/>
        <w:t>续：</w:t>
      </w:r>
    </w:p>
    <w:p>
      <w:pPr>
        <w:spacing w:line="240" w:lineRule="auto" w:before="6"/>
        <w:rPr>
          <w:rFonts w:ascii="宋体" w:hAnsi="宋体" w:cs="宋体" w:eastAsia="宋体" w:hint="default"/>
          <w:sz w:val="19"/>
          <w:szCs w:val="19"/>
        </w:rPr>
      </w:pPr>
    </w:p>
    <w:tbl>
      <w:tblPr>
        <w:tblW w:w="0" w:type="auto"/>
        <w:jc w:val="left"/>
        <w:tblInd w:w="454" w:type="dxa"/>
        <w:tblLayout w:type="fixed"/>
        <w:tblCellMar>
          <w:top w:w="0" w:type="dxa"/>
          <w:left w:w="0" w:type="dxa"/>
          <w:bottom w:w="0" w:type="dxa"/>
          <w:right w:w="0" w:type="dxa"/>
        </w:tblCellMar>
        <w:tblLook w:val="01E0"/>
      </w:tblPr>
      <w:tblGrid>
        <w:gridCol w:w="2657"/>
        <w:gridCol w:w="1615"/>
        <w:gridCol w:w="1830"/>
        <w:gridCol w:w="1631"/>
        <w:gridCol w:w="1549"/>
      </w:tblGrid>
      <w:tr>
        <w:trPr>
          <w:trHeight w:val="1104" w:hRule="exact"/>
        </w:trPr>
        <w:tc>
          <w:tcPr>
            <w:tcW w:w="2657"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子公司全称</w:t>
            </w:r>
            <w:r>
              <w:rPr>
                <w:rFonts w:ascii="宋体" w:hAnsi="宋体" w:cs="宋体" w:eastAsia="宋体" w:hint="default"/>
                <w:sz w:val="21"/>
                <w:szCs w:val="21"/>
              </w:rPr>
            </w:r>
          </w:p>
        </w:tc>
        <w:tc>
          <w:tcPr>
            <w:tcW w:w="161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84" w:right="161" w:firstLine="211"/>
              <w:jc w:val="left"/>
              <w:rPr>
                <w:rFonts w:ascii="宋体" w:hAnsi="宋体" w:cs="宋体" w:eastAsia="宋体" w:hint="default"/>
                <w:sz w:val="21"/>
                <w:szCs w:val="21"/>
              </w:rPr>
            </w:pPr>
            <w:r>
              <w:rPr>
                <w:rFonts w:ascii="宋体" w:hAnsi="宋体" w:cs="宋体" w:eastAsia="宋体" w:hint="default"/>
                <w:b/>
                <w:bCs/>
                <w:sz w:val="21"/>
                <w:szCs w:val="21"/>
              </w:rPr>
              <w:t>期末实际出</w:t>
            </w:r>
            <w:r>
              <w:rPr>
                <w:rFonts w:ascii="宋体" w:hAnsi="宋体" w:cs="宋体" w:eastAsia="宋体" w:hint="default"/>
                <w:b/>
                <w:bCs/>
                <w:w w:val="100"/>
                <w:sz w:val="21"/>
                <w:szCs w:val="21"/>
              </w:rPr>
              <w:t> </w:t>
            </w:r>
            <w:r>
              <w:rPr>
                <w:rFonts w:ascii="宋体" w:hAnsi="宋体" w:cs="宋体" w:eastAsia="宋体" w:hint="default"/>
                <w:b/>
                <w:bCs/>
                <w:sz w:val="21"/>
                <w:szCs w:val="21"/>
              </w:rPr>
              <w:t>资额（万元）</w:t>
            </w:r>
            <w:r>
              <w:rPr>
                <w:rFonts w:ascii="宋体" w:hAnsi="宋体" w:cs="宋体" w:eastAsia="宋体" w:hint="default"/>
                <w:sz w:val="21"/>
                <w:szCs w:val="21"/>
              </w:rPr>
            </w:r>
          </w:p>
        </w:tc>
        <w:tc>
          <w:tcPr>
            <w:tcW w:w="1830" w:type="dxa"/>
            <w:tcBorders>
              <w:top w:val="single" w:sz="8" w:space="0" w:color="000000"/>
              <w:left w:val="nil" w:sz="6" w:space="0" w:color="auto"/>
              <w:bottom w:val="single" w:sz="4" w:space="0" w:color="000000"/>
              <w:right w:val="nil" w:sz="6" w:space="0" w:color="auto"/>
            </w:tcBorders>
          </w:tcPr>
          <w:p>
            <w:pPr>
              <w:pStyle w:val="TableParagraph"/>
              <w:spacing w:line="237" w:lineRule="auto" w:before="105"/>
              <w:ind w:left="163" w:right="186"/>
              <w:jc w:val="right"/>
              <w:rPr>
                <w:rFonts w:ascii="宋体" w:hAnsi="宋体" w:cs="宋体" w:eastAsia="宋体" w:hint="default"/>
                <w:sz w:val="21"/>
                <w:szCs w:val="21"/>
              </w:rPr>
            </w:pPr>
            <w:r>
              <w:rPr>
                <w:rFonts w:ascii="宋体" w:hAnsi="宋体" w:cs="宋体" w:eastAsia="宋体" w:hint="default"/>
                <w:b/>
                <w:bCs/>
                <w:sz w:val="21"/>
                <w:szCs w:val="21"/>
              </w:rPr>
              <w:t>实质上构成对子</w:t>
            </w:r>
            <w:r>
              <w:rPr>
                <w:rFonts w:ascii="宋体" w:hAnsi="宋体" w:cs="宋体" w:eastAsia="宋体" w:hint="default"/>
                <w:b/>
                <w:bCs/>
                <w:w w:val="100"/>
                <w:sz w:val="21"/>
                <w:szCs w:val="21"/>
              </w:rPr>
              <w:t> </w:t>
            </w:r>
            <w:r>
              <w:rPr>
                <w:rFonts w:ascii="宋体" w:hAnsi="宋体" w:cs="宋体" w:eastAsia="宋体" w:hint="default"/>
                <w:b/>
                <w:bCs/>
                <w:sz w:val="21"/>
                <w:szCs w:val="21"/>
              </w:rPr>
              <w:t>公司净投资的其</w:t>
            </w:r>
            <w:r>
              <w:rPr>
                <w:rFonts w:ascii="宋体" w:hAnsi="宋体" w:cs="宋体" w:eastAsia="宋体" w:hint="default"/>
                <w:b/>
                <w:bCs/>
                <w:w w:val="100"/>
                <w:sz w:val="21"/>
                <w:szCs w:val="21"/>
              </w:rPr>
              <w:t> </w:t>
            </w:r>
            <w:r>
              <w:rPr>
                <w:rFonts w:ascii="宋体" w:hAnsi="宋体" w:cs="宋体" w:eastAsia="宋体" w:hint="default"/>
                <w:b/>
                <w:bCs/>
                <w:sz w:val="21"/>
                <w:szCs w:val="21"/>
              </w:rPr>
              <w:t>他项目余额</w:t>
            </w:r>
            <w:r>
              <w:rPr>
                <w:rFonts w:ascii="宋体" w:hAnsi="宋体" w:cs="宋体" w:eastAsia="宋体" w:hint="default"/>
                <w:sz w:val="21"/>
                <w:szCs w:val="21"/>
              </w:rPr>
            </w:r>
          </w:p>
        </w:tc>
        <w:tc>
          <w:tcPr>
            <w:tcW w:w="1631"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73"/>
              <w:jc w:val="righ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tc>
        <w:tc>
          <w:tcPr>
            <w:tcW w:w="1549"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p>
            <w:pPr>
              <w:pStyle w:val="TableParagraph"/>
              <w:spacing w:line="272" w:lineRule="exact" w:before="27"/>
              <w:ind w:left="175" w:right="104"/>
              <w:jc w:val="left"/>
              <w:rPr>
                <w:rFonts w:ascii="宋体" w:hAnsi="宋体" w:cs="宋体" w:eastAsia="宋体" w:hint="default"/>
                <w:sz w:val="21"/>
                <w:szCs w:val="21"/>
              </w:rPr>
            </w:pPr>
            <w:r>
              <w:rPr>
                <w:rFonts w:ascii="宋体" w:hAnsi="宋体" w:cs="宋体" w:eastAsia="宋体" w:hint="default"/>
                <w:b/>
                <w:bCs/>
                <w:sz w:val="21"/>
                <w:szCs w:val="21"/>
              </w:rPr>
              <w:t>中用于冲减少</w:t>
            </w:r>
            <w:r>
              <w:rPr>
                <w:rFonts w:ascii="宋体" w:hAnsi="宋体" w:cs="宋体" w:eastAsia="宋体" w:hint="default"/>
                <w:b/>
                <w:bCs/>
                <w:spacing w:val="-104"/>
                <w:sz w:val="21"/>
                <w:szCs w:val="21"/>
              </w:rPr>
              <w:t> </w:t>
            </w:r>
            <w:r>
              <w:rPr>
                <w:rFonts w:ascii="宋体" w:hAnsi="宋体" w:cs="宋体" w:eastAsia="宋体" w:hint="default"/>
                <w:b/>
                <w:bCs/>
                <w:sz w:val="21"/>
                <w:szCs w:val="21"/>
              </w:rPr>
              <w:t>数股东损益的</w:t>
            </w:r>
            <w:r>
              <w:rPr>
                <w:rFonts w:ascii="宋体" w:hAnsi="宋体" w:cs="宋体" w:eastAsia="宋体" w:hint="default"/>
                <w:sz w:val="21"/>
                <w:szCs w:val="21"/>
              </w:rPr>
            </w:r>
          </w:p>
          <w:p>
            <w:pPr>
              <w:pStyle w:val="TableParagraph"/>
              <w:spacing w:line="249" w:lineRule="exact"/>
              <w:ind w:left="1017"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583" w:hRule="exact"/>
        </w:trPr>
        <w:tc>
          <w:tcPr>
            <w:tcW w:w="2657" w:type="dxa"/>
            <w:tcBorders>
              <w:top w:val="single" w:sz="4" w:space="0" w:color="000000"/>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北京超图信息技术有限公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61"/>
              <w:jc w:val="right"/>
              <w:rPr>
                <w:rFonts w:ascii="Arial Narrow" w:hAnsi="Arial Narrow" w:cs="Arial Narrow" w:eastAsia="Arial Narrow" w:hint="default"/>
                <w:sz w:val="21"/>
                <w:szCs w:val="21"/>
              </w:rPr>
            </w:pPr>
            <w:r>
              <w:rPr>
                <w:rFonts w:ascii="Arial Narrow"/>
                <w:spacing w:val="-1"/>
                <w:sz w:val="21"/>
              </w:rPr>
              <w:t>500.00</w:t>
            </w:r>
            <w:r>
              <w:rPr>
                <w:rFonts w:ascii="Arial Narrow"/>
                <w:sz w:val="21"/>
              </w:rPr>
            </w:r>
          </w:p>
        </w:tc>
        <w:tc>
          <w:tcPr>
            <w:tcW w:w="1830"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88"/>
              <w:jc w:val="right"/>
              <w:rPr>
                <w:rFonts w:ascii="Arial Narrow" w:hAnsi="Arial Narrow" w:cs="Arial Narrow" w:eastAsia="Arial Narrow" w:hint="default"/>
                <w:sz w:val="21"/>
                <w:szCs w:val="21"/>
              </w:rPr>
            </w:pPr>
            <w:r>
              <w:rPr>
                <w:rFonts w:ascii="Arial Narrow"/>
                <w:w w:val="100"/>
                <w:sz w:val="21"/>
              </w:rPr>
              <w:t>-</w:t>
            </w: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75"/>
              <w:jc w:val="right"/>
              <w:rPr>
                <w:rFonts w:ascii="Arial Narrow" w:hAnsi="Arial Narrow" w:cs="Arial Narrow" w:eastAsia="Arial Narrow" w:hint="default"/>
                <w:sz w:val="21"/>
                <w:szCs w:val="21"/>
              </w:rPr>
            </w:pPr>
            <w:r>
              <w:rPr>
                <w:rFonts w:ascii="Arial Narrow"/>
                <w:w w:val="100"/>
                <w:sz w:val="21"/>
              </w:rPr>
              <w:t>-</w:t>
            </w:r>
          </w:p>
        </w:tc>
        <w:tc>
          <w:tcPr>
            <w:tcW w:w="1549"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06"/>
              <w:jc w:val="right"/>
              <w:rPr>
                <w:rFonts w:ascii="Arial Narrow" w:hAnsi="Arial Narrow" w:cs="Arial Narrow" w:eastAsia="Arial Narrow" w:hint="default"/>
                <w:sz w:val="21"/>
                <w:szCs w:val="21"/>
              </w:rPr>
            </w:pPr>
            <w:r>
              <w:rPr>
                <w:rFonts w:ascii="Arial Narrow"/>
                <w:w w:val="100"/>
                <w:sz w:val="21"/>
              </w:rPr>
              <w:t>-</w:t>
            </w:r>
          </w:p>
        </w:tc>
      </w:tr>
      <w:tr>
        <w:trPr>
          <w:trHeight w:val="382" w:hRule="exact"/>
        </w:trPr>
        <w:tc>
          <w:tcPr>
            <w:tcW w:w="2657" w:type="dxa"/>
            <w:tcBorders>
              <w:top w:val="nil" w:sz="6" w:space="0" w:color="auto"/>
              <w:left w:val="nil" w:sz="6" w:space="0" w:color="auto"/>
              <w:bottom w:val="single" w:sz="8" w:space="0" w:color="000000"/>
              <w:right w:val="nil" w:sz="6" w:space="0" w:color="auto"/>
            </w:tcBorders>
          </w:tcPr>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超图国际有限公司</w:t>
            </w:r>
          </w:p>
        </w:tc>
        <w:tc>
          <w:tcPr>
            <w:tcW w:w="1615"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61"/>
              <w:jc w:val="right"/>
              <w:rPr>
                <w:rFonts w:ascii="Arial Narrow" w:hAnsi="Arial Narrow" w:cs="Arial Narrow" w:eastAsia="Arial Narrow" w:hint="default"/>
                <w:sz w:val="21"/>
                <w:szCs w:val="21"/>
              </w:rPr>
            </w:pPr>
            <w:r>
              <w:rPr>
                <w:rFonts w:ascii="Arial Narrow"/>
                <w:spacing w:val="-1"/>
                <w:sz w:val="21"/>
              </w:rPr>
              <w:t>430.31</w:t>
            </w:r>
            <w:r>
              <w:rPr>
                <w:rFonts w:ascii="Arial Narrow"/>
                <w:sz w:val="21"/>
              </w:rPr>
            </w:r>
          </w:p>
        </w:tc>
        <w:tc>
          <w:tcPr>
            <w:tcW w:w="1830"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88"/>
              <w:jc w:val="right"/>
              <w:rPr>
                <w:rFonts w:ascii="Arial Narrow" w:hAnsi="Arial Narrow" w:cs="Arial Narrow" w:eastAsia="Arial Narrow" w:hint="default"/>
                <w:sz w:val="21"/>
                <w:szCs w:val="21"/>
              </w:rPr>
            </w:pPr>
            <w:r>
              <w:rPr>
                <w:rFonts w:ascii="Arial Narrow"/>
                <w:w w:val="100"/>
                <w:sz w:val="21"/>
              </w:rPr>
              <w:t>-</w:t>
            </w:r>
          </w:p>
        </w:tc>
        <w:tc>
          <w:tcPr>
            <w:tcW w:w="1631"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75"/>
              <w:jc w:val="right"/>
              <w:rPr>
                <w:rFonts w:ascii="Arial Narrow" w:hAnsi="Arial Narrow" w:cs="Arial Narrow" w:eastAsia="Arial Narrow" w:hint="default"/>
                <w:sz w:val="21"/>
                <w:szCs w:val="21"/>
              </w:rPr>
            </w:pPr>
            <w:r>
              <w:rPr>
                <w:rFonts w:ascii="Arial Narrow"/>
                <w:w w:val="100"/>
                <w:sz w:val="21"/>
              </w:rPr>
              <w:t>-</w:t>
            </w:r>
          </w:p>
        </w:tc>
        <w:tc>
          <w:tcPr>
            <w:tcW w:w="1549" w:type="dxa"/>
            <w:tcBorders>
              <w:top w:val="nil" w:sz="6" w:space="0" w:color="auto"/>
              <w:left w:val="nil" w:sz="6" w:space="0" w:color="auto"/>
              <w:bottom w:val="single" w:sz="8" w:space="0" w:color="000000"/>
              <w:right w:val="nil" w:sz="6" w:space="0" w:color="auto"/>
            </w:tcBorders>
          </w:tcPr>
          <w:p>
            <w:pPr>
              <w:pStyle w:val="TableParagraph"/>
              <w:spacing w:line="240" w:lineRule="auto" w:before="44"/>
              <w:ind w:right="106"/>
              <w:jc w:val="right"/>
              <w:rPr>
                <w:rFonts w:ascii="Arial Narrow" w:hAnsi="Arial Narrow" w:cs="Arial Narrow" w:eastAsia="Arial Narrow" w:hint="default"/>
                <w:sz w:val="21"/>
                <w:szCs w:val="21"/>
              </w:rPr>
            </w:pPr>
            <w:r>
              <w:rPr>
                <w:rFonts w:ascii="Arial Narrow"/>
                <w:w w:val="100"/>
                <w:sz w:val="21"/>
              </w:rPr>
              <w:t>-</w:t>
            </w:r>
          </w:p>
        </w:tc>
      </w:tr>
    </w:tbl>
    <w:p>
      <w:pPr>
        <w:pStyle w:val="BodyText"/>
        <w:spacing w:line="240" w:lineRule="auto" w:before="79"/>
        <w:ind w:left="559" w:right="0"/>
        <w:jc w:val="left"/>
      </w:pPr>
      <w:r>
        <w:rPr/>
        <w:t>（</w:t>
      </w:r>
      <w:r>
        <w:rPr>
          <w:rFonts w:ascii="Arial Narrow" w:hAnsi="Arial Narrow" w:cs="Arial Narrow" w:eastAsia="Arial Narrow" w:hint="default"/>
        </w:rPr>
        <w:t>2</w:t>
      </w:r>
      <w:r>
        <w:rPr/>
        <w:t>）非同一控制下企业合并取得的子公司（包括该等子公司控制的孙公司）</w:t>
      </w:r>
    </w:p>
    <w:p>
      <w:pPr>
        <w:spacing w:line="240" w:lineRule="auto" w:before="2"/>
        <w:rPr>
          <w:rFonts w:ascii="宋体" w:hAnsi="宋体" w:cs="宋体" w:eastAsia="宋体" w:hint="default"/>
          <w:sz w:val="18"/>
          <w:szCs w:val="18"/>
        </w:rPr>
      </w:pPr>
    </w:p>
    <w:tbl>
      <w:tblPr>
        <w:tblW w:w="0" w:type="auto"/>
        <w:jc w:val="left"/>
        <w:tblInd w:w="454" w:type="dxa"/>
        <w:tblLayout w:type="fixed"/>
        <w:tblCellMar>
          <w:top w:w="0" w:type="dxa"/>
          <w:left w:w="0" w:type="dxa"/>
          <w:bottom w:w="0" w:type="dxa"/>
          <w:right w:w="0" w:type="dxa"/>
        </w:tblCellMar>
        <w:tblLook w:val="01E0"/>
      </w:tblPr>
      <w:tblGrid>
        <w:gridCol w:w="1072"/>
        <w:gridCol w:w="728"/>
        <w:gridCol w:w="1683"/>
        <w:gridCol w:w="930"/>
        <w:gridCol w:w="1516"/>
        <w:gridCol w:w="1089"/>
        <w:gridCol w:w="718"/>
        <w:gridCol w:w="694"/>
        <w:gridCol w:w="853"/>
      </w:tblGrid>
      <w:tr>
        <w:trPr>
          <w:trHeight w:val="1104" w:hRule="exact"/>
        </w:trPr>
        <w:tc>
          <w:tcPr>
            <w:tcW w:w="107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8" w:right="61"/>
              <w:jc w:val="left"/>
              <w:rPr>
                <w:rFonts w:ascii="宋体" w:hAnsi="宋体" w:cs="宋体" w:eastAsia="宋体" w:hint="default"/>
                <w:sz w:val="21"/>
                <w:szCs w:val="21"/>
              </w:rPr>
            </w:pPr>
            <w:r>
              <w:rPr>
                <w:rFonts w:ascii="宋体" w:hAnsi="宋体" w:cs="宋体" w:eastAsia="宋体" w:hint="default"/>
                <w:b/>
                <w:bCs/>
                <w:spacing w:val="58"/>
                <w:w w:val="100"/>
                <w:sz w:val="21"/>
                <w:szCs w:val="21"/>
              </w:rPr>
              <w:t>子公司</w:t>
            </w:r>
            <w:r>
              <w:rPr>
                <w:rFonts w:ascii="宋体" w:hAnsi="宋体" w:cs="宋体" w:eastAsia="宋体" w:hint="default"/>
                <w:b/>
                <w:bCs/>
                <w:spacing w:val="-18"/>
                <w:sz w:val="21"/>
                <w:szCs w:val="21"/>
              </w:rPr>
              <w:t> </w:t>
            </w:r>
            <w:r>
              <w:rPr>
                <w:rFonts w:ascii="宋体" w:hAnsi="宋体" w:cs="宋体" w:eastAsia="宋体" w:hint="default"/>
                <w:b/>
                <w:bCs/>
                <w:sz w:val="21"/>
                <w:szCs w:val="21"/>
              </w:rPr>
              <w:t>全称</w:t>
            </w:r>
            <w:r>
              <w:rPr>
                <w:rFonts w:ascii="宋体" w:hAnsi="宋体" w:cs="宋体" w:eastAsia="宋体" w:hint="default"/>
                <w:sz w:val="21"/>
                <w:szCs w:val="21"/>
              </w:rPr>
            </w:r>
          </w:p>
        </w:tc>
        <w:tc>
          <w:tcPr>
            <w:tcW w:w="728" w:type="dxa"/>
            <w:tcBorders>
              <w:top w:val="single" w:sz="8" w:space="0" w:color="000000"/>
              <w:left w:val="nil" w:sz="6" w:space="0" w:color="auto"/>
              <w:bottom w:val="single" w:sz="4" w:space="0" w:color="000000"/>
              <w:right w:val="nil" w:sz="6" w:space="0" w:color="auto"/>
            </w:tcBorders>
          </w:tcPr>
          <w:p>
            <w:pPr>
              <w:pStyle w:val="TableParagraph"/>
              <w:spacing w:line="274" w:lineRule="exact" w:before="102"/>
              <w:ind w:left="63" w:right="0"/>
              <w:jc w:val="left"/>
              <w:rPr>
                <w:rFonts w:ascii="宋体" w:hAnsi="宋体" w:cs="宋体" w:eastAsia="宋体" w:hint="default"/>
                <w:sz w:val="21"/>
                <w:szCs w:val="21"/>
              </w:rPr>
            </w:pPr>
            <w:r>
              <w:rPr>
                <w:rFonts w:ascii="宋体" w:hAnsi="宋体" w:cs="宋体" w:eastAsia="宋体" w:hint="default"/>
                <w:b/>
                <w:bCs/>
                <w:sz w:val="21"/>
                <w:szCs w:val="21"/>
              </w:rPr>
              <w:t>子</w:t>
            </w:r>
            <w:r>
              <w:rPr>
                <w:rFonts w:ascii="宋体" w:hAnsi="宋体" w:cs="宋体" w:eastAsia="宋体" w:hint="default"/>
                <w:b/>
                <w:bCs/>
                <w:spacing w:val="28"/>
                <w:sz w:val="21"/>
                <w:szCs w:val="21"/>
              </w:rPr>
              <w:t> </w:t>
            </w:r>
            <w:r>
              <w:rPr>
                <w:rFonts w:ascii="宋体" w:hAnsi="宋体" w:cs="宋体" w:eastAsia="宋体" w:hint="default"/>
                <w:b/>
                <w:bCs/>
                <w:sz w:val="21"/>
                <w:szCs w:val="21"/>
              </w:rPr>
              <w:t>公</w:t>
            </w:r>
            <w:r>
              <w:rPr>
                <w:rFonts w:ascii="宋体" w:hAnsi="宋体" w:cs="宋体" w:eastAsia="宋体" w:hint="default"/>
                <w:sz w:val="21"/>
                <w:szCs w:val="21"/>
              </w:rPr>
            </w:r>
          </w:p>
          <w:p>
            <w:pPr>
              <w:pStyle w:val="TableParagraph"/>
              <w:spacing w:line="272" w:lineRule="exact" w:before="27"/>
              <w:ind w:left="63" w:right="107"/>
              <w:jc w:val="left"/>
              <w:rPr>
                <w:rFonts w:ascii="宋体" w:hAnsi="宋体" w:cs="宋体" w:eastAsia="宋体" w:hint="default"/>
                <w:sz w:val="21"/>
                <w:szCs w:val="21"/>
              </w:rPr>
            </w:pPr>
            <w:r>
              <w:rPr>
                <w:rFonts w:ascii="宋体" w:hAnsi="宋体" w:cs="宋体" w:eastAsia="宋体" w:hint="default"/>
                <w:b/>
                <w:bCs/>
                <w:sz w:val="21"/>
                <w:szCs w:val="21"/>
              </w:rPr>
              <w:t>司</w:t>
            </w:r>
            <w:r>
              <w:rPr>
                <w:rFonts w:ascii="宋体" w:hAnsi="宋体" w:cs="宋体" w:eastAsia="宋体" w:hint="default"/>
                <w:b/>
                <w:bCs/>
                <w:spacing w:val="28"/>
                <w:sz w:val="21"/>
                <w:szCs w:val="21"/>
              </w:rPr>
              <w:t> </w:t>
            </w:r>
            <w:r>
              <w:rPr>
                <w:rFonts w:ascii="宋体" w:hAnsi="宋体" w:cs="宋体" w:eastAsia="宋体" w:hint="default"/>
                <w:b/>
                <w:bCs/>
                <w:sz w:val="21"/>
                <w:szCs w:val="21"/>
              </w:rPr>
              <w:t>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1683"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93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302" w:right="203"/>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1516"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80" w:right="110"/>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w w:val="100"/>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1089"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27" w:right="136"/>
              <w:jc w:val="left"/>
              <w:rPr>
                <w:rFonts w:ascii="宋体" w:hAnsi="宋体" w:cs="宋体" w:eastAsia="宋体" w:hint="default"/>
                <w:sz w:val="21"/>
                <w:szCs w:val="21"/>
              </w:rPr>
            </w:pPr>
            <w:r>
              <w:rPr>
                <w:rFonts w:ascii="宋体" w:hAnsi="宋体" w:cs="宋体" w:eastAsia="宋体" w:hint="default"/>
                <w:b/>
                <w:bCs/>
                <w:sz w:val="21"/>
                <w:szCs w:val="21"/>
              </w:rPr>
              <w:t>经营</w:t>
            </w:r>
            <w:r>
              <w:rPr>
                <w:rFonts w:ascii="宋体" w:hAnsi="宋体" w:cs="宋体" w:eastAsia="宋体" w:hint="default"/>
                <w:b/>
                <w:bCs/>
                <w:w w:val="100"/>
                <w:sz w:val="21"/>
                <w:szCs w:val="21"/>
              </w:rPr>
              <w:t> </w:t>
            </w:r>
            <w:r>
              <w:rPr>
                <w:rFonts w:ascii="宋体" w:hAnsi="宋体" w:cs="宋体" w:eastAsia="宋体" w:hint="default"/>
                <w:b/>
                <w:bCs/>
                <w:sz w:val="21"/>
                <w:szCs w:val="21"/>
              </w:rPr>
              <w:t>范围</w:t>
            </w:r>
            <w:r>
              <w:rPr>
                <w:rFonts w:ascii="宋体" w:hAnsi="宋体" w:cs="宋体" w:eastAsia="宋体" w:hint="default"/>
                <w:sz w:val="21"/>
                <w:szCs w:val="21"/>
              </w:rPr>
            </w:r>
          </w:p>
        </w:tc>
        <w:tc>
          <w:tcPr>
            <w:tcW w:w="718" w:type="dxa"/>
            <w:tcBorders>
              <w:top w:val="single" w:sz="8" w:space="0" w:color="000000"/>
              <w:left w:val="nil" w:sz="6" w:space="0" w:color="auto"/>
              <w:bottom w:val="single" w:sz="4" w:space="0" w:color="000000"/>
              <w:right w:val="nil" w:sz="6" w:space="0" w:color="auto"/>
            </w:tcBorders>
          </w:tcPr>
          <w:p>
            <w:pPr>
              <w:pStyle w:val="TableParagraph"/>
              <w:spacing w:line="274" w:lineRule="exact" w:before="102"/>
              <w:ind w:left="145" w:right="0"/>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sz w:val="21"/>
                <w:szCs w:val="21"/>
              </w:rPr>
            </w:r>
          </w:p>
          <w:p>
            <w:pPr>
              <w:pStyle w:val="TableParagraph"/>
              <w:spacing w:line="272" w:lineRule="exact" w:before="27"/>
              <w:ind w:left="203" w:right="145" w:firstLine="153"/>
              <w:jc w:val="left"/>
              <w:rPr>
                <w:rFonts w:ascii="Arial Narrow" w:hAnsi="Arial Narrow" w:cs="Arial Narrow" w:eastAsia="Arial Narrow" w:hint="default"/>
                <w:sz w:val="21"/>
                <w:szCs w:val="21"/>
              </w:rPr>
            </w:pP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694" w:type="dxa"/>
            <w:tcBorders>
              <w:top w:val="single" w:sz="8" w:space="0" w:color="000000"/>
              <w:left w:val="nil" w:sz="6" w:space="0" w:color="auto"/>
              <w:bottom w:val="single" w:sz="4" w:space="0" w:color="000000"/>
              <w:right w:val="nil" w:sz="6" w:space="0" w:color="auto"/>
            </w:tcBorders>
          </w:tcPr>
          <w:p>
            <w:pPr>
              <w:pStyle w:val="TableParagraph"/>
              <w:spacing w:line="240" w:lineRule="exact"/>
              <w:ind w:right="112"/>
              <w:jc w:val="right"/>
              <w:rPr>
                <w:rFonts w:ascii="宋体" w:hAnsi="宋体" w:cs="宋体" w:eastAsia="宋体" w:hint="default"/>
                <w:sz w:val="21"/>
                <w:szCs w:val="21"/>
              </w:rPr>
            </w:pPr>
            <w:r>
              <w:rPr>
                <w:rFonts w:ascii="宋体" w:hAnsi="宋体" w:cs="宋体" w:eastAsia="宋体" w:hint="default"/>
                <w:b/>
                <w:bCs/>
                <w:sz w:val="21"/>
                <w:szCs w:val="21"/>
              </w:rPr>
              <w:t>表决</w:t>
            </w:r>
            <w:r>
              <w:rPr>
                <w:rFonts w:ascii="宋体" w:hAnsi="宋体" w:cs="宋体" w:eastAsia="宋体" w:hint="default"/>
                <w:sz w:val="21"/>
                <w:szCs w:val="21"/>
              </w:rPr>
            </w:r>
          </w:p>
          <w:p>
            <w:pPr>
              <w:pStyle w:val="TableParagraph"/>
              <w:spacing w:line="237" w:lineRule="auto" w:before="2"/>
              <w:ind w:left="214" w:right="109" w:firstLine="153"/>
              <w:jc w:val="right"/>
              <w:rPr>
                <w:rFonts w:ascii="Arial Narrow" w:hAnsi="Arial Narrow" w:cs="Arial Narrow" w:eastAsia="Arial Narrow" w:hint="default"/>
                <w:sz w:val="21"/>
                <w:szCs w:val="21"/>
              </w:rPr>
            </w:pPr>
            <w:r>
              <w:rPr>
                <w:rFonts w:ascii="宋体" w:hAnsi="宋体" w:cs="宋体" w:eastAsia="宋体" w:hint="default"/>
                <w:b/>
                <w:bCs/>
                <w:sz w:val="21"/>
                <w:szCs w:val="21"/>
              </w:rPr>
              <w:t>权</w:t>
            </w:r>
            <w:r>
              <w:rPr>
                <w:rFonts w:ascii="宋体" w:hAnsi="宋体" w:cs="宋体" w:eastAsia="宋体" w:hint="default"/>
                <w:b/>
                <w:bCs/>
                <w:w w:val="100"/>
                <w:sz w:val="21"/>
                <w:szCs w:val="21"/>
              </w:rPr>
              <w:t> </w:t>
            </w: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853"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11" w:right="106"/>
              <w:jc w:val="left"/>
              <w:rPr>
                <w:rFonts w:ascii="宋体" w:hAnsi="宋体" w:cs="宋体" w:eastAsia="宋体" w:hint="default"/>
                <w:sz w:val="21"/>
                <w:szCs w:val="21"/>
              </w:rPr>
            </w:pPr>
            <w:r>
              <w:rPr>
                <w:rFonts w:ascii="宋体" w:hAnsi="宋体" w:cs="宋体" w:eastAsia="宋体" w:hint="default"/>
                <w:b/>
                <w:bCs/>
                <w:sz w:val="21"/>
                <w:szCs w:val="21"/>
              </w:rPr>
              <w:t>是否合</w:t>
            </w:r>
            <w:r>
              <w:rPr>
                <w:rFonts w:ascii="宋体" w:hAnsi="宋体" w:cs="宋体" w:eastAsia="宋体" w:hint="default"/>
                <w:b/>
                <w:bCs/>
                <w:w w:val="100"/>
                <w:sz w:val="21"/>
                <w:szCs w:val="21"/>
              </w:rPr>
              <w:t> </w:t>
            </w:r>
            <w:r>
              <w:rPr>
                <w:rFonts w:ascii="宋体" w:hAnsi="宋体" w:cs="宋体" w:eastAsia="宋体" w:hint="default"/>
                <w:b/>
                <w:bCs/>
                <w:sz w:val="21"/>
                <w:szCs w:val="21"/>
              </w:rPr>
              <w:t>并报表</w:t>
            </w:r>
            <w:r>
              <w:rPr>
                <w:rFonts w:ascii="宋体" w:hAnsi="宋体" w:cs="宋体" w:eastAsia="宋体" w:hint="default"/>
                <w:sz w:val="21"/>
                <w:szCs w:val="21"/>
              </w:rPr>
            </w:r>
          </w:p>
        </w:tc>
      </w:tr>
      <w:tr>
        <w:trPr>
          <w:trHeight w:val="833" w:hRule="exact"/>
        </w:trPr>
        <w:tc>
          <w:tcPr>
            <w:tcW w:w="1072"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日 本</w:t>
            </w:r>
            <w:r>
              <w:rPr>
                <w:rFonts w:ascii="宋体" w:hAnsi="宋体" w:cs="宋体" w:eastAsia="宋体" w:hint="default"/>
                <w:spacing w:val="-28"/>
                <w:sz w:val="21"/>
                <w:szCs w:val="21"/>
              </w:rPr>
              <w:t> </w:t>
            </w:r>
            <w:r>
              <w:rPr>
                <w:rFonts w:ascii="宋体" w:hAnsi="宋体" w:cs="宋体" w:eastAsia="宋体" w:hint="default"/>
                <w:sz w:val="21"/>
                <w:szCs w:val="21"/>
              </w:rPr>
              <w:t>超</w:t>
            </w:r>
          </w:p>
          <w:p>
            <w:pPr>
              <w:pStyle w:val="TableParagraph"/>
              <w:spacing w:line="272" w:lineRule="exact" w:before="27"/>
              <w:ind w:left="108" w:right="148"/>
              <w:jc w:val="left"/>
              <w:rPr>
                <w:rFonts w:ascii="宋体" w:hAnsi="宋体" w:cs="宋体" w:eastAsia="宋体" w:hint="default"/>
                <w:sz w:val="21"/>
                <w:szCs w:val="21"/>
              </w:rPr>
            </w:pPr>
            <w:r>
              <w:rPr>
                <w:rFonts w:ascii="宋体" w:hAnsi="宋体" w:cs="宋体" w:eastAsia="宋体" w:hint="default"/>
                <w:sz w:val="21"/>
                <w:szCs w:val="21"/>
              </w:rPr>
              <w:t>图 株</w:t>
            </w:r>
            <w:r>
              <w:rPr>
                <w:rFonts w:ascii="宋体" w:hAnsi="宋体" w:cs="宋体" w:eastAsia="宋体" w:hint="default"/>
                <w:spacing w:val="-28"/>
                <w:sz w:val="21"/>
                <w:szCs w:val="21"/>
              </w:rPr>
              <w:t> </w:t>
            </w:r>
            <w:r>
              <w:rPr>
                <w:rFonts w:ascii="宋体" w:hAnsi="宋体" w:cs="宋体" w:eastAsia="宋体" w:hint="default"/>
                <w:sz w:val="21"/>
                <w:szCs w:val="21"/>
              </w:rPr>
              <w:t>式</w:t>
            </w:r>
            <w:r>
              <w:rPr>
                <w:rFonts w:ascii="宋体" w:hAnsi="宋体" w:cs="宋体" w:eastAsia="宋体" w:hint="default"/>
                <w:w w:val="100"/>
                <w:sz w:val="21"/>
                <w:szCs w:val="21"/>
              </w:rPr>
              <w:t> </w:t>
            </w:r>
            <w:r>
              <w:rPr>
                <w:rFonts w:ascii="宋体" w:hAnsi="宋体" w:cs="宋体" w:eastAsia="宋体" w:hint="default"/>
                <w:sz w:val="21"/>
                <w:szCs w:val="21"/>
              </w:rPr>
              <w:t>会社</w:t>
            </w:r>
          </w:p>
        </w:tc>
        <w:tc>
          <w:tcPr>
            <w:tcW w:w="728"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1683"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29"/>
                <w:sz w:val="21"/>
                <w:szCs w:val="21"/>
              </w:rPr>
              <w:t>日本东京都港</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80" w:lineRule="exact"/>
              <w:ind w:left="105" w:right="0"/>
              <w:jc w:val="left"/>
              <w:rPr>
                <w:rFonts w:ascii="Arial Narrow" w:hAnsi="Arial Narrow" w:cs="Arial Narrow" w:eastAsia="Arial Narrow" w:hint="default"/>
                <w:sz w:val="21"/>
                <w:szCs w:val="21"/>
              </w:rPr>
            </w:pPr>
            <w:r>
              <w:rPr>
                <w:rFonts w:ascii="宋体" w:hAnsi="宋体" w:cs="宋体" w:eastAsia="宋体" w:hint="default"/>
                <w:spacing w:val="13"/>
                <w:sz w:val="21"/>
                <w:szCs w:val="21"/>
              </w:rPr>
              <w:t>区芝二丁目</w:t>
            </w:r>
            <w:r>
              <w:rPr>
                <w:rFonts w:ascii="宋体" w:hAnsi="宋体" w:cs="宋体" w:eastAsia="宋体" w:hint="default"/>
                <w:spacing w:val="34"/>
                <w:sz w:val="21"/>
                <w:szCs w:val="21"/>
              </w:rPr>
              <w:t> </w:t>
            </w:r>
            <w:r>
              <w:rPr>
                <w:rFonts w:ascii="Arial Narrow" w:hAnsi="Arial Narrow" w:cs="Arial Narrow" w:eastAsia="Arial Narrow" w:hint="default"/>
                <w:sz w:val="21"/>
                <w:szCs w:val="21"/>
              </w:rPr>
              <w:t>13</w:t>
            </w:r>
          </w:p>
          <w:p>
            <w:pPr>
              <w:pStyle w:val="TableParagraph"/>
              <w:spacing w:line="280" w:lineRule="exact"/>
              <w:ind w:left="105" w:right="0"/>
              <w:jc w:val="left"/>
              <w:rPr>
                <w:rFonts w:ascii="宋体" w:hAnsi="宋体" w:cs="宋体" w:eastAsia="宋体" w:hint="default"/>
                <w:sz w:val="21"/>
                <w:szCs w:val="21"/>
              </w:rPr>
            </w:pPr>
            <w:r>
              <w:rPr>
                <w:rFonts w:ascii="宋体" w:hAnsi="宋体" w:cs="宋体" w:eastAsia="宋体" w:hint="default"/>
                <w:sz w:val="21"/>
                <w:szCs w:val="21"/>
              </w:rPr>
              <w:t>番</w:t>
            </w:r>
            <w:r>
              <w:rPr>
                <w:rFonts w:ascii="宋体" w:hAnsi="宋体" w:cs="宋体" w:eastAsia="宋体" w:hint="default"/>
                <w:spacing w:val="-51"/>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号</w:t>
            </w:r>
          </w:p>
        </w:tc>
        <w:tc>
          <w:tcPr>
            <w:tcW w:w="930"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left="93" w:right="202"/>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发销售</w:t>
            </w:r>
          </w:p>
        </w:tc>
        <w:tc>
          <w:tcPr>
            <w:tcW w:w="1516" w:type="dxa"/>
            <w:tcBorders>
              <w:top w:val="single" w:sz="4" w:space="0" w:color="000000"/>
              <w:left w:val="nil" w:sz="6" w:space="0" w:color="auto"/>
              <w:bottom w:val="single" w:sz="8" w:space="0" w:color="000000"/>
              <w:right w:val="nil" w:sz="6" w:space="0" w:color="auto"/>
            </w:tcBorders>
          </w:tcPr>
          <w:p>
            <w:pPr>
              <w:pStyle w:val="TableParagraph"/>
              <w:spacing w:line="240" w:lineRule="auto" w:before="119"/>
              <w:ind w:left="982"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25"/>
              <w:ind w:left="202" w:right="0"/>
              <w:jc w:val="left"/>
              <w:rPr>
                <w:rFonts w:ascii="Arial Narrow" w:hAnsi="Arial Narrow" w:cs="Arial Narrow" w:eastAsia="Arial Narrow" w:hint="default"/>
                <w:sz w:val="21"/>
                <w:szCs w:val="21"/>
              </w:rPr>
            </w:pPr>
            <w:r>
              <w:rPr>
                <w:rFonts w:ascii="Arial Narrow"/>
                <w:sz w:val="21"/>
              </w:rPr>
              <w:t>236,200,000.00</w:t>
            </w:r>
          </w:p>
        </w:tc>
        <w:tc>
          <w:tcPr>
            <w:tcW w:w="1089"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left="110" w:right="133" w:firstLine="208"/>
              <w:jc w:val="left"/>
              <w:rPr>
                <w:rFonts w:ascii="宋体" w:hAnsi="宋体" w:cs="宋体" w:eastAsia="宋体" w:hint="default"/>
                <w:sz w:val="21"/>
                <w:szCs w:val="21"/>
              </w:rPr>
            </w:pPr>
            <w:r>
              <w:rPr>
                <w:rFonts w:ascii="宋体" w:hAnsi="宋体" w:cs="宋体" w:eastAsia="宋体" w:hint="default"/>
                <w:sz w:val="21"/>
                <w:szCs w:val="21"/>
              </w:rPr>
              <w:t>软件研</w:t>
            </w:r>
            <w:r>
              <w:rPr>
                <w:rFonts w:ascii="宋体" w:hAnsi="宋体" w:cs="宋体" w:eastAsia="宋体" w:hint="default"/>
                <w:w w:val="100"/>
                <w:sz w:val="21"/>
                <w:szCs w:val="21"/>
              </w:rPr>
              <w:t> </w:t>
            </w:r>
            <w:r>
              <w:rPr>
                <w:rFonts w:ascii="宋体" w:hAnsi="宋体" w:cs="宋体" w:eastAsia="宋体" w:hint="default"/>
                <w:spacing w:val="-1"/>
                <w:sz w:val="21"/>
                <w:szCs w:val="21"/>
              </w:rPr>
              <w:t>发、销售</w:t>
            </w:r>
          </w:p>
        </w:tc>
        <w:tc>
          <w:tcPr>
            <w:tcW w:w="718"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5" w:right="0"/>
              <w:jc w:val="left"/>
              <w:rPr>
                <w:rFonts w:ascii="Arial Narrow" w:hAnsi="Arial Narrow" w:cs="Arial Narrow" w:eastAsia="Arial Narrow" w:hint="default"/>
                <w:sz w:val="21"/>
                <w:szCs w:val="21"/>
              </w:rPr>
            </w:pPr>
            <w:r>
              <w:rPr>
                <w:rFonts w:ascii="Arial Narrow"/>
                <w:sz w:val="21"/>
              </w:rPr>
              <w:t>36.60</w:t>
            </w:r>
          </w:p>
        </w:tc>
        <w:tc>
          <w:tcPr>
            <w:tcW w:w="694"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47" w:right="0"/>
              <w:jc w:val="left"/>
              <w:rPr>
                <w:rFonts w:ascii="Arial Narrow" w:hAnsi="Arial Narrow" w:cs="Arial Narrow" w:eastAsia="Arial Narrow" w:hint="default"/>
                <w:sz w:val="21"/>
                <w:szCs w:val="21"/>
              </w:rPr>
            </w:pPr>
            <w:r>
              <w:rPr>
                <w:rFonts w:ascii="Arial Narrow"/>
                <w:sz w:val="21"/>
              </w:rPr>
              <w:t>51.69</w:t>
            </w:r>
          </w:p>
        </w:tc>
        <w:tc>
          <w:tcPr>
            <w:tcW w:w="853"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80"/>
        <w:ind w:left="562" w:right="0"/>
        <w:jc w:val="left"/>
      </w:pPr>
      <w:r>
        <w:rPr/>
        <w:t>续：</w:t>
      </w:r>
    </w:p>
    <w:p>
      <w:pPr>
        <w:spacing w:line="240" w:lineRule="auto" w:before="6"/>
        <w:rPr>
          <w:rFonts w:ascii="宋体" w:hAnsi="宋体" w:cs="宋体" w:eastAsia="宋体" w:hint="default"/>
          <w:sz w:val="19"/>
          <w:szCs w:val="19"/>
        </w:rPr>
      </w:pPr>
    </w:p>
    <w:tbl>
      <w:tblPr>
        <w:tblW w:w="0" w:type="auto"/>
        <w:jc w:val="left"/>
        <w:tblInd w:w="454" w:type="dxa"/>
        <w:tblLayout w:type="fixed"/>
        <w:tblCellMar>
          <w:top w:w="0" w:type="dxa"/>
          <w:left w:w="0" w:type="dxa"/>
          <w:bottom w:w="0" w:type="dxa"/>
          <w:right w:w="0" w:type="dxa"/>
        </w:tblCellMar>
        <w:tblLook w:val="01E0"/>
      </w:tblPr>
      <w:tblGrid>
        <w:gridCol w:w="2003"/>
        <w:gridCol w:w="2270"/>
        <w:gridCol w:w="1830"/>
        <w:gridCol w:w="1631"/>
        <w:gridCol w:w="1549"/>
      </w:tblGrid>
      <w:tr>
        <w:trPr>
          <w:trHeight w:val="1104" w:hRule="exact"/>
        </w:trPr>
        <w:tc>
          <w:tcPr>
            <w:tcW w:w="2003"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子公司全称</w:t>
            </w:r>
            <w:r>
              <w:rPr>
                <w:rFonts w:ascii="宋体" w:hAnsi="宋体" w:cs="宋体" w:eastAsia="宋体" w:hint="default"/>
                <w:sz w:val="21"/>
                <w:szCs w:val="21"/>
              </w:rPr>
            </w:r>
          </w:p>
        </w:tc>
        <w:tc>
          <w:tcPr>
            <w:tcW w:w="227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839" w:right="161" w:firstLine="211"/>
              <w:jc w:val="left"/>
              <w:rPr>
                <w:rFonts w:ascii="宋体" w:hAnsi="宋体" w:cs="宋体" w:eastAsia="宋体" w:hint="default"/>
                <w:sz w:val="21"/>
                <w:szCs w:val="21"/>
              </w:rPr>
            </w:pPr>
            <w:r>
              <w:rPr>
                <w:rFonts w:ascii="宋体" w:hAnsi="宋体" w:cs="宋体" w:eastAsia="宋体" w:hint="default"/>
                <w:b/>
                <w:bCs/>
                <w:sz w:val="21"/>
                <w:szCs w:val="21"/>
              </w:rPr>
              <w:t>期末实际出</w:t>
            </w:r>
            <w:r>
              <w:rPr>
                <w:rFonts w:ascii="宋体" w:hAnsi="宋体" w:cs="宋体" w:eastAsia="宋体" w:hint="default"/>
                <w:b/>
                <w:bCs/>
                <w:w w:val="100"/>
                <w:sz w:val="21"/>
                <w:szCs w:val="21"/>
              </w:rPr>
              <w:t> </w:t>
            </w:r>
            <w:r>
              <w:rPr>
                <w:rFonts w:ascii="宋体" w:hAnsi="宋体" w:cs="宋体" w:eastAsia="宋体" w:hint="default"/>
                <w:b/>
                <w:bCs/>
                <w:sz w:val="21"/>
                <w:szCs w:val="21"/>
              </w:rPr>
              <w:t>资额（万元）</w:t>
            </w:r>
            <w:r>
              <w:rPr>
                <w:rFonts w:ascii="宋体" w:hAnsi="宋体" w:cs="宋体" w:eastAsia="宋体" w:hint="default"/>
                <w:sz w:val="21"/>
                <w:szCs w:val="21"/>
              </w:rPr>
            </w:r>
          </w:p>
        </w:tc>
        <w:tc>
          <w:tcPr>
            <w:tcW w:w="1830" w:type="dxa"/>
            <w:tcBorders>
              <w:top w:val="single" w:sz="8" w:space="0" w:color="000000"/>
              <w:left w:val="nil" w:sz="6" w:space="0" w:color="auto"/>
              <w:bottom w:val="single" w:sz="4" w:space="0" w:color="000000"/>
              <w:right w:val="nil" w:sz="6" w:space="0" w:color="auto"/>
            </w:tcBorders>
          </w:tcPr>
          <w:p>
            <w:pPr>
              <w:pStyle w:val="TableParagraph"/>
              <w:spacing w:line="237" w:lineRule="auto" w:before="105"/>
              <w:ind w:left="163" w:right="186"/>
              <w:jc w:val="right"/>
              <w:rPr>
                <w:rFonts w:ascii="宋体" w:hAnsi="宋体" w:cs="宋体" w:eastAsia="宋体" w:hint="default"/>
                <w:sz w:val="21"/>
                <w:szCs w:val="21"/>
              </w:rPr>
            </w:pPr>
            <w:r>
              <w:rPr>
                <w:rFonts w:ascii="宋体" w:hAnsi="宋体" w:cs="宋体" w:eastAsia="宋体" w:hint="default"/>
                <w:b/>
                <w:bCs/>
                <w:sz w:val="21"/>
                <w:szCs w:val="21"/>
              </w:rPr>
              <w:t>实质上构成对子</w:t>
            </w:r>
            <w:r>
              <w:rPr>
                <w:rFonts w:ascii="宋体" w:hAnsi="宋体" w:cs="宋体" w:eastAsia="宋体" w:hint="default"/>
                <w:b/>
                <w:bCs/>
                <w:w w:val="100"/>
                <w:sz w:val="21"/>
                <w:szCs w:val="21"/>
              </w:rPr>
              <w:t> </w:t>
            </w:r>
            <w:r>
              <w:rPr>
                <w:rFonts w:ascii="宋体" w:hAnsi="宋体" w:cs="宋体" w:eastAsia="宋体" w:hint="default"/>
                <w:b/>
                <w:bCs/>
                <w:sz w:val="21"/>
                <w:szCs w:val="21"/>
              </w:rPr>
              <w:t>公司净投资的其</w:t>
            </w:r>
            <w:r>
              <w:rPr>
                <w:rFonts w:ascii="宋体" w:hAnsi="宋体" w:cs="宋体" w:eastAsia="宋体" w:hint="default"/>
                <w:b/>
                <w:bCs/>
                <w:w w:val="100"/>
                <w:sz w:val="21"/>
                <w:szCs w:val="21"/>
              </w:rPr>
              <w:t> </w:t>
            </w:r>
            <w:r>
              <w:rPr>
                <w:rFonts w:ascii="宋体" w:hAnsi="宋体" w:cs="宋体" w:eastAsia="宋体" w:hint="default"/>
                <w:b/>
                <w:bCs/>
                <w:sz w:val="21"/>
                <w:szCs w:val="21"/>
              </w:rPr>
              <w:t>他项目余额</w:t>
            </w:r>
            <w:r>
              <w:rPr>
                <w:rFonts w:ascii="宋体" w:hAnsi="宋体" w:cs="宋体" w:eastAsia="宋体" w:hint="default"/>
                <w:sz w:val="21"/>
                <w:szCs w:val="21"/>
              </w:rPr>
            </w:r>
          </w:p>
        </w:tc>
        <w:tc>
          <w:tcPr>
            <w:tcW w:w="1631"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8"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tc>
        <w:tc>
          <w:tcPr>
            <w:tcW w:w="1549"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p>
            <w:pPr>
              <w:pStyle w:val="TableParagraph"/>
              <w:spacing w:line="272" w:lineRule="exact" w:before="27"/>
              <w:ind w:left="175" w:right="104"/>
              <w:jc w:val="left"/>
              <w:rPr>
                <w:rFonts w:ascii="宋体" w:hAnsi="宋体" w:cs="宋体" w:eastAsia="宋体" w:hint="default"/>
                <w:sz w:val="21"/>
                <w:szCs w:val="21"/>
              </w:rPr>
            </w:pPr>
            <w:r>
              <w:rPr>
                <w:rFonts w:ascii="宋体" w:hAnsi="宋体" w:cs="宋体" w:eastAsia="宋体" w:hint="default"/>
                <w:b/>
                <w:bCs/>
                <w:sz w:val="21"/>
                <w:szCs w:val="21"/>
              </w:rPr>
              <w:t>中用于冲减少</w:t>
            </w:r>
            <w:r>
              <w:rPr>
                <w:rFonts w:ascii="宋体" w:hAnsi="宋体" w:cs="宋体" w:eastAsia="宋体" w:hint="default"/>
                <w:b/>
                <w:bCs/>
                <w:spacing w:val="-104"/>
                <w:sz w:val="21"/>
                <w:szCs w:val="21"/>
              </w:rPr>
              <w:t> </w:t>
            </w:r>
            <w:r>
              <w:rPr>
                <w:rFonts w:ascii="宋体" w:hAnsi="宋体" w:cs="宋体" w:eastAsia="宋体" w:hint="default"/>
                <w:b/>
                <w:bCs/>
                <w:sz w:val="21"/>
                <w:szCs w:val="21"/>
              </w:rPr>
              <w:t>数股东损益的</w:t>
            </w:r>
            <w:r>
              <w:rPr>
                <w:rFonts w:ascii="宋体" w:hAnsi="宋体" w:cs="宋体" w:eastAsia="宋体" w:hint="default"/>
                <w:sz w:val="21"/>
                <w:szCs w:val="21"/>
              </w:rPr>
            </w:r>
          </w:p>
          <w:p>
            <w:pPr>
              <w:pStyle w:val="TableParagraph"/>
              <w:spacing w:line="249" w:lineRule="exact"/>
              <w:ind w:left="1017"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bl>
    <w:p>
      <w:pPr>
        <w:spacing w:after="0" w:line="249" w:lineRule="exact"/>
        <w:jc w:val="left"/>
        <w:rPr>
          <w:rFonts w:ascii="宋体" w:hAnsi="宋体" w:cs="宋体" w:eastAsia="宋体" w:hint="default"/>
          <w:sz w:val="21"/>
          <w:szCs w:val="21"/>
        </w:rPr>
        <w:sectPr>
          <w:pgSz w:w="11900" w:h="16850"/>
          <w:pgMar w:header="771" w:footer="919" w:top="1640" w:bottom="1100" w:left="1140" w:right="920"/>
        </w:sectPr>
      </w:pPr>
    </w:p>
    <w:p>
      <w:pPr>
        <w:spacing w:line="240" w:lineRule="auto" w:before="1"/>
        <w:rPr>
          <w:rFonts w:ascii="宋体" w:hAnsi="宋体" w:cs="宋体" w:eastAsia="宋体" w:hint="default"/>
          <w:sz w:val="26"/>
          <w:szCs w:val="26"/>
        </w:rPr>
      </w:pPr>
    </w:p>
    <w:p>
      <w:pPr>
        <w:spacing w:before="75"/>
        <w:ind w:left="0" w:right="248" w:firstLine="0"/>
        <w:jc w:val="right"/>
        <w:rPr>
          <w:rFonts w:ascii="Arial Narrow" w:hAnsi="Arial Narrow" w:cs="Arial Narrow" w:eastAsia="Arial Narrow" w:hint="default"/>
          <w:sz w:val="21"/>
          <w:szCs w:val="21"/>
        </w:rPr>
      </w:pPr>
      <w:r>
        <w:rPr/>
        <w:pict>
          <v:shape style="position:absolute;margin-left:65.103996pt;margin-top:-13.771401pt;width:474.8pt;height:34.9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8"/>
                    <w:gridCol w:w="2628"/>
                    <w:gridCol w:w="2368"/>
                    <w:gridCol w:w="1202"/>
                    <w:gridCol w:w="2934"/>
                    <w:gridCol w:w="86"/>
                  </w:tblGrid>
                  <w:tr>
                    <w:trPr>
                      <w:trHeight w:val="682" w:hRule="exact"/>
                    </w:trPr>
                    <w:tc>
                      <w:tcPr>
                        <w:tcW w:w="278" w:type="dxa"/>
                        <w:tcBorders>
                          <w:top w:val="single" w:sz="6" w:space="0" w:color="000000"/>
                          <w:left w:val="nil" w:sz="6" w:space="0" w:color="auto"/>
                          <w:bottom w:val="nil" w:sz="6" w:space="0" w:color="auto"/>
                          <w:right w:val="nil" w:sz="6" w:space="0" w:color="auto"/>
                        </w:tcBorders>
                      </w:tcPr>
                      <w:p>
                        <w:pPr/>
                      </w:p>
                    </w:tc>
                    <w:tc>
                      <w:tcPr>
                        <w:tcW w:w="2628" w:type="dxa"/>
                        <w:tcBorders>
                          <w:top w:val="single" w:sz="6"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2368" w:type="dxa"/>
                        <w:tcBorders>
                          <w:top w:val="single" w:sz="6"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47"/>
                          <w:jc w:val="center"/>
                          <w:rPr>
                            <w:rFonts w:ascii="Arial Narrow" w:hAnsi="Arial Narrow" w:cs="Arial Narrow" w:eastAsia="Arial Narrow" w:hint="default"/>
                            <w:sz w:val="21"/>
                            <w:szCs w:val="21"/>
                          </w:rPr>
                        </w:pPr>
                        <w:r>
                          <w:rPr>
                            <w:rFonts w:ascii="Arial Narrow"/>
                            <w:sz w:val="21"/>
                          </w:rPr>
                          <w:t>2,349.07</w:t>
                        </w:r>
                      </w:p>
                    </w:tc>
                    <w:tc>
                      <w:tcPr>
                        <w:tcW w:w="1202" w:type="dxa"/>
                        <w:tcBorders>
                          <w:top w:val="single" w:sz="6"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269"/>
                          <w:jc w:val="right"/>
                          <w:rPr>
                            <w:rFonts w:ascii="Arial Narrow" w:hAnsi="Arial Narrow" w:cs="Arial Narrow" w:eastAsia="Arial Narrow" w:hint="default"/>
                            <w:sz w:val="21"/>
                            <w:szCs w:val="21"/>
                          </w:rPr>
                        </w:pPr>
                        <w:r>
                          <w:rPr>
                            <w:rFonts w:ascii="Arial Narrow"/>
                            <w:w w:val="100"/>
                            <w:sz w:val="21"/>
                          </w:rPr>
                          <w:t>-</w:t>
                        </w:r>
                      </w:p>
                    </w:tc>
                    <w:tc>
                      <w:tcPr>
                        <w:tcW w:w="2934" w:type="dxa"/>
                        <w:tcBorders>
                          <w:top w:val="single" w:sz="6"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71" w:right="0"/>
                          <w:jc w:val="left"/>
                          <w:rPr>
                            <w:rFonts w:ascii="Arial Narrow" w:hAnsi="Arial Narrow" w:cs="Arial Narrow" w:eastAsia="Arial Narrow" w:hint="default"/>
                            <w:sz w:val="21"/>
                            <w:szCs w:val="21"/>
                          </w:rPr>
                        </w:pPr>
                        <w:r>
                          <w:rPr>
                            <w:rFonts w:ascii="Arial Narrow"/>
                            <w:sz w:val="21"/>
                          </w:rPr>
                          <w:t>20,718,143.22</w:t>
                        </w:r>
                      </w:p>
                    </w:tc>
                    <w:tc>
                      <w:tcPr>
                        <w:tcW w:w="86" w:type="dxa"/>
                        <w:tcBorders>
                          <w:top w:val="single" w:sz="6" w:space="0" w:color="000000"/>
                          <w:left w:val="nil" w:sz="6" w:space="0" w:color="auto"/>
                          <w:bottom w:val="single" w:sz="8" w:space="0" w:color="000000"/>
                          <w:right w:val="nil" w:sz="6" w:space="0" w:color="auto"/>
                        </w:tcBorders>
                      </w:tcPr>
                      <w:p>
                        <w:pPr/>
                      </w:p>
                    </w:tc>
                  </w:tr>
                </w:tbl>
                <w:p>
                  <w:pPr/>
                </w:p>
              </w:txbxContent>
            </v:textbox>
            <w10:wrap type="none"/>
          </v:shape>
        </w:pict>
      </w:r>
      <w:r>
        <w:rPr>
          <w:rFonts w:ascii="Arial Narrow"/>
          <w:w w:val="100"/>
          <w:sz w:val="21"/>
        </w:rPr>
        <w:t>-</w:t>
      </w:r>
    </w:p>
    <w:p>
      <w:pPr>
        <w:spacing w:line="240" w:lineRule="auto" w:before="0"/>
        <w:rPr>
          <w:rFonts w:ascii="Arial Narrow" w:hAnsi="Arial Narrow" w:cs="Arial Narrow" w:eastAsia="Arial Narrow" w:hint="default"/>
          <w:sz w:val="14"/>
          <w:szCs w:val="14"/>
        </w:rPr>
      </w:pPr>
    </w:p>
    <w:p>
      <w:pPr>
        <w:pStyle w:val="BodyText"/>
        <w:spacing w:line="240" w:lineRule="auto" w:before="26"/>
        <w:ind w:left="522" w:right="0"/>
        <w:jc w:val="left"/>
      </w:pPr>
      <w:r>
        <w:rPr/>
        <w:t>通过日本超图株式会社控制的孙公司情况</w:t>
      </w:r>
    </w:p>
    <w:p>
      <w:pPr>
        <w:spacing w:line="240" w:lineRule="auto" w:before="6"/>
        <w:rPr>
          <w:rFonts w:ascii="宋体" w:hAnsi="宋体" w:cs="宋体" w:eastAsia="宋体" w:hint="default"/>
          <w:sz w:val="19"/>
          <w:szCs w:val="19"/>
        </w:rPr>
      </w:pPr>
    </w:p>
    <w:tbl>
      <w:tblPr>
        <w:tblW w:w="0" w:type="auto"/>
        <w:jc w:val="left"/>
        <w:tblInd w:w="414" w:type="dxa"/>
        <w:tblLayout w:type="fixed"/>
        <w:tblCellMar>
          <w:top w:w="0" w:type="dxa"/>
          <w:left w:w="0" w:type="dxa"/>
          <w:bottom w:w="0" w:type="dxa"/>
          <w:right w:w="0" w:type="dxa"/>
        </w:tblCellMar>
        <w:tblLook w:val="01E0"/>
      </w:tblPr>
      <w:tblGrid>
        <w:gridCol w:w="1273"/>
        <w:gridCol w:w="785"/>
        <w:gridCol w:w="1053"/>
        <w:gridCol w:w="1962"/>
        <w:gridCol w:w="690"/>
        <w:gridCol w:w="772"/>
        <w:gridCol w:w="947"/>
        <w:gridCol w:w="618"/>
        <w:gridCol w:w="680"/>
        <w:gridCol w:w="503"/>
      </w:tblGrid>
      <w:tr>
        <w:trPr>
          <w:trHeight w:val="1649" w:hRule="exact"/>
        </w:trPr>
        <w:tc>
          <w:tcPr>
            <w:tcW w:w="127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孙公司全称</w:t>
            </w:r>
            <w:r>
              <w:rPr>
                <w:rFonts w:ascii="宋体" w:hAnsi="宋体" w:cs="宋体" w:eastAsia="宋体" w:hint="default"/>
                <w:sz w:val="21"/>
                <w:szCs w:val="21"/>
              </w:rPr>
            </w:r>
          </w:p>
        </w:tc>
        <w:tc>
          <w:tcPr>
            <w:tcW w:w="785"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6" w:right="57"/>
              <w:jc w:val="both"/>
              <w:rPr>
                <w:rFonts w:ascii="宋体" w:hAnsi="宋体" w:cs="宋体" w:eastAsia="宋体" w:hint="default"/>
                <w:sz w:val="21"/>
                <w:szCs w:val="21"/>
              </w:rPr>
            </w:pPr>
            <w:r>
              <w:rPr>
                <w:rFonts w:ascii="宋体" w:hAnsi="宋体" w:cs="宋体" w:eastAsia="宋体" w:hint="default"/>
                <w:b/>
                <w:bCs/>
                <w:spacing w:val="48"/>
                <w:w w:val="100"/>
                <w:sz w:val="21"/>
                <w:szCs w:val="21"/>
              </w:rPr>
              <w:t>孙公</w:t>
            </w:r>
            <w:r>
              <w:rPr>
                <w:rFonts w:ascii="宋体" w:hAnsi="宋体" w:cs="宋体" w:eastAsia="宋体" w:hint="default"/>
                <w:b/>
                <w:bCs/>
                <w:spacing w:val="-8"/>
                <w:sz w:val="21"/>
                <w:szCs w:val="21"/>
              </w:rPr>
              <w:t> </w:t>
            </w:r>
            <w:r>
              <w:rPr>
                <w:rFonts w:ascii="宋体" w:hAnsi="宋体" w:cs="宋体" w:eastAsia="宋体" w:hint="default"/>
                <w:b/>
                <w:bCs/>
                <w:spacing w:val="48"/>
                <w:w w:val="100"/>
                <w:sz w:val="21"/>
                <w:szCs w:val="21"/>
              </w:rPr>
              <w:t>司类</w:t>
            </w:r>
            <w:r>
              <w:rPr>
                <w:rFonts w:ascii="宋体" w:hAnsi="宋体" w:cs="宋体" w:eastAsia="宋体" w:hint="default"/>
                <w:b/>
                <w:bCs/>
                <w:spacing w:val="-8"/>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105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59"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96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69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1" w:right="125"/>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77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4" w:right="192"/>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w w:val="100"/>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947"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01" w:right="121"/>
              <w:jc w:val="left"/>
              <w:rPr>
                <w:rFonts w:ascii="宋体" w:hAnsi="宋体" w:cs="宋体" w:eastAsia="宋体" w:hint="default"/>
                <w:sz w:val="21"/>
                <w:szCs w:val="21"/>
              </w:rPr>
            </w:pPr>
            <w:r>
              <w:rPr>
                <w:rFonts w:ascii="宋体" w:hAnsi="宋体" w:cs="宋体" w:eastAsia="宋体" w:hint="default"/>
                <w:b/>
                <w:bCs/>
                <w:sz w:val="21"/>
                <w:szCs w:val="21"/>
              </w:rPr>
              <w:t>经营</w:t>
            </w:r>
            <w:r>
              <w:rPr>
                <w:rFonts w:ascii="宋体" w:hAnsi="宋体" w:cs="宋体" w:eastAsia="宋体" w:hint="default"/>
                <w:b/>
                <w:bCs/>
                <w:w w:val="100"/>
                <w:sz w:val="21"/>
                <w:szCs w:val="21"/>
              </w:rPr>
              <w:t> </w:t>
            </w:r>
            <w:r>
              <w:rPr>
                <w:rFonts w:ascii="宋体" w:hAnsi="宋体" w:cs="宋体" w:eastAsia="宋体" w:hint="default"/>
                <w:b/>
                <w:bCs/>
                <w:sz w:val="21"/>
                <w:szCs w:val="21"/>
              </w:rPr>
              <w:t>范围</w:t>
            </w:r>
            <w:r>
              <w:rPr>
                <w:rFonts w:ascii="宋体" w:hAnsi="宋体" w:cs="宋体" w:eastAsia="宋体" w:hint="default"/>
                <w:sz w:val="21"/>
                <w:szCs w:val="21"/>
              </w:rPr>
            </w:r>
          </w:p>
        </w:tc>
        <w:tc>
          <w:tcPr>
            <w:tcW w:w="618"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1" w:right="127" w:firstLine="153"/>
              <w:jc w:val="right"/>
              <w:rPr>
                <w:rFonts w:ascii="Arial Narrow" w:hAnsi="Arial Narrow" w:cs="Arial Narrow" w:eastAsia="Arial Narrow" w:hint="default"/>
                <w:sz w:val="21"/>
                <w:szCs w:val="21"/>
              </w:rPr>
            </w:pPr>
            <w:r>
              <w:rPr>
                <w:rFonts w:ascii="宋体" w:hAnsi="宋体" w:cs="宋体" w:eastAsia="宋体" w:hint="default"/>
                <w:b/>
                <w:bCs/>
                <w:sz w:val="21"/>
                <w:szCs w:val="21"/>
              </w:rPr>
              <w:t>持</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b/>
                <w:bCs/>
                <w:w w:val="100"/>
                <w:sz w:val="21"/>
                <w:szCs w:val="21"/>
              </w:rPr>
              <w:t> </w:t>
            </w: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680" w:type="dxa"/>
            <w:tcBorders>
              <w:top w:val="single" w:sz="8" w:space="0" w:color="000000"/>
              <w:left w:val="nil" w:sz="6" w:space="0" w:color="auto"/>
              <w:bottom w:val="single" w:sz="4" w:space="0" w:color="000000"/>
              <w:right w:val="nil" w:sz="6" w:space="0" w:color="auto"/>
            </w:tcBorders>
          </w:tcPr>
          <w:p>
            <w:pPr>
              <w:pStyle w:val="TableParagraph"/>
              <w:spacing w:line="237" w:lineRule="auto" w:before="105"/>
              <w:ind w:left="129" w:right="181" w:firstLine="153"/>
              <w:jc w:val="right"/>
              <w:rPr>
                <w:rFonts w:ascii="Arial Narrow" w:hAnsi="Arial Narrow" w:cs="Arial Narrow" w:eastAsia="Arial Narrow" w:hint="default"/>
                <w:sz w:val="21"/>
                <w:szCs w:val="21"/>
              </w:rPr>
            </w:pPr>
            <w:r>
              <w:rPr>
                <w:rFonts w:ascii="宋体" w:hAnsi="宋体" w:cs="宋体" w:eastAsia="宋体" w:hint="default"/>
                <w:b/>
                <w:bCs/>
                <w:sz w:val="21"/>
                <w:szCs w:val="21"/>
              </w:rPr>
              <w:t>表</w:t>
            </w:r>
            <w:r>
              <w:rPr>
                <w:rFonts w:ascii="宋体" w:hAnsi="宋体" w:cs="宋体" w:eastAsia="宋体" w:hint="default"/>
                <w:b/>
                <w:bCs/>
                <w:w w:val="100"/>
                <w:sz w:val="21"/>
                <w:szCs w:val="21"/>
              </w:rPr>
              <w:t> </w:t>
            </w:r>
            <w:r>
              <w:rPr>
                <w:rFonts w:ascii="宋体" w:hAnsi="宋体" w:cs="宋体" w:eastAsia="宋体" w:hint="default"/>
                <w:b/>
                <w:bCs/>
                <w:sz w:val="21"/>
                <w:szCs w:val="21"/>
              </w:rPr>
              <w:t>决</w:t>
            </w:r>
            <w:r>
              <w:rPr>
                <w:rFonts w:ascii="宋体" w:hAnsi="宋体" w:cs="宋体" w:eastAsia="宋体" w:hint="default"/>
                <w:b/>
                <w:bCs/>
                <w:w w:val="100"/>
                <w:sz w:val="21"/>
                <w:szCs w:val="21"/>
              </w:rPr>
              <w:t> </w:t>
            </w:r>
            <w:r>
              <w:rPr>
                <w:rFonts w:ascii="宋体" w:hAnsi="宋体" w:cs="宋体" w:eastAsia="宋体" w:hint="default"/>
                <w:b/>
                <w:bCs/>
                <w:sz w:val="21"/>
                <w:szCs w:val="21"/>
              </w:rPr>
              <w:t>权</w:t>
            </w:r>
            <w:r>
              <w:rPr>
                <w:rFonts w:ascii="宋体" w:hAnsi="宋体" w:cs="宋体" w:eastAsia="宋体" w:hint="default"/>
                <w:b/>
                <w:bCs/>
                <w:w w:val="100"/>
                <w:sz w:val="21"/>
                <w:szCs w:val="21"/>
              </w:rPr>
              <w:t> </w:t>
            </w: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503"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83" w:right="0"/>
              <w:jc w:val="both"/>
              <w:rPr>
                <w:rFonts w:ascii="宋体" w:hAnsi="宋体" w:cs="宋体" w:eastAsia="宋体" w:hint="default"/>
                <w:sz w:val="21"/>
                <w:szCs w:val="21"/>
              </w:rPr>
            </w:pPr>
            <w:r>
              <w:rPr>
                <w:rFonts w:ascii="宋体" w:hAnsi="宋体" w:cs="宋体" w:eastAsia="宋体" w:hint="default"/>
                <w:b/>
                <w:bCs/>
                <w:w w:val="100"/>
                <w:sz w:val="21"/>
                <w:szCs w:val="21"/>
              </w:rPr>
              <w:t>是</w:t>
            </w:r>
            <w:r>
              <w:rPr>
                <w:rFonts w:ascii="宋体" w:hAnsi="宋体" w:cs="宋体" w:eastAsia="宋体" w:hint="default"/>
                <w:w w:val="100"/>
                <w:sz w:val="21"/>
                <w:szCs w:val="21"/>
              </w:rPr>
            </w:r>
          </w:p>
          <w:p>
            <w:pPr>
              <w:pStyle w:val="TableParagraph"/>
              <w:spacing w:line="237" w:lineRule="auto" w:before="2"/>
              <w:ind w:left="183" w:right="106"/>
              <w:jc w:val="both"/>
              <w:rPr>
                <w:rFonts w:ascii="宋体" w:hAnsi="宋体" w:cs="宋体" w:eastAsia="宋体" w:hint="default"/>
                <w:sz w:val="21"/>
                <w:szCs w:val="21"/>
              </w:rPr>
            </w:pPr>
            <w:r>
              <w:rPr>
                <w:rFonts w:ascii="宋体" w:hAnsi="宋体" w:cs="宋体" w:eastAsia="宋体" w:hint="default"/>
                <w:b/>
                <w:bCs/>
                <w:sz w:val="21"/>
                <w:szCs w:val="21"/>
              </w:rPr>
              <w:t>否</w:t>
            </w:r>
            <w:r>
              <w:rPr>
                <w:rFonts w:ascii="宋体" w:hAnsi="宋体" w:cs="宋体" w:eastAsia="宋体" w:hint="default"/>
                <w:b/>
                <w:bCs/>
                <w:w w:val="100"/>
                <w:sz w:val="21"/>
                <w:szCs w:val="21"/>
              </w:rPr>
              <w:t> </w:t>
            </w:r>
            <w:r>
              <w:rPr>
                <w:rFonts w:ascii="宋体" w:hAnsi="宋体" w:cs="宋体" w:eastAsia="宋体" w:hint="default"/>
                <w:b/>
                <w:bCs/>
                <w:sz w:val="21"/>
                <w:szCs w:val="21"/>
              </w:rPr>
              <w:t>合</w:t>
            </w:r>
            <w:r>
              <w:rPr>
                <w:rFonts w:ascii="宋体" w:hAnsi="宋体" w:cs="宋体" w:eastAsia="宋体" w:hint="default"/>
                <w:b/>
                <w:bCs/>
                <w:w w:val="100"/>
                <w:sz w:val="21"/>
                <w:szCs w:val="21"/>
              </w:rPr>
              <w:t> </w:t>
            </w:r>
            <w:r>
              <w:rPr>
                <w:rFonts w:ascii="宋体" w:hAnsi="宋体" w:cs="宋体" w:eastAsia="宋体" w:hint="default"/>
                <w:b/>
                <w:bCs/>
                <w:sz w:val="21"/>
                <w:szCs w:val="21"/>
              </w:rPr>
              <w:t>并</w:t>
            </w:r>
            <w:r>
              <w:rPr>
                <w:rFonts w:ascii="宋体" w:hAnsi="宋体" w:cs="宋体" w:eastAsia="宋体" w:hint="default"/>
                <w:b/>
                <w:bCs/>
                <w:w w:val="100"/>
                <w:sz w:val="21"/>
                <w:szCs w:val="21"/>
              </w:rPr>
              <w:t> </w:t>
            </w:r>
            <w:r>
              <w:rPr>
                <w:rFonts w:ascii="宋体" w:hAnsi="宋体" w:cs="宋体" w:eastAsia="宋体" w:hint="default"/>
                <w:b/>
                <w:bCs/>
                <w:sz w:val="21"/>
                <w:szCs w:val="21"/>
              </w:rPr>
              <w:t>报</w:t>
            </w:r>
            <w:r>
              <w:rPr>
                <w:rFonts w:ascii="宋体" w:hAnsi="宋体" w:cs="宋体" w:eastAsia="宋体" w:hint="default"/>
                <w:b/>
                <w:bCs/>
                <w:w w:val="100"/>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tc>
      </w:tr>
      <w:tr>
        <w:trPr>
          <w:trHeight w:val="833" w:hRule="exact"/>
        </w:trPr>
        <w:tc>
          <w:tcPr>
            <w:tcW w:w="1273"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嘉兴兴球信</w:t>
            </w:r>
          </w:p>
          <w:p>
            <w:pPr>
              <w:pStyle w:val="TableParagraph"/>
              <w:spacing w:line="272" w:lineRule="exact"/>
              <w:ind w:left="112" w:right="0"/>
              <w:jc w:val="left"/>
              <w:rPr>
                <w:rFonts w:ascii="宋体" w:hAnsi="宋体" w:cs="宋体" w:eastAsia="宋体" w:hint="default"/>
                <w:sz w:val="21"/>
                <w:szCs w:val="21"/>
              </w:rPr>
            </w:pPr>
            <w:r>
              <w:rPr>
                <w:rFonts w:ascii="宋体" w:hAnsi="宋体" w:cs="宋体" w:eastAsia="宋体" w:hint="default"/>
                <w:sz w:val="21"/>
                <w:szCs w:val="21"/>
              </w:rPr>
              <w:t>息技术有限</w:t>
            </w:r>
          </w:p>
          <w:p>
            <w:pPr>
              <w:pStyle w:val="TableParagraph"/>
              <w:spacing w:line="273" w:lineRule="exact"/>
              <w:ind w:left="743"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8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全资</w:t>
            </w:r>
          </w:p>
        </w:tc>
        <w:tc>
          <w:tcPr>
            <w:tcW w:w="1053"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87" w:right="0"/>
              <w:jc w:val="left"/>
              <w:rPr>
                <w:rFonts w:ascii="宋体" w:hAnsi="宋体" w:cs="宋体" w:eastAsia="宋体" w:hint="default"/>
                <w:sz w:val="21"/>
                <w:szCs w:val="21"/>
              </w:rPr>
            </w:pPr>
            <w:r>
              <w:rPr>
                <w:rFonts w:ascii="宋体" w:hAnsi="宋体" w:cs="宋体" w:eastAsia="宋体" w:hint="default"/>
                <w:sz w:val="21"/>
                <w:szCs w:val="21"/>
              </w:rPr>
              <w:t>通过设立</w:t>
            </w:r>
          </w:p>
          <w:p>
            <w:pPr>
              <w:pStyle w:val="TableParagraph"/>
              <w:spacing w:line="272" w:lineRule="exact" w:before="27"/>
              <w:ind w:left="299" w:right="120" w:hanging="212"/>
              <w:jc w:val="left"/>
              <w:rPr>
                <w:rFonts w:ascii="宋体" w:hAnsi="宋体" w:cs="宋体" w:eastAsia="宋体" w:hint="default"/>
                <w:sz w:val="21"/>
                <w:szCs w:val="21"/>
              </w:rPr>
            </w:pPr>
            <w:r>
              <w:rPr>
                <w:rFonts w:ascii="宋体" w:hAnsi="宋体" w:cs="宋体" w:eastAsia="宋体" w:hint="default"/>
                <w:spacing w:val="-1"/>
                <w:sz w:val="21"/>
                <w:szCs w:val="21"/>
              </w:rPr>
              <w:t>或投资等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方式</w:t>
            </w:r>
          </w:p>
        </w:tc>
        <w:tc>
          <w:tcPr>
            <w:tcW w:w="1962" w:type="dxa"/>
            <w:tcBorders>
              <w:top w:val="single" w:sz="4" w:space="0" w:color="000000"/>
              <w:left w:val="nil" w:sz="6" w:space="0" w:color="auto"/>
              <w:bottom w:val="single" w:sz="8" w:space="0" w:color="000000"/>
              <w:right w:val="nil" w:sz="6" w:space="0" w:color="auto"/>
            </w:tcBorders>
          </w:tcPr>
          <w:p>
            <w:pPr>
              <w:pStyle w:val="TableParagraph"/>
              <w:spacing w:line="247" w:lineRule="exact"/>
              <w:ind w:right="16"/>
              <w:jc w:val="center"/>
              <w:rPr>
                <w:rFonts w:ascii="Arial Narrow" w:hAnsi="Arial Narrow" w:cs="Arial Narrow" w:eastAsia="Arial Narrow" w:hint="default"/>
                <w:sz w:val="21"/>
                <w:szCs w:val="21"/>
              </w:rPr>
            </w:pPr>
            <w:r>
              <w:rPr>
                <w:rFonts w:ascii="宋体" w:hAnsi="宋体" w:cs="宋体" w:eastAsia="宋体" w:hint="default"/>
                <w:sz w:val="21"/>
                <w:szCs w:val="21"/>
              </w:rPr>
              <w:t>嘉兴市城南路</w:t>
            </w:r>
            <w:r>
              <w:rPr>
                <w:rFonts w:ascii="宋体" w:hAnsi="宋体" w:cs="宋体" w:eastAsia="宋体" w:hint="default"/>
                <w:spacing w:val="-52"/>
                <w:sz w:val="21"/>
                <w:szCs w:val="21"/>
              </w:rPr>
              <w:t> </w:t>
            </w:r>
            <w:r>
              <w:rPr>
                <w:rFonts w:ascii="Arial Narrow" w:hAnsi="Arial Narrow" w:cs="Arial Narrow" w:eastAsia="Arial Narrow" w:hint="default"/>
                <w:sz w:val="21"/>
                <w:szCs w:val="21"/>
              </w:rPr>
              <w:t>1369</w:t>
            </w:r>
          </w:p>
          <w:p>
            <w:pPr>
              <w:pStyle w:val="TableParagraph"/>
              <w:spacing w:line="272" w:lineRule="exact"/>
              <w:ind w:left="138" w:right="0"/>
              <w:jc w:val="center"/>
              <w:rPr>
                <w:rFonts w:ascii="宋体" w:hAnsi="宋体" w:cs="宋体" w:eastAsia="宋体" w:hint="default"/>
                <w:sz w:val="21"/>
                <w:szCs w:val="21"/>
              </w:rPr>
            </w:pPr>
            <w:r>
              <w:rPr>
                <w:rFonts w:ascii="宋体" w:hAnsi="宋体" w:cs="宋体" w:eastAsia="宋体" w:hint="default"/>
                <w:sz w:val="21"/>
                <w:szCs w:val="21"/>
              </w:rPr>
              <w:t>号内</w:t>
            </w:r>
            <w:r>
              <w:rPr>
                <w:rFonts w:ascii="宋体" w:hAnsi="宋体" w:cs="宋体" w:eastAsia="宋体" w:hint="default"/>
                <w:spacing w:val="-52"/>
                <w:sz w:val="21"/>
                <w:szCs w:val="21"/>
              </w:rPr>
              <w:t> </w:t>
            </w:r>
            <w:r>
              <w:rPr>
                <w:rFonts w:ascii="Arial Narrow" w:hAnsi="Arial Narrow" w:cs="Arial Narrow" w:eastAsia="Arial Narrow" w:hint="default"/>
                <w:spacing w:val="-8"/>
                <w:sz w:val="21"/>
                <w:szCs w:val="21"/>
              </w:rPr>
              <w:t>11</w:t>
            </w:r>
            <w:r>
              <w:rPr>
                <w:rFonts w:ascii="Arial Narrow" w:hAnsi="Arial Narrow" w:cs="Arial Narrow" w:eastAsia="Arial Narrow" w:hint="default"/>
                <w:spacing w:val="5"/>
                <w:sz w:val="21"/>
                <w:szCs w:val="21"/>
              </w:rPr>
              <w:t> </w:t>
            </w:r>
            <w:r>
              <w:rPr>
                <w:rFonts w:ascii="宋体" w:hAnsi="宋体" w:cs="宋体" w:eastAsia="宋体" w:hint="default"/>
                <w:sz w:val="21"/>
                <w:szCs w:val="21"/>
              </w:rPr>
              <w:t>号楼</w:t>
            </w:r>
            <w:r>
              <w:rPr>
                <w:rFonts w:ascii="宋体" w:hAnsi="宋体" w:cs="宋体" w:eastAsia="宋体" w:hint="default"/>
                <w:spacing w:val="-51"/>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楼</w:t>
            </w:r>
          </w:p>
          <w:p>
            <w:pPr>
              <w:pStyle w:val="TableParagraph"/>
              <w:spacing w:line="280" w:lineRule="exact"/>
              <w:ind w:left="1267" w:right="0"/>
              <w:jc w:val="left"/>
              <w:rPr>
                <w:rFonts w:ascii="宋体" w:hAnsi="宋体" w:cs="宋体" w:eastAsia="宋体" w:hint="default"/>
                <w:sz w:val="21"/>
                <w:szCs w:val="21"/>
              </w:rPr>
            </w:pPr>
            <w:r>
              <w:rPr>
                <w:rFonts w:ascii="Arial Narrow" w:hAnsi="Arial Narrow" w:cs="Arial Narrow" w:eastAsia="Arial Narrow" w:hint="default"/>
                <w:sz w:val="21"/>
                <w:szCs w:val="21"/>
              </w:rPr>
              <w:t>403</w:t>
            </w:r>
            <w:r>
              <w:rPr>
                <w:rFonts w:ascii="Arial Narrow" w:hAnsi="Arial Narrow" w:cs="Arial Narrow" w:eastAsia="Arial Narrow" w:hint="default"/>
                <w:spacing w:val="4"/>
                <w:sz w:val="21"/>
                <w:szCs w:val="21"/>
              </w:rPr>
              <w:t> </w:t>
            </w:r>
            <w:r>
              <w:rPr>
                <w:rFonts w:ascii="宋体" w:hAnsi="宋体" w:cs="宋体" w:eastAsia="宋体" w:hint="default"/>
                <w:sz w:val="21"/>
                <w:szCs w:val="21"/>
              </w:rPr>
              <w:t>室</w:t>
            </w:r>
          </w:p>
        </w:tc>
        <w:tc>
          <w:tcPr>
            <w:tcW w:w="690"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143" w:right="0"/>
              <w:jc w:val="left"/>
              <w:rPr>
                <w:rFonts w:ascii="宋体" w:hAnsi="宋体" w:cs="宋体" w:eastAsia="宋体" w:hint="default"/>
                <w:sz w:val="21"/>
                <w:szCs w:val="21"/>
              </w:rPr>
            </w:pPr>
            <w:r>
              <w:rPr>
                <w:rFonts w:ascii="宋体" w:hAnsi="宋体" w:cs="宋体" w:eastAsia="宋体" w:hint="default"/>
                <w:sz w:val="21"/>
                <w:szCs w:val="21"/>
              </w:rPr>
              <w:t>软件</w:t>
            </w:r>
          </w:p>
          <w:p>
            <w:pPr>
              <w:pStyle w:val="TableParagraph"/>
              <w:spacing w:line="272" w:lineRule="exact" w:before="27"/>
              <w:ind w:left="143" w:right="121"/>
              <w:jc w:val="left"/>
              <w:rPr>
                <w:rFonts w:ascii="宋体" w:hAnsi="宋体" w:cs="宋体" w:eastAsia="宋体" w:hint="default"/>
                <w:sz w:val="21"/>
                <w:szCs w:val="21"/>
              </w:rPr>
            </w:pPr>
            <w:r>
              <w:rPr>
                <w:rFonts w:ascii="宋体" w:hAnsi="宋体" w:cs="宋体" w:eastAsia="宋体" w:hint="default"/>
                <w:sz w:val="21"/>
                <w:szCs w:val="21"/>
              </w:rPr>
              <w:t>开发</w:t>
            </w:r>
            <w:r>
              <w:rPr>
                <w:rFonts w:ascii="宋体" w:hAnsi="宋体" w:cs="宋体" w:eastAsia="宋体" w:hint="default"/>
                <w:spacing w:val="-103"/>
                <w:sz w:val="21"/>
                <w:szCs w:val="21"/>
              </w:rPr>
              <w:t> </w:t>
            </w:r>
            <w:r>
              <w:rPr>
                <w:rFonts w:ascii="宋体" w:hAnsi="宋体" w:cs="宋体" w:eastAsia="宋体" w:hint="default"/>
                <w:sz w:val="21"/>
                <w:szCs w:val="21"/>
              </w:rPr>
              <w:t>销售</w:t>
            </w:r>
          </w:p>
        </w:tc>
        <w:tc>
          <w:tcPr>
            <w:tcW w:w="772" w:type="dxa"/>
            <w:tcBorders>
              <w:top w:val="single" w:sz="4" w:space="0" w:color="000000"/>
              <w:left w:val="nil" w:sz="6" w:space="0" w:color="auto"/>
              <w:bottom w:val="single" w:sz="8" w:space="0" w:color="000000"/>
              <w:right w:val="nil" w:sz="6" w:space="0" w:color="auto"/>
            </w:tcBorders>
          </w:tcPr>
          <w:p>
            <w:pPr>
              <w:pStyle w:val="TableParagraph"/>
              <w:spacing w:line="272" w:lineRule="exact" w:before="130"/>
              <w:ind w:left="157" w:right="190" w:hanging="34"/>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5"/>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美元</w:t>
            </w:r>
          </w:p>
        </w:tc>
        <w:tc>
          <w:tcPr>
            <w:tcW w:w="947"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192" w:right="0"/>
              <w:jc w:val="left"/>
              <w:rPr>
                <w:rFonts w:ascii="宋体" w:hAnsi="宋体" w:cs="宋体" w:eastAsia="宋体" w:hint="default"/>
                <w:sz w:val="21"/>
                <w:szCs w:val="21"/>
              </w:rPr>
            </w:pPr>
            <w:r>
              <w:rPr>
                <w:rFonts w:ascii="宋体" w:hAnsi="宋体" w:cs="宋体" w:eastAsia="宋体" w:hint="default"/>
                <w:sz w:val="21"/>
                <w:szCs w:val="21"/>
              </w:rPr>
              <w:t>软件开</w:t>
            </w:r>
          </w:p>
          <w:p>
            <w:pPr>
              <w:pStyle w:val="TableParagraph"/>
              <w:spacing w:line="272" w:lineRule="exact"/>
              <w:ind w:left="192" w:right="0"/>
              <w:jc w:val="left"/>
              <w:rPr>
                <w:rFonts w:ascii="宋体" w:hAnsi="宋体" w:cs="宋体" w:eastAsia="宋体" w:hint="default"/>
                <w:sz w:val="21"/>
                <w:szCs w:val="21"/>
              </w:rPr>
            </w:pPr>
            <w:r>
              <w:rPr>
                <w:rFonts w:ascii="宋体" w:hAnsi="宋体" w:cs="宋体" w:eastAsia="宋体" w:hint="default"/>
                <w:sz w:val="21"/>
                <w:szCs w:val="21"/>
              </w:rPr>
              <w:t>发、销</w:t>
            </w:r>
          </w:p>
          <w:p>
            <w:pPr>
              <w:pStyle w:val="TableParagraph"/>
              <w:spacing w:line="273" w:lineRule="exact"/>
              <w:ind w:left="612"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618"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7" w:right="0"/>
              <w:jc w:val="left"/>
              <w:rPr>
                <w:rFonts w:ascii="Arial Narrow" w:hAnsi="Arial Narrow" w:cs="Arial Narrow" w:eastAsia="Arial Narrow" w:hint="default"/>
                <w:sz w:val="21"/>
                <w:szCs w:val="21"/>
              </w:rPr>
            </w:pPr>
            <w:r>
              <w:rPr>
                <w:rFonts w:ascii="Arial Narrow"/>
                <w:sz w:val="21"/>
              </w:rPr>
              <w:t>100</w:t>
            </w:r>
          </w:p>
        </w:tc>
        <w:tc>
          <w:tcPr>
            <w:tcW w:w="680"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6" w:right="0"/>
              <w:jc w:val="left"/>
              <w:rPr>
                <w:rFonts w:ascii="Arial Narrow" w:hAnsi="Arial Narrow" w:cs="Arial Narrow" w:eastAsia="Arial Narrow" w:hint="default"/>
                <w:sz w:val="21"/>
                <w:szCs w:val="21"/>
              </w:rPr>
            </w:pPr>
            <w:r>
              <w:rPr>
                <w:rFonts w:ascii="Arial Narrow"/>
                <w:sz w:val="21"/>
              </w:rPr>
              <w:t>100</w:t>
            </w:r>
          </w:p>
        </w:tc>
        <w:tc>
          <w:tcPr>
            <w:tcW w:w="503"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Style w:val="BodyText"/>
        <w:spacing w:line="240" w:lineRule="auto" w:before="79"/>
        <w:ind w:left="522" w:right="0"/>
        <w:jc w:val="left"/>
      </w:pPr>
      <w:r>
        <w:rPr/>
        <w:t>通过日本超图株式会社控制的孙公司情况（续</w:t>
      </w:r>
      <w:r>
        <w:rPr>
          <w:spacing w:val="-120"/>
        </w:rPr>
        <w:t>）</w:t>
      </w:r>
      <w:r>
        <w:rPr/>
        <w:t>：</w:t>
      </w:r>
    </w:p>
    <w:p>
      <w:pPr>
        <w:spacing w:line="240" w:lineRule="auto" w:before="6"/>
        <w:rPr>
          <w:rFonts w:ascii="宋体" w:hAnsi="宋体" w:cs="宋体" w:eastAsia="宋体" w:hint="default"/>
          <w:sz w:val="19"/>
          <w:szCs w:val="19"/>
        </w:rPr>
      </w:pPr>
    </w:p>
    <w:tbl>
      <w:tblPr>
        <w:tblW w:w="0" w:type="auto"/>
        <w:jc w:val="left"/>
        <w:tblInd w:w="414" w:type="dxa"/>
        <w:tblLayout w:type="fixed"/>
        <w:tblCellMar>
          <w:top w:w="0" w:type="dxa"/>
          <w:left w:w="0" w:type="dxa"/>
          <w:bottom w:w="0" w:type="dxa"/>
          <w:right w:w="0" w:type="dxa"/>
        </w:tblCellMar>
        <w:tblLook w:val="01E0"/>
      </w:tblPr>
      <w:tblGrid>
        <w:gridCol w:w="1582"/>
        <w:gridCol w:w="1783"/>
        <w:gridCol w:w="1929"/>
        <w:gridCol w:w="1809"/>
        <w:gridCol w:w="2180"/>
      </w:tblGrid>
      <w:tr>
        <w:trPr>
          <w:trHeight w:val="830" w:hRule="exact"/>
        </w:trPr>
        <w:tc>
          <w:tcPr>
            <w:tcW w:w="1582"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孙公司全称</w:t>
            </w:r>
            <w:r>
              <w:rPr>
                <w:rFonts w:ascii="宋体" w:hAnsi="宋体" w:cs="宋体" w:eastAsia="宋体" w:hint="default"/>
                <w:sz w:val="21"/>
                <w:szCs w:val="21"/>
              </w:rPr>
            </w:r>
          </w:p>
        </w:tc>
        <w:tc>
          <w:tcPr>
            <w:tcW w:w="1783" w:type="dxa"/>
            <w:tcBorders>
              <w:top w:val="single" w:sz="8" w:space="0" w:color="000000"/>
              <w:left w:val="nil" w:sz="6" w:space="0" w:color="auto"/>
              <w:bottom w:val="single" w:sz="4" w:space="0" w:color="000000"/>
              <w:right w:val="nil" w:sz="6" w:space="0" w:color="auto"/>
            </w:tcBorders>
          </w:tcPr>
          <w:p>
            <w:pPr>
              <w:pStyle w:val="TableParagraph"/>
              <w:spacing w:line="273" w:lineRule="exact" w:before="102"/>
              <w:ind w:left="107" w:right="0"/>
              <w:jc w:val="left"/>
              <w:rPr>
                <w:rFonts w:ascii="宋体" w:hAnsi="宋体" w:cs="宋体" w:eastAsia="宋体" w:hint="default"/>
                <w:sz w:val="21"/>
                <w:szCs w:val="21"/>
              </w:rPr>
            </w:pPr>
            <w:r>
              <w:rPr>
                <w:rFonts w:ascii="宋体" w:hAnsi="宋体" w:cs="宋体" w:eastAsia="宋体" w:hint="default"/>
                <w:b/>
                <w:bCs/>
                <w:spacing w:val="11"/>
                <w:sz w:val="21"/>
                <w:szCs w:val="21"/>
              </w:rPr>
              <w:t>期末实际出资额</w:t>
            </w:r>
            <w:r>
              <w:rPr>
                <w:rFonts w:ascii="宋体" w:hAnsi="宋体" w:cs="宋体" w:eastAsia="宋体" w:hint="default"/>
                <w:spacing w:val="11"/>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929" w:type="dxa"/>
            <w:tcBorders>
              <w:top w:val="single" w:sz="8" w:space="0" w:color="000000"/>
              <w:left w:val="nil" w:sz="6" w:space="0" w:color="auto"/>
              <w:bottom w:val="single" w:sz="4" w:space="0" w:color="000000"/>
              <w:right w:val="nil" w:sz="6" w:space="0" w:color="auto"/>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b/>
                <w:bCs/>
                <w:spacing w:val="2"/>
                <w:sz w:val="21"/>
                <w:szCs w:val="21"/>
              </w:rPr>
              <w:t>实质上构成对孙公</w:t>
            </w:r>
            <w:r>
              <w:rPr>
                <w:rFonts w:ascii="宋体" w:hAnsi="宋体" w:cs="宋体" w:eastAsia="宋体" w:hint="default"/>
                <w:spacing w:val="2"/>
                <w:sz w:val="21"/>
                <w:szCs w:val="21"/>
              </w:rPr>
            </w:r>
          </w:p>
          <w:p>
            <w:pPr>
              <w:pStyle w:val="TableParagraph"/>
              <w:spacing w:line="240" w:lineRule="auto"/>
              <w:ind w:left="105" w:right="106"/>
              <w:jc w:val="left"/>
              <w:rPr>
                <w:rFonts w:ascii="宋体" w:hAnsi="宋体" w:cs="宋体" w:eastAsia="宋体" w:hint="default"/>
                <w:sz w:val="21"/>
                <w:szCs w:val="21"/>
              </w:rPr>
            </w:pPr>
            <w:r>
              <w:rPr>
                <w:rFonts w:ascii="宋体" w:hAnsi="宋体" w:cs="宋体" w:eastAsia="宋体" w:hint="default"/>
                <w:b/>
                <w:bCs/>
                <w:spacing w:val="2"/>
                <w:sz w:val="21"/>
                <w:szCs w:val="21"/>
              </w:rPr>
              <w:t>司净投资的其他项</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目余额</w:t>
            </w:r>
            <w:r>
              <w:rPr>
                <w:rFonts w:ascii="宋体" w:hAnsi="宋体" w:cs="宋体" w:eastAsia="宋体" w:hint="default"/>
                <w:sz w:val="21"/>
                <w:szCs w:val="21"/>
              </w:rPr>
            </w:r>
          </w:p>
        </w:tc>
        <w:tc>
          <w:tcPr>
            <w:tcW w:w="1809"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tc>
        <w:tc>
          <w:tcPr>
            <w:tcW w:w="2180" w:type="dxa"/>
            <w:tcBorders>
              <w:top w:val="single" w:sz="8" w:space="0" w:color="000000"/>
              <w:left w:val="nil" w:sz="6" w:space="0" w:color="auto"/>
              <w:bottom w:val="single" w:sz="4" w:space="0" w:color="000000"/>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b/>
                <w:bCs/>
                <w:spacing w:val="5"/>
                <w:sz w:val="21"/>
                <w:szCs w:val="21"/>
              </w:rPr>
              <w:t>少数股东权益中用于</w:t>
            </w:r>
            <w:r>
              <w:rPr>
                <w:rFonts w:ascii="宋体" w:hAnsi="宋体" w:cs="宋体" w:eastAsia="宋体" w:hint="default"/>
                <w:spacing w:val="5"/>
                <w:sz w:val="21"/>
                <w:szCs w:val="21"/>
              </w:rPr>
            </w:r>
          </w:p>
          <w:p>
            <w:pPr>
              <w:pStyle w:val="TableParagraph"/>
              <w:spacing w:line="240" w:lineRule="auto"/>
              <w:ind w:left="107" w:right="108"/>
              <w:jc w:val="left"/>
              <w:rPr>
                <w:rFonts w:ascii="宋体" w:hAnsi="宋体" w:cs="宋体" w:eastAsia="宋体" w:hint="default"/>
                <w:sz w:val="21"/>
                <w:szCs w:val="21"/>
              </w:rPr>
            </w:pPr>
            <w:r>
              <w:rPr>
                <w:rFonts w:ascii="宋体" w:hAnsi="宋体" w:cs="宋体" w:eastAsia="宋体" w:hint="default"/>
                <w:b/>
                <w:bCs/>
                <w:spacing w:val="5"/>
                <w:sz w:val="21"/>
                <w:szCs w:val="21"/>
              </w:rPr>
              <w:t>冲减少数股东损益的</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562" w:hRule="exact"/>
        </w:trPr>
        <w:tc>
          <w:tcPr>
            <w:tcW w:w="1582" w:type="dxa"/>
            <w:tcBorders>
              <w:top w:val="single" w:sz="4" w:space="0" w:color="000000"/>
              <w:left w:val="nil" w:sz="6" w:space="0" w:color="auto"/>
              <w:bottom w:val="single" w:sz="8" w:space="0" w:color="000000"/>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15"/>
                <w:sz w:val="21"/>
                <w:szCs w:val="21"/>
              </w:rPr>
              <w:t>嘉兴兴球信息</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技术有限公司</w:t>
            </w:r>
          </w:p>
        </w:tc>
        <w:tc>
          <w:tcPr>
            <w:tcW w:w="1783" w:type="dxa"/>
            <w:tcBorders>
              <w:top w:val="single" w:sz="4" w:space="0" w:color="000000"/>
              <w:left w:val="nil" w:sz="6" w:space="0" w:color="auto"/>
              <w:bottom w:val="single" w:sz="8" w:space="0" w:color="000000"/>
              <w:right w:val="nil" w:sz="6" w:space="0" w:color="auto"/>
            </w:tcBorders>
          </w:tcPr>
          <w:p>
            <w:pPr>
              <w:pStyle w:val="TableParagraph"/>
              <w:spacing w:line="240" w:lineRule="auto" w:before="102"/>
              <w:ind w:left="801" w:right="0"/>
              <w:jc w:val="left"/>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万美元</w:t>
            </w:r>
          </w:p>
        </w:tc>
        <w:tc>
          <w:tcPr>
            <w:tcW w:w="1929"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right="107"/>
              <w:jc w:val="right"/>
              <w:rPr>
                <w:rFonts w:ascii="Arial Narrow" w:hAnsi="Arial Narrow" w:cs="Arial Narrow" w:eastAsia="Arial Narrow" w:hint="default"/>
                <w:sz w:val="21"/>
                <w:szCs w:val="21"/>
              </w:rPr>
            </w:pPr>
            <w:r>
              <w:rPr>
                <w:rFonts w:ascii="Arial Narrow"/>
                <w:w w:val="100"/>
                <w:sz w:val="21"/>
              </w:rPr>
              <w:t>-</w:t>
            </w:r>
          </w:p>
        </w:tc>
        <w:tc>
          <w:tcPr>
            <w:tcW w:w="1809"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w w:val="100"/>
                <w:sz w:val="21"/>
              </w:rPr>
              <w:t>-</w:t>
            </w:r>
          </w:p>
        </w:tc>
        <w:tc>
          <w:tcPr>
            <w:tcW w:w="2180"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w w:val="100"/>
                <w:sz w:val="21"/>
              </w:rPr>
              <w:t>-</w:t>
            </w:r>
          </w:p>
        </w:tc>
      </w:tr>
    </w:tbl>
    <w:p>
      <w:pPr>
        <w:pStyle w:val="BodyText"/>
        <w:spacing w:line="240" w:lineRule="auto" w:before="80"/>
        <w:ind w:left="102" w:right="0"/>
        <w:jc w:val="left"/>
      </w:pPr>
      <w:r>
        <w:rPr>
          <w:rFonts w:ascii="Arial Narrow" w:hAnsi="Arial Narrow" w:cs="Arial Narrow" w:eastAsia="Arial Narrow" w:hint="default"/>
        </w:rPr>
        <w:t>2</w:t>
      </w:r>
      <w:r>
        <w:rPr/>
        <w:t>、境外经营实体主要报表项目的折算汇率</w:t>
      </w:r>
    </w:p>
    <w:p>
      <w:pPr>
        <w:spacing w:line="240" w:lineRule="auto" w:before="2"/>
        <w:rPr>
          <w:rFonts w:ascii="宋体" w:hAnsi="宋体" w:cs="宋体" w:eastAsia="宋体" w:hint="default"/>
          <w:sz w:val="18"/>
          <w:szCs w:val="18"/>
        </w:rPr>
      </w:pPr>
    </w:p>
    <w:p>
      <w:pPr>
        <w:spacing w:line="20" w:lineRule="exact"/>
        <w:ind w:left="390" w:right="0" w:firstLine="0"/>
        <w:rPr>
          <w:rFonts w:ascii="宋体" w:hAnsi="宋体" w:cs="宋体" w:eastAsia="宋体" w:hint="default"/>
          <w:sz w:val="2"/>
          <w:szCs w:val="2"/>
        </w:rPr>
      </w:pPr>
      <w:r>
        <w:rPr>
          <w:rFonts w:ascii="宋体" w:hAnsi="宋体" w:cs="宋体" w:eastAsia="宋体" w:hint="default"/>
          <w:sz w:val="2"/>
          <w:szCs w:val="2"/>
        </w:rPr>
        <w:pict>
          <v:group style="width:465.35pt;height:.5pt;mso-position-horizontal-relative:char;mso-position-vertical-relative:line" coordorigin="0,0" coordsize="9307,10">
            <v:group style="position:absolute;left:5;top:5;width:2355;height:2" coordorigin="5,5" coordsize="2355,2">
              <v:shape style="position:absolute;left:5;top:5;width:2355;height:2" coordorigin="5,5" coordsize="2355,0" path="m5,5l2360,5e" filled="false" stroked="true" strokeweight=".48001pt" strokecolor="#000000">
                <v:path arrowok="t"/>
              </v:shape>
            </v:group>
            <v:group style="position:absolute;left:2360;top:5;width:10;height:2" coordorigin="2360,5" coordsize="10,2">
              <v:shape style="position:absolute;left:2360;top:5;width:10;height:2" coordorigin="2360,5" coordsize="10,0" path="m2360,5l2369,5e" filled="false" stroked="true" strokeweight=".48001pt" strokecolor="#000000">
                <v:path arrowok="t"/>
              </v:shape>
            </v:group>
            <v:group style="position:absolute;left:2369;top:5;width:4974;height:2" coordorigin="2369,5" coordsize="4974,2">
              <v:shape style="position:absolute;left:2369;top:5;width:4974;height:2" coordorigin="2369,5" coordsize="4974,0" path="m2369,5l7343,5e" filled="false" stroked="true" strokeweight=".48001pt" strokecolor="#000000">
                <v:path arrowok="t"/>
              </v:shape>
            </v:group>
            <v:group style="position:absolute;left:7343;top:5;width:10;height:2" coordorigin="7343,5" coordsize="10,2">
              <v:shape style="position:absolute;left:7343;top:5;width:10;height:2" coordorigin="7343,5" coordsize="10,0" path="m7343,5l7353,5e" filled="false" stroked="true" strokeweight=".48001pt" strokecolor="#000000">
                <v:path arrowok="t"/>
              </v:shape>
            </v:group>
            <v:group style="position:absolute;left:7353;top:5;width:1950;height:2" coordorigin="7353,5" coordsize="1950,2">
              <v:shape style="position:absolute;left:7353;top:5;width:1950;height:2" coordorigin="7353,5" coordsize="1950,0" path="m7353,5l9302,5e" filled="false" stroked="true" strokeweight=".48001pt" strokecolor="#000000">
                <v:path arrowok="t"/>
              </v:shape>
            </v:group>
          </v:group>
        </w:pict>
      </w:r>
      <w:r>
        <w:rPr>
          <w:rFonts w:ascii="宋体" w:hAnsi="宋体" w:cs="宋体" w:eastAsia="宋体" w:hint="default"/>
          <w:sz w:val="2"/>
          <w:szCs w:val="2"/>
        </w:rPr>
      </w:r>
    </w:p>
    <w:p>
      <w:pPr>
        <w:tabs>
          <w:tab w:pos="8184" w:val="left" w:leader="none"/>
        </w:tabs>
        <w:spacing w:line="261" w:lineRule="exact" w:before="75"/>
        <w:ind w:left="4607" w:right="0" w:firstLine="0"/>
        <w:jc w:val="left"/>
        <w:rPr>
          <w:rFonts w:ascii="宋体" w:hAnsi="宋体" w:cs="宋体" w:eastAsia="宋体" w:hint="default"/>
          <w:sz w:val="21"/>
          <w:szCs w:val="21"/>
        </w:rPr>
      </w:pPr>
      <w:r>
        <w:rPr>
          <w:rFonts w:ascii="宋体" w:hAnsi="宋体" w:cs="宋体" w:eastAsia="宋体" w:hint="default"/>
          <w:b/>
          <w:bCs/>
          <w:sz w:val="21"/>
          <w:szCs w:val="21"/>
        </w:rPr>
        <w:t>资产负债项目</w:t>
        <w:tab/>
      </w:r>
      <w:r>
        <w:rPr>
          <w:rFonts w:ascii="宋体" w:hAnsi="宋体" w:cs="宋体" w:eastAsia="宋体" w:hint="default"/>
          <w:b/>
          <w:bCs/>
          <w:position w:val="-5"/>
          <w:sz w:val="21"/>
          <w:szCs w:val="21"/>
        </w:rPr>
        <w:t>收入、费用</w:t>
      </w:r>
      <w:r>
        <w:rPr>
          <w:rFonts w:ascii="宋体" w:hAnsi="宋体" w:cs="宋体" w:eastAsia="宋体" w:hint="default"/>
          <w:sz w:val="21"/>
          <w:szCs w:val="21"/>
        </w:rPr>
      </w:r>
    </w:p>
    <w:p>
      <w:pPr>
        <w:spacing w:after="0" w:line="261" w:lineRule="exact"/>
        <w:jc w:val="left"/>
        <w:rPr>
          <w:rFonts w:ascii="宋体" w:hAnsi="宋体" w:cs="宋体" w:eastAsia="宋体" w:hint="default"/>
          <w:sz w:val="21"/>
          <w:szCs w:val="21"/>
        </w:rPr>
        <w:sectPr>
          <w:pgSz w:w="11900" w:h="16850"/>
          <w:pgMar w:header="771" w:footer="919" w:top="1640" w:bottom="1100" w:left="1180" w:right="880"/>
        </w:sectPr>
      </w:pPr>
    </w:p>
    <w:p>
      <w:pPr>
        <w:tabs>
          <w:tab w:pos="2749" w:val="left" w:leader="none"/>
          <w:tab w:pos="7780" w:val="left" w:leader="none"/>
        </w:tabs>
        <w:spacing w:line="211" w:lineRule="exact" w:before="0"/>
        <w:ind w:left="1148" w:right="0"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公司名称</w:t>
        <w:tab/>
      </w: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u w:val="single" w:color="000000"/>
        </w:rPr>
        <w:t> </w:t>
      </w:r>
      <w:r>
        <w:rPr>
          <w:rFonts w:ascii="Times New Roman" w:hAnsi="Times New Roman" w:cs="Times New Roman" w:eastAsia="Times New Roman" w:hint="default"/>
          <w:b/>
          <w:bCs/>
          <w:sz w:val="21"/>
          <w:szCs w:val="21"/>
          <w:u w:val="single" w:color="000000"/>
        </w:rPr>
        <w:tab/>
      </w:r>
      <w:r>
        <w:rPr>
          <w:rFonts w:ascii="Times New Roman" w:hAnsi="Times New Roman" w:cs="Times New Roman" w:eastAsia="Times New Roman" w:hint="default"/>
          <w:b/>
          <w:bCs/>
          <w:sz w:val="21"/>
          <w:szCs w:val="21"/>
        </w:rPr>
      </w:r>
      <w:r>
        <w:rPr>
          <w:rFonts w:ascii="Times New Roman" w:hAnsi="Times New Roman" w:cs="Times New Roman" w:eastAsia="Times New Roman" w:hint="default"/>
          <w:sz w:val="21"/>
          <w:szCs w:val="21"/>
        </w:rPr>
      </w:r>
    </w:p>
    <w:p>
      <w:pPr>
        <w:tabs>
          <w:tab w:pos="5646" w:val="left" w:leader="none"/>
        </w:tabs>
        <w:spacing w:before="58"/>
        <w:ind w:left="3160" w:right="0" w:firstLine="0"/>
        <w:jc w:val="left"/>
        <w:rPr>
          <w:rFonts w:ascii="宋体" w:hAnsi="宋体" w:cs="宋体" w:eastAsia="宋体" w:hint="default"/>
          <w:sz w:val="21"/>
          <w:szCs w:val="21"/>
        </w:rPr>
      </w:pPr>
      <w:r>
        <w:rPr>
          <w:rFonts w:ascii="Arial Narrow" w:hAnsi="Arial Narrow" w:cs="Arial Narrow" w:eastAsia="Arial Narrow" w:hint="default"/>
          <w:b/>
          <w:bCs/>
          <w:spacing w:val="-3"/>
          <w:sz w:val="21"/>
          <w:szCs w:val="21"/>
        </w:rPr>
        <w:t>2011</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Arial Narrow" w:hAnsi="Arial Narrow" w:cs="Arial Narrow" w:eastAsia="Arial Narrow" w:hint="default"/>
          <w:b/>
          <w:bCs/>
          <w:sz w:val="21"/>
          <w:szCs w:val="21"/>
        </w:rPr>
        <w:t>12</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Arial Narrow" w:hAnsi="Arial Narrow" w:cs="Arial Narrow" w:eastAsia="Arial Narrow" w:hint="default"/>
          <w:b/>
          <w:bCs/>
          <w:sz w:val="21"/>
          <w:szCs w:val="21"/>
        </w:rPr>
        <w:t>31</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日</w:t>
        <w:tab/>
      </w:r>
      <w:r>
        <w:rPr>
          <w:rFonts w:ascii="Arial Narrow" w:hAnsi="Arial Narrow" w:cs="Arial Narrow" w:eastAsia="Arial Narrow" w:hint="default"/>
          <w:b/>
          <w:bCs/>
          <w:sz w:val="21"/>
          <w:szCs w:val="21"/>
        </w:rPr>
        <w:t>2010</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b/>
          <w:bCs/>
          <w:spacing w:val="-51"/>
          <w:sz w:val="21"/>
          <w:szCs w:val="21"/>
        </w:rPr>
        <w:t> </w:t>
      </w:r>
      <w:r>
        <w:rPr>
          <w:rFonts w:ascii="Arial Narrow" w:hAnsi="Arial Narrow" w:cs="Arial Narrow" w:eastAsia="Arial Narrow" w:hint="default"/>
          <w:b/>
          <w:bCs/>
          <w:sz w:val="21"/>
          <w:szCs w:val="21"/>
        </w:rPr>
        <w:t>12</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月</w:t>
      </w:r>
      <w:r>
        <w:rPr>
          <w:rFonts w:ascii="宋体" w:hAnsi="宋体" w:cs="宋体" w:eastAsia="宋体" w:hint="default"/>
          <w:b/>
          <w:bCs/>
          <w:spacing w:val="-51"/>
          <w:sz w:val="21"/>
          <w:szCs w:val="21"/>
        </w:rPr>
        <w:t> </w:t>
      </w:r>
      <w:r>
        <w:rPr>
          <w:rFonts w:ascii="Arial Narrow" w:hAnsi="Arial Narrow" w:cs="Arial Narrow" w:eastAsia="Arial Narrow" w:hint="default"/>
          <w:b/>
          <w:bCs/>
          <w:sz w:val="21"/>
          <w:szCs w:val="21"/>
        </w:rPr>
        <w:t>31</w:t>
      </w:r>
      <w:r>
        <w:rPr>
          <w:rFonts w:ascii="Arial Narrow" w:hAnsi="Arial Narrow" w:cs="Arial Narrow" w:eastAsia="Arial Narrow" w:hint="default"/>
          <w:b/>
          <w:bCs/>
          <w:spacing w:val="2"/>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before="73"/>
        <w:ind w:left="363"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及现金项目</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50"/>
          <w:pgMar w:top="440" w:bottom="280" w:left="1180" w:right="880"/>
          <w:cols w:num="2" w:equalWidth="0">
            <w:col w:w="7781" w:space="40"/>
            <w:col w:w="2019"/>
          </w:cols>
        </w:sectPr>
      </w:pPr>
    </w:p>
    <w:p>
      <w:pPr>
        <w:spacing w:line="240" w:lineRule="auto" w:before="6"/>
        <w:rPr>
          <w:rFonts w:ascii="宋体" w:hAnsi="宋体" w:cs="宋体" w:eastAsia="宋体" w:hint="default"/>
          <w:b/>
          <w:bCs/>
          <w:sz w:val="7"/>
          <w:szCs w:val="7"/>
        </w:rPr>
      </w:pPr>
    </w:p>
    <w:p>
      <w:pPr>
        <w:spacing w:line="20" w:lineRule="exact"/>
        <w:ind w:left="390" w:right="0" w:firstLine="0"/>
        <w:rPr>
          <w:rFonts w:ascii="宋体" w:hAnsi="宋体" w:cs="宋体" w:eastAsia="宋体" w:hint="default"/>
          <w:sz w:val="2"/>
          <w:szCs w:val="2"/>
        </w:rPr>
      </w:pPr>
      <w:r>
        <w:rPr>
          <w:rFonts w:ascii="宋体" w:hAnsi="宋体" w:cs="宋体" w:eastAsia="宋体" w:hint="default"/>
          <w:sz w:val="2"/>
          <w:szCs w:val="2"/>
        </w:rPr>
        <w:pict>
          <v:group style="width:465.35pt;height:.5pt;mso-position-horizontal-relative:char;mso-position-vertical-relative:line" coordorigin="0,0" coordsize="9307,10">
            <v:group style="position:absolute;left:5;top:5;width:2355;height:2" coordorigin="5,5" coordsize="2355,2">
              <v:shape style="position:absolute;left:5;top:5;width:2355;height:2" coordorigin="5,5" coordsize="2355,0" path="m5,5l2360,5e" filled="false" stroked="true" strokeweight=".48001pt" strokecolor="#000000">
                <v:path arrowok="t"/>
              </v:shape>
            </v:group>
            <v:group style="position:absolute;left:2360;top:5;width:10;height:2" coordorigin="2360,5" coordsize="10,2">
              <v:shape style="position:absolute;left:2360;top:5;width:10;height:2" coordorigin="2360,5" coordsize="10,0" path="m2360,5l2369,5e" filled="false" stroked="true" strokeweight=".48001pt" strokecolor="#000000">
                <v:path arrowok="t"/>
              </v:shape>
            </v:group>
            <v:group style="position:absolute;left:2369;top:5;width:2468;height:2" coordorigin="2369,5" coordsize="2468,2">
              <v:shape style="position:absolute;left:2369;top:5;width:2468;height:2" coordorigin="2369,5" coordsize="2468,0" path="m2369,5l4837,5e" filled="false" stroked="true" strokeweight=".48001pt" strokecolor="#000000">
                <v:path arrowok="t"/>
              </v:shape>
            </v:group>
            <v:group style="position:absolute;left:4837;top:5;width:10;height:2" coordorigin="4837,5" coordsize="10,2">
              <v:shape style="position:absolute;left:4837;top:5;width:10;height:2" coordorigin="4837,5" coordsize="10,0" path="m4837,5l4847,5e" filled="false" stroked="true" strokeweight=".48001pt" strokecolor="#000000">
                <v:path arrowok="t"/>
              </v:shape>
            </v:group>
            <v:group style="position:absolute;left:4847;top:5;width:2497;height:2" coordorigin="4847,5" coordsize="2497,2">
              <v:shape style="position:absolute;left:4847;top:5;width:2497;height:2" coordorigin="4847,5" coordsize="2497,0" path="m4847,5l7343,5e" filled="false" stroked="true" strokeweight=".48001pt" strokecolor="#000000">
                <v:path arrowok="t"/>
              </v:shape>
            </v:group>
            <v:group style="position:absolute;left:7343;top:5;width:10;height:2" coordorigin="7343,5" coordsize="10,2">
              <v:shape style="position:absolute;left:7343;top:5;width:10;height:2" coordorigin="7343,5" coordsize="10,0" path="m7343,5l7353,5e" filled="false" stroked="true" strokeweight=".48001pt" strokecolor="#000000">
                <v:path arrowok="t"/>
              </v:shape>
            </v:group>
            <v:group style="position:absolute;left:7353;top:5;width:1950;height:2" coordorigin="7353,5" coordsize="1950,2">
              <v:shape style="position:absolute;left:7353;top:5;width:1950;height:2" coordorigin="7353,5" coordsize="1950,0" path="m7353,5l9302,5e" filled="false" stroked="true" strokeweight=".48001pt" strokecolor="#000000">
                <v:path arrowok="t"/>
              </v:shape>
            </v:group>
          </v:group>
        </w:pict>
      </w:r>
      <w:r>
        <w:rPr>
          <w:rFonts w:ascii="宋体" w:hAnsi="宋体" w:cs="宋体" w:eastAsia="宋体" w:hint="default"/>
          <w:sz w:val="2"/>
          <w:szCs w:val="2"/>
        </w:rPr>
      </w:r>
    </w:p>
    <w:p>
      <w:pPr>
        <w:tabs>
          <w:tab w:pos="3047" w:val="left" w:leader="none"/>
          <w:tab w:pos="5538" w:val="left" w:leader="none"/>
          <w:tab w:pos="7841" w:val="left" w:leader="none"/>
        </w:tabs>
        <w:spacing w:line="304" w:lineRule="exact" w:before="80"/>
        <w:ind w:left="502" w:right="0" w:firstLine="0"/>
        <w:jc w:val="left"/>
        <w:rPr>
          <w:rFonts w:ascii="宋体" w:hAnsi="宋体" w:cs="宋体" w:eastAsia="宋体" w:hint="default"/>
          <w:sz w:val="21"/>
          <w:szCs w:val="21"/>
        </w:rPr>
      </w:pPr>
      <w:r>
        <w:rPr>
          <w:rFonts w:ascii="宋体" w:hAnsi="宋体" w:cs="宋体" w:eastAsia="宋体" w:hint="default"/>
          <w:spacing w:val="-2"/>
          <w:sz w:val="21"/>
          <w:szCs w:val="21"/>
        </w:rPr>
        <w:t>超图国际有限公司</w:t>
        <w:tab/>
      </w:r>
      <w:r>
        <w:rPr>
          <w:rFonts w:ascii="Arial Narrow" w:hAnsi="Arial Narrow" w:cs="Arial Narrow" w:eastAsia="Arial Narrow" w:hint="default"/>
          <w:sz w:val="21"/>
          <w:szCs w:val="21"/>
        </w:rPr>
        <w:t>1 </w:t>
      </w:r>
      <w:r>
        <w:rPr>
          <w:rFonts w:ascii="宋体" w:hAnsi="宋体" w:cs="宋体" w:eastAsia="宋体" w:hint="default"/>
          <w:spacing w:val="-1"/>
          <w:sz w:val="21"/>
          <w:szCs w:val="21"/>
        </w:rPr>
        <w:t>港元</w:t>
      </w:r>
      <w:r>
        <w:rPr>
          <w:rFonts w:ascii="Arial Narrow" w:hAnsi="Arial Narrow" w:cs="Arial Narrow" w:eastAsia="Arial Narrow" w:hint="default"/>
          <w:spacing w:val="-1"/>
          <w:sz w:val="21"/>
          <w:szCs w:val="21"/>
        </w:rPr>
        <w:t>=0.8107</w:t>
      </w:r>
      <w:r>
        <w:rPr>
          <w:rFonts w:ascii="Arial Narrow" w:hAnsi="Arial Narrow" w:cs="Arial Narrow" w:eastAsia="Arial Narrow" w:hint="default"/>
          <w:spacing w:val="22"/>
          <w:sz w:val="21"/>
          <w:szCs w:val="21"/>
        </w:rPr>
        <w:t> </w:t>
      </w:r>
      <w:r>
        <w:rPr>
          <w:rFonts w:ascii="宋体" w:hAnsi="宋体" w:cs="宋体" w:eastAsia="宋体" w:hint="default"/>
          <w:spacing w:val="-1"/>
          <w:sz w:val="21"/>
          <w:szCs w:val="21"/>
        </w:rPr>
        <w:t>人民币</w:t>
        <w:tab/>
      </w:r>
      <w:r>
        <w:rPr>
          <w:rFonts w:ascii="Arial Narrow" w:hAnsi="Arial Narrow" w:cs="Arial Narrow" w:eastAsia="Arial Narrow" w:hint="default"/>
          <w:sz w:val="21"/>
          <w:szCs w:val="21"/>
        </w:rPr>
        <w:t>1 </w:t>
      </w:r>
      <w:r>
        <w:rPr>
          <w:rFonts w:ascii="宋体" w:hAnsi="宋体" w:cs="宋体" w:eastAsia="宋体" w:hint="default"/>
          <w:spacing w:val="-1"/>
          <w:sz w:val="21"/>
          <w:szCs w:val="21"/>
        </w:rPr>
        <w:t>港元</w:t>
      </w:r>
      <w:r>
        <w:rPr>
          <w:rFonts w:ascii="Arial Narrow" w:hAnsi="Arial Narrow" w:cs="Arial Narrow" w:eastAsia="Arial Narrow" w:hint="default"/>
          <w:spacing w:val="-1"/>
          <w:sz w:val="21"/>
          <w:szCs w:val="21"/>
        </w:rPr>
        <w:t>=0.8509</w:t>
      </w:r>
      <w:r>
        <w:rPr>
          <w:rFonts w:ascii="Arial Narrow" w:hAnsi="Arial Narrow" w:cs="Arial Narrow" w:eastAsia="Arial Narrow" w:hint="default"/>
          <w:spacing w:val="22"/>
          <w:sz w:val="21"/>
          <w:szCs w:val="21"/>
        </w:rPr>
        <w:t> </w:t>
      </w:r>
      <w:r>
        <w:rPr>
          <w:rFonts w:ascii="宋体" w:hAnsi="宋体" w:cs="宋体" w:eastAsia="宋体" w:hint="default"/>
          <w:spacing w:val="-1"/>
          <w:sz w:val="21"/>
          <w:szCs w:val="21"/>
        </w:rPr>
        <w:t>人民币</w:t>
        <w:tab/>
      </w:r>
      <w:r>
        <w:rPr>
          <w:rFonts w:ascii="宋体" w:hAnsi="宋体" w:cs="宋体" w:eastAsia="宋体" w:hint="default"/>
          <w:spacing w:val="5"/>
          <w:position w:val="5"/>
          <w:sz w:val="21"/>
          <w:szCs w:val="21"/>
        </w:rPr>
        <w:t>交易发生日即期汇</w:t>
      </w:r>
      <w:r>
        <w:rPr>
          <w:rFonts w:ascii="宋体" w:hAnsi="宋体" w:cs="宋体" w:eastAsia="宋体" w:hint="default"/>
          <w:spacing w:val="5"/>
          <w:sz w:val="21"/>
          <w:szCs w:val="21"/>
        </w:rPr>
      </w:r>
    </w:p>
    <w:p>
      <w:pPr>
        <w:spacing w:line="239" w:lineRule="exact" w:before="0"/>
        <w:ind w:left="7841" w:right="0" w:firstLine="0"/>
        <w:jc w:val="left"/>
        <w:rPr>
          <w:rFonts w:ascii="宋体" w:hAnsi="宋体" w:cs="宋体" w:eastAsia="宋体" w:hint="default"/>
          <w:sz w:val="21"/>
          <w:szCs w:val="21"/>
        </w:rPr>
      </w:pPr>
      <w:r>
        <w:rPr>
          <w:rFonts w:ascii="宋体" w:hAnsi="宋体" w:cs="宋体" w:eastAsia="宋体" w:hint="default"/>
          <w:sz w:val="21"/>
          <w:szCs w:val="21"/>
        </w:rPr>
        <w:t>率的近似汇率</w:t>
      </w:r>
    </w:p>
    <w:p>
      <w:pPr>
        <w:tabs>
          <w:tab w:pos="3054" w:val="left" w:leader="none"/>
          <w:tab w:pos="5538" w:val="left" w:leader="none"/>
          <w:tab w:pos="7841" w:val="left" w:leader="none"/>
        </w:tabs>
        <w:spacing w:line="313" w:lineRule="exact" w:before="176"/>
        <w:ind w:left="502" w:right="0" w:firstLine="0"/>
        <w:jc w:val="left"/>
        <w:rPr>
          <w:rFonts w:ascii="宋体" w:hAnsi="宋体" w:cs="宋体" w:eastAsia="宋体" w:hint="default"/>
          <w:sz w:val="21"/>
          <w:szCs w:val="21"/>
        </w:rPr>
      </w:pPr>
      <w:r>
        <w:rPr>
          <w:rFonts w:ascii="宋体" w:hAnsi="宋体" w:cs="宋体" w:eastAsia="宋体" w:hint="default"/>
          <w:spacing w:val="-2"/>
          <w:sz w:val="21"/>
          <w:szCs w:val="21"/>
        </w:rPr>
        <w:t>日本超图株式会社</w:t>
        <w:tab/>
      </w:r>
      <w:r>
        <w:rPr>
          <w:rFonts w:ascii="Arial Narrow" w:hAnsi="Arial Narrow" w:cs="Arial Narrow" w:eastAsia="Arial Narrow" w:hint="default"/>
          <w:sz w:val="21"/>
          <w:szCs w:val="21"/>
        </w:rPr>
        <w:t>1 </w:t>
      </w:r>
      <w:r>
        <w:rPr>
          <w:rFonts w:ascii="宋体" w:hAnsi="宋体" w:cs="宋体" w:eastAsia="宋体" w:hint="default"/>
          <w:spacing w:val="-2"/>
          <w:sz w:val="21"/>
          <w:szCs w:val="21"/>
        </w:rPr>
        <w:t>日元</w:t>
      </w:r>
      <w:r>
        <w:rPr>
          <w:rFonts w:ascii="Arial Narrow" w:hAnsi="Arial Narrow" w:cs="Arial Narrow" w:eastAsia="Arial Narrow" w:hint="default"/>
          <w:spacing w:val="-2"/>
          <w:sz w:val="21"/>
          <w:szCs w:val="21"/>
        </w:rPr>
        <w:t>=0.0811</w:t>
      </w:r>
      <w:r>
        <w:rPr>
          <w:rFonts w:ascii="Arial Narrow" w:hAnsi="Arial Narrow" w:cs="Arial Narrow" w:eastAsia="Arial Narrow" w:hint="default"/>
          <w:spacing w:val="17"/>
          <w:sz w:val="21"/>
          <w:szCs w:val="21"/>
        </w:rPr>
        <w:t> </w:t>
      </w:r>
      <w:r>
        <w:rPr>
          <w:rFonts w:ascii="宋体" w:hAnsi="宋体" w:cs="宋体" w:eastAsia="宋体" w:hint="default"/>
          <w:spacing w:val="-1"/>
          <w:sz w:val="21"/>
          <w:szCs w:val="21"/>
        </w:rPr>
        <w:t>人民币</w:t>
        <w:tab/>
      </w:r>
      <w:r>
        <w:rPr>
          <w:rFonts w:ascii="Arial Narrow" w:hAnsi="Arial Narrow" w:cs="Arial Narrow" w:eastAsia="Arial Narrow" w:hint="default"/>
          <w:sz w:val="21"/>
          <w:szCs w:val="21"/>
        </w:rPr>
        <w:t>1 </w:t>
      </w:r>
      <w:r>
        <w:rPr>
          <w:rFonts w:ascii="宋体" w:hAnsi="宋体" w:cs="宋体" w:eastAsia="宋体" w:hint="default"/>
          <w:spacing w:val="-1"/>
          <w:sz w:val="21"/>
          <w:szCs w:val="21"/>
        </w:rPr>
        <w:t>日元</w:t>
      </w:r>
      <w:r>
        <w:rPr>
          <w:rFonts w:ascii="Arial Narrow" w:hAnsi="Arial Narrow" w:cs="Arial Narrow" w:eastAsia="Arial Narrow" w:hint="default"/>
          <w:spacing w:val="-1"/>
          <w:sz w:val="21"/>
          <w:szCs w:val="21"/>
        </w:rPr>
        <w:t>=0.0813</w:t>
      </w:r>
      <w:r>
        <w:rPr>
          <w:rFonts w:ascii="Arial Narrow" w:hAnsi="Arial Narrow" w:cs="Arial Narrow" w:eastAsia="Arial Narrow" w:hint="default"/>
          <w:spacing w:val="22"/>
          <w:sz w:val="21"/>
          <w:szCs w:val="21"/>
        </w:rPr>
        <w:t> </w:t>
      </w:r>
      <w:r>
        <w:rPr>
          <w:rFonts w:ascii="宋体" w:hAnsi="宋体" w:cs="宋体" w:eastAsia="宋体" w:hint="default"/>
          <w:spacing w:val="-1"/>
          <w:sz w:val="21"/>
          <w:szCs w:val="21"/>
        </w:rPr>
        <w:t>人民币</w:t>
        <w:tab/>
      </w:r>
      <w:r>
        <w:rPr>
          <w:rFonts w:ascii="宋体" w:hAnsi="宋体" w:cs="宋体" w:eastAsia="宋体" w:hint="default"/>
          <w:spacing w:val="5"/>
          <w:position w:val="7"/>
          <w:sz w:val="21"/>
          <w:szCs w:val="21"/>
        </w:rPr>
        <w:t>交易发生日即期汇</w:t>
      </w:r>
      <w:r>
        <w:rPr>
          <w:rFonts w:ascii="宋体" w:hAnsi="宋体" w:cs="宋体" w:eastAsia="宋体" w:hint="default"/>
          <w:spacing w:val="5"/>
          <w:sz w:val="21"/>
          <w:szCs w:val="21"/>
        </w:rPr>
      </w:r>
    </w:p>
    <w:p>
      <w:pPr>
        <w:spacing w:line="228" w:lineRule="exact" w:before="0"/>
        <w:ind w:left="0" w:right="733" w:firstLine="0"/>
        <w:jc w:val="right"/>
        <w:rPr>
          <w:rFonts w:ascii="宋体" w:hAnsi="宋体" w:cs="宋体" w:eastAsia="宋体" w:hint="default"/>
          <w:sz w:val="21"/>
          <w:szCs w:val="21"/>
        </w:rPr>
      </w:pPr>
      <w:r>
        <w:rPr>
          <w:rFonts w:ascii="宋体" w:hAnsi="宋体" w:cs="宋体" w:eastAsia="宋体" w:hint="default"/>
          <w:spacing w:val="-1"/>
          <w:sz w:val="21"/>
          <w:szCs w:val="21"/>
        </w:rPr>
        <w:t>率的近似汇率</w:t>
      </w:r>
    </w:p>
    <w:p>
      <w:pPr>
        <w:spacing w:line="240" w:lineRule="auto" w:before="9"/>
        <w:rPr>
          <w:rFonts w:ascii="宋体" w:hAnsi="宋体" w:cs="宋体" w:eastAsia="宋体" w:hint="default"/>
          <w:sz w:val="9"/>
          <w:szCs w:val="9"/>
        </w:rPr>
      </w:pPr>
    </w:p>
    <w:p>
      <w:pPr>
        <w:spacing w:line="20" w:lineRule="exact"/>
        <w:ind w:left="375" w:right="0" w:firstLine="0"/>
        <w:rPr>
          <w:rFonts w:ascii="宋体" w:hAnsi="宋体" w:cs="宋体" w:eastAsia="宋体" w:hint="default"/>
          <w:sz w:val="2"/>
          <w:szCs w:val="2"/>
        </w:rPr>
      </w:pPr>
      <w:r>
        <w:rPr>
          <w:rFonts w:ascii="宋体" w:hAnsi="宋体" w:cs="宋体" w:eastAsia="宋体" w:hint="default"/>
          <w:sz w:val="2"/>
          <w:szCs w:val="2"/>
        </w:rPr>
        <w:pict>
          <v:group style="width:466.1pt;height:.5pt;mso-position-horizontal-relative:char;mso-position-vertical-relative:line" coordorigin="0,0" coordsize="9322,10">
            <v:group style="position:absolute;left:5;top:5;width:2370;height:2" coordorigin="5,5" coordsize="2370,2">
              <v:shape style="position:absolute;left:5;top:5;width:2370;height:2" coordorigin="5,5" coordsize="2370,0" path="m5,5l2374,5e" filled="false" stroked="true" strokeweight=".47998pt" strokecolor="#000000">
                <v:path arrowok="t"/>
              </v:shape>
            </v:group>
            <v:group style="position:absolute;left:2360;top:5;width:10;height:2" coordorigin="2360,5" coordsize="10,2">
              <v:shape style="position:absolute;left:2360;top:5;width:10;height:2" coordorigin="2360,5" coordsize="10,0" path="m2360,5l2369,5e" filled="false" stroked="true" strokeweight=".47998pt" strokecolor="#000000">
                <v:path arrowok="t"/>
              </v:shape>
            </v:group>
            <v:group style="position:absolute;left:2369;top:5;width:2482;height:2" coordorigin="2369,5" coordsize="2482,2">
              <v:shape style="position:absolute;left:2369;top:5;width:2482;height:2" coordorigin="2369,5" coordsize="2482,0" path="m2369,5l4851,5e" filled="false" stroked="true" strokeweight=".47998pt" strokecolor="#000000">
                <v:path arrowok="t"/>
              </v:shape>
            </v:group>
            <v:group style="position:absolute;left:4837;top:5;width:10;height:2" coordorigin="4837,5" coordsize="10,2">
              <v:shape style="position:absolute;left:4837;top:5;width:10;height:2" coordorigin="4837,5" coordsize="10,0" path="m4837,5l4847,5e" filled="false" stroked="true" strokeweight=".47998pt" strokecolor="#000000">
                <v:path arrowok="t"/>
              </v:shape>
            </v:group>
            <v:group style="position:absolute;left:4847;top:5;width:2511;height:2" coordorigin="4847,5" coordsize="2511,2">
              <v:shape style="position:absolute;left:4847;top:5;width:2511;height:2" coordorigin="4847,5" coordsize="2511,0" path="m4847,5l7357,5e" filled="false" stroked="true" strokeweight=".47998pt" strokecolor="#000000">
                <v:path arrowok="t"/>
              </v:shape>
            </v:group>
            <v:group style="position:absolute;left:7343;top:5;width:10;height:2" coordorigin="7343,5" coordsize="10,2">
              <v:shape style="position:absolute;left:7343;top:5;width:10;height:2" coordorigin="7343,5" coordsize="10,0" path="m7343,5l7353,5e" filled="false" stroked="true" strokeweight=".47998pt" strokecolor="#000000">
                <v:path arrowok="t"/>
              </v:shape>
            </v:group>
            <v:group style="position:absolute;left:7353;top:5;width:1964;height:2" coordorigin="7353,5" coordsize="1964,2">
              <v:shape style="position:absolute;left:7353;top:5;width:1964;height:2" coordorigin="7353,5" coordsize="1964,0" path="m7353,5l9316,5e" filled="false" stroked="true" strokeweight=".47998pt" strokecolor="#000000">
                <v:path arrowok="t"/>
              </v:shape>
            </v:group>
          </v:group>
        </w:pict>
      </w:r>
      <w:r>
        <w:rPr>
          <w:rFonts w:ascii="宋体" w:hAnsi="宋体" w:cs="宋体" w:eastAsia="宋体" w:hint="default"/>
          <w:sz w:val="2"/>
          <w:szCs w:val="2"/>
        </w:rPr>
      </w:r>
    </w:p>
    <w:p>
      <w:pPr>
        <w:pStyle w:val="Heading5"/>
        <w:spacing w:line="240" w:lineRule="auto" w:before="70"/>
        <w:ind w:left="109" w:right="0"/>
        <w:jc w:val="left"/>
        <w:rPr>
          <w:b w:val="0"/>
          <w:bCs w:val="0"/>
        </w:rPr>
      </w:pPr>
      <w:r>
        <w:rPr/>
        <w:t>五、合并财务报表项目注释</w:t>
      </w:r>
      <w:r>
        <w:rPr>
          <w:b w:val="0"/>
          <w:bCs w:val="0"/>
        </w:rPr>
      </w:r>
    </w:p>
    <w:p>
      <w:pPr>
        <w:pStyle w:val="BodyText"/>
        <w:spacing w:line="240" w:lineRule="auto" w:before="214"/>
        <w:ind w:left="102" w:right="0"/>
        <w:jc w:val="left"/>
      </w:pPr>
      <w:r>
        <w:rPr>
          <w:rFonts w:ascii="Arial Narrow" w:hAnsi="Arial Narrow" w:cs="Arial Narrow" w:eastAsia="Arial Narrow" w:hint="default"/>
        </w:rPr>
        <w:t>1</w:t>
      </w:r>
      <w:r>
        <w:rPr/>
        <w:t>、货币资金</w:t>
      </w:r>
    </w:p>
    <w:p>
      <w:pPr>
        <w:spacing w:line="240" w:lineRule="auto" w:before="2"/>
        <w:rPr>
          <w:rFonts w:ascii="宋体" w:hAnsi="宋体" w:cs="宋体" w:eastAsia="宋体" w:hint="default"/>
          <w:sz w:val="18"/>
          <w:szCs w:val="18"/>
        </w:rPr>
      </w:pPr>
    </w:p>
    <w:tbl>
      <w:tblPr>
        <w:tblW w:w="0" w:type="auto"/>
        <w:jc w:val="left"/>
        <w:tblInd w:w="366" w:type="dxa"/>
        <w:tblLayout w:type="fixed"/>
        <w:tblCellMar>
          <w:top w:w="0" w:type="dxa"/>
          <w:left w:w="0" w:type="dxa"/>
          <w:bottom w:w="0" w:type="dxa"/>
          <w:right w:w="0" w:type="dxa"/>
        </w:tblCellMar>
        <w:tblLook w:val="01E0"/>
      </w:tblPr>
      <w:tblGrid>
        <w:gridCol w:w="1608"/>
        <w:gridCol w:w="1431"/>
        <w:gridCol w:w="954"/>
        <w:gridCol w:w="1593"/>
        <w:gridCol w:w="1312"/>
        <w:gridCol w:w="975"/>
        <w:gridCol w:w="1492"/>
      </w:tblGrid>
      <w:tr>
        <w:trPr>
          <w:trHeight w:val="391" w:hRule="exact"/>
        </w:trPr>
        <w:tc>
          <w:tcPr>
            <w:tcW w:w="1608" w:type="dxa"/>
            <w:tcBorders>
              <w:top w:val="single" w:sz="8" w:space="0" w:color="000000"/>
              <w:left w:val="nil" w:sz="6" w:space="0" w:color="auto"/>
              <w:bottom w:val="nil" w:sz="6" w:space="0" w:color="auto"/>
              <w:right w:val="nil" w:sz="6" w:space="0" w:color="auto"/>
            </w:tcBorders>
          </w:tcPr>
          <w:p>
            <w:pPr>
              <w:pStyle w:val="TableParagraph"/>
              <w:tabs>
                <w:tab w:pos="578" w:val="left" w:leader="none"/>
              </w:tabs>
              <w:spacing w:line="240" w:lineRule="auto" w:before="18"/>
              <w:ind w:left="155"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431" w:type="dxa"/>
            <w:tcBorders>
              <w:top w:val="single" w:sz="8" w:space="0" w:color="000000"/>
              <w:left w:val="nil" w:sz="6" w:space="0" w:color="auto"/>
              <w:bottom w:val="nil" w:sz="6" w:space="0" w:color="auto"/>
              <w:right w:val="nil" w:sz="6" w:space="0" w:color="auto"/>
            </w:tcBorders>
          </w:tcPr>
          <w:p>
            <w:pPr/>
          </w:p>
        </w:tc>
        <w:tc>
          <w:tcPr>
            <w:tcW w:w="954"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right="128"/>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593" w:type="dxa"/>
            <w:tcBorders>
              <w:top w:val="single" w:sz="8" w:space="0" w:color="000000"/>
              <w:left w:val="nil" w:sz="6" w:space="0" w:color="auto"/>
              <w:bottom w:val="nil" w:sz="6" w:space="0" w:color="auto"/>
              <w:right w:val="nil" w:sz="6" w:space="0" w:color="auto"/>
            </w:tcBorders>
          </w:tcPr>
          <w:p>
            <w:pPr/>
          </w:p>
        </w:tc>
        <w:tc>
          <w:tcPr>
            <w:tcW w:w="1312" w:type="dxa"/>
            <w:tcBorders>
              <w:top w:val="single" w:sz="8" w:space="0" w:color="000000"/>
              <w:left w:val="nil" w:sz="6" w:space="0" w:color="auto"/>
              <w:bottom w:val="nil" w:sz="6" w:space="0" w:color="auto"/>
              <w:right w:val="nil" w:sz="6" w:space="0" w:color="auto"/>
            </w:tcBorders>
          </w:tcPr>
          <w:p>
            <w:pPr/>
          </w:p>
        </w:tc>
        <w:tc>
          <w:tcPr>
            <w:tcW w:w="975"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right="138"/>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492" w:type="dxa"/>
            <w:tcBorders>
              <w:top w:val="single" w:sz="8" w:space="0" w:color="000000"/>
              <w:left w:val="nil" w:sz="6" w:space="0" w:color="auto"/>
              <w:bottom w:val="nil" w:sz="6" w:space="0" w:color="auto"/>
              <w:right w:val="nil" w:sz="6" w:space="0" w:color="auto"/>
            </w:tcBorders>
          </w:tcPr>
          <w:p>
            <w:pPr/>
          </w:p>
        </w:tc>
      </w:tr>
      <w:tr>
        <w:trPr>
          <w:trHeight w:val="396" w:hRule="exact"/>
        </w:trPr>
        <w:tc>
          <w:tcPr>
            <w:tcW w:w="1608" w:type="dxa"/>
            <w:tcBorders>
              <w:top w:val="nil" w:sz="6" w:space="0" w:color="auto"/>
              <w:left w:val="nil" w:sz="6" w:space="0" w:color="auto"/>
              <w:bottom w:val="single" w:sz="4" w:space="0" w:color="000000"/>
              <w:right w:val="nil" w:sz="6" w:space="0" w:color="auto"/>
            </w:tcBorders>
          </w:tcPr>
          <w:p>
            <w:pPr/>
          </w:p>
        </w:tc>
        <w:tc>
          <w:tcPr>
            <w:tcW w:w="1431"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67"/>
              <w:jc w:val="righ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50"/>
              <w:jc w:val="right"/>
              <w:rPr>
                <w:rFonts w:ascii="宋体" w:hAnsi="宋体" w:cs="宋体" w:eastAsia="宋体" w:hint="default"/>
                <w:sz w:val="21"/>
                <w:szCs w:val="21"/>
              </w:rPr>
            </w:pPr>
            <w:r>
              <w:rPr>
                <w:rFonts w:ascii="宋体" w:hAnsi="宋体" w:cs="宋体" w:eastAsia="宋体" w:hint="default"/>
                <w:b/>
                <w:bCs/>
                <w:sz w:val="21"/>
                <w:szCs w:val="21"/>
              </w:rPr>
              <w:t>折算率</w:t>
            </w:r>
            <w:r>
              <w:rPr>
                <w:rFonts w:ascii="宋体" w:hAnsi="宋体" w:cs="宋体" w:eastAsia="宋体" w:hint="default"/>
                <w:sz w:val="21"/>
                <w:szCs w:val="21"/>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260"/>
              <w:jc w:val="right"/>
              <w:rPr>
                <w:rFonts w:ascii="宋体" w:hAnsi="宋体" w:cs="宋体" w:eastAsia="宋体" w:hint="default"/>
                <w:sz w:val="21"/>
                <w:szCs w:val="21"/>
              </w:rPr>
            </w:pPr>
            <w:r>
              <w:rPr>
                <w:rFonts w:ascii="宋体" w:hAnsi="宋体" w:cs="宋体" w:eastAsia="宋体" w:hint="default"/>
                <w:b/>
                <w:bCs/>
                <w:sz w:val="21"/>
                <w:szCs w:val="21"/>
              </w:rPr>
              <w:t>人民币金额</w:t>
            </w:r>
            <w:r>
              <w:rPr>
                <w:rFonts w:ascii="宋体" w:hAnsi="宋体" w:cs="宋体" w:eastAsia="宋体" w:hint="default"/>
                <w:sz w:val="21"/>
                <w:szCs w:val="21"/>
              </w:rPr>
            </w: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84"/>
              <w:jc w:val="righ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52"/>
              <w:jc w:val="right"/>
              <w:rPr>
                <w:rFonts w:ascii="宋体" w:hAnsi="宋体" w:cs="宋体" w:eastAsia="宋体" w:hint="default"/>
                <w:sz w:val="21"/>
                <w:szCs w:val="21"/>
              </w:rPr>
            </w:pPr>
            <w:r>
              <w:rPr>
                <w:rFonts w:ascii="宋体" w:hAnsi="宋体" w:cs="宋体" w:eastAsia="宋体" w:hint="default"/>
                <w:b/>
                <w:bCs/>
                <w:sz w:val="21"/>
                <w:szCs w:val="21"/>
              </w:rPr>
              <w:t>折算率</w:t>
            </w:r>
            <w:r>
              <w:rPr>
                <w:rFonts w:ascii="宋体" w:hAnsi="宋体" w:cs="宋体" w:eastAsia="宋体" w:hint="default"/>
                <w:sz w:val="21"/>
                <w:szCs w:val="21"/>
              </w:rPr>
            </w: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137"/>
              <w:jc w:val="right"/>
              <w:rPr>
                <w:rFonts w:ascii="宋体" w:hAnsi="宋体" w:cs="宋体" w:eastAsia="宋体" w:hint="default"/>
                <w:sz w:val="21"/>
                <w:szCs w:val="21"/>
              </w:rPr>
            </w:pPr>
            <w:r>
              <w:rPr>
                <w:rFonts w:ascii="宋体" w:hAnsi="宋体" w:cs="宋体" w:eastAsia="宋体" w:hint="default"/>
                <w:b/>
                <w:bCs/>
                <w:sz w:val="21"/>
                <w:szCs w:val="21"/>
              </w:rPr>
              <w:t>人民币金额</w:t>
            </w:r>
            <w:r>
              <w:rPr>
                <w:rFonts w:ascii="宋体" w:hAnsi="宋体" w:cs="宋体" w:eastAsia="宋体" w:hint="default"/>
                <w:sz w:val="21"/>
                <w:szCs w:val="21"/>
              </w:rPr>
            </w:r>
          </w:p>
        </w:tc>
      </w:tr>
      <w:tr>
        <w:trPr>
          <w:trHeight w:val="398" w:hRule="exact"/>
        </w:trPr>
        <w:tc>
          <w:tcPr>
            <w:tcW w:w="160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5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66"/>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5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48"/>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60"/>
              <w:jc w:val="right"/>
              <w:rPr>
                <w:rFonts w:ascii="Arial Narrow" w:hAnsi="Arial Narrow" w:cs="Arial Narrow" w:eastAsia="Arial Narrow" w:hint="default"/>
                <w:sz w:val="21"/>
                <w:szCs w:val="21"/>
              </w:rPr>
            </w:pPr>
            <w:r>
              <w:rPr>
                <w:rFonts w:ascii="Arial Narrow"/>
                <w:spacing w:val="-1"/>
                <w:sz w:val="21"/>
              </w:rPr>
              <w:t>52,468.30</w:t>
            </w:r>
            <w:r>
              <w:rPr>
                <w:rFonts w:ascii="Arial Narrow"/>
                <w:sz w:val="21"/>
              </w:rPr>
            </w:r>
          </w:p>
        </w:tc>
        <w:tc>
          <w:tcPr>
            <w:tcW w:w="131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86"/>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7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52"/>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9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38"/>
              <w:jc w:val="right"/>
              <w:rPr>
                <w:rFonts w:ascii="Arial Narrow" w:hAnsi="Arial Narrow" w:cs="Arial Narrow" w:eastAsia="Arial Narrow" w:hint="default"/>
                <w:sz w:val="21"/>
                <w:szCs w:val="21"/>
              </w:rPr>
            </w:pPr>
            <w:r>
              <w:rPr>
                <w:rFonts w:ascii="Arial Narrow"/>
                <w:spacing w:val="-1"/>
                <w:sz w:val="21"/>
              </w:rPr>
              <w:t>43,480.78</w:t>
            </w:r>
            <w:r>
              <w:rPr>
                <w:rFonts w:ascii="Arial Narrow"/>
                <w:sz w:val="21"/>
              </w:rPr>
            </w:r>
          </w:p>
        </w:tc>
      </w:tr>
      <w:tr>
        <w:trPr>
          <w:trHeight w:val="394"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66"/>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48"/>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60"/>
              <w:jc w:val="right"/>
              <w:rPr>
                <w:rFonts w:ascii="Arial Narrow" w:hAnsi="Arial Narrow" w:cs="Arial Narrow" w:eastAsia="Arial Narrow" w:hint="default"/>
                <w:sz w:val="21"/>
                <w:szCs w:val="21"/>
              </w:rPr>
            </w:pPr>
            <w:r>
              <w:rPr>
                <w:rFonts w:ascii="Arial Narrow"/>
                <w:spacing w:val="-1"/>
                <w:sz w:val="21"/>
              </w:rPr>
              <w:t>15,019.05</w:t>
            </w:r>
            <w:r>
              <w:rPr>
                <w:rFonts w:ascii="Arial Narrow"/>
                <w:sz w:val="21"/>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86"/>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2"/>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38"/>
              <w:jc w:val="right"/>
              <w:rPr>
                <w:rFonts w:ascii="Arial Narrow" w:hAnsi="Arial Narrow" w:cs="Arial Narrow" w:eastAsia="Arial Narrow" w:hint="default"/>
                <w:sz w:val="21"/>
                <w:szCs w:val="21"/>
              </w:rPr>
            </w:pPr>
            <w:r>
              <w:rPr>
                <w:rFonts w:ascii="Arial Narrow"/>
                <w:spacing w:val="-1"/>
                <w:sz w:val="21"/>
              </w:rPr>
              <w:t>4,937.23</w:t>
            </w:r>
            <w:r>
              <w:rPr>
                <w:rFonts w:ascii="Arial Narrow"/>
                <w:sz w:val="21"/>
              </w:rPr>
            </w:r>
          </w:p>
        </w:tc>
      </w:tr>
      <w:tr>
        <w:trPr>
          <w:trHeight w:val="399"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1"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8"/>
              <w:jc w:val="right"/>
              <w:rPr>
                <w:rFonts w:ascii="Arial Narrow" w:hAnsi="Arial Narrow" w:cs="Arial Narrow" w:eastAsia="Arial Narrow" w:hint="default"/>
                <w:sz w:val="21"/>
                <w:szCs w:val="21"/>
              </w:rPr>
            </w:pPr>
            <w:r>
              <w:rPr>
                <w:rFonts w:ascii="Arial Narrow"/>
                <w:spacing w:val="-1"/>
                <w:sz w:val="21"/>
              </w:rPr>
              <w:t>72.58</w:t>
            </w:r>
            <w:r>
              <w:rPr>
                <w:rFonts w:ascii="Arial Narrow"/>
                <w:sz w:val="21"/>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8"/>
              <w:jc w:val="right"/>
              <w:rPr>
                <w:rFonts w:ascii="Arial Narrow" w:hAnsi="Arial Narrow" w:cs="Arial Narrow" w:eastAsia="Arial Narrow" w:hint="default"/>
                <w:sz w:val="21"/>
                <w:szCs w:val="21"/>
              </w:rPr>
            </w:pPr>
            <w:r>
              <w:rPr>
                <w:rFonts w:ascii="Arial Narrow"/>
                <w:spacing w:val="-1"/>
                <w:sz w:val="21"/>
              </w:rPr>
              <w:t>6.3009</w:t>
            </w:r>
            <w:r>
              <w:rPr>
                <w:rFonts w:ascii="Arial Narrow"/>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9"/>
              <w:jc w:val="right"/>
              <w:rPr>
                <w:rFonts w:ascii="Arial Narrow" w:hAnsi="Arial Narrow" w:cs="Arial Narrow" w:eastAsia="Arial Narrow" w:hint="default"/>
                <w:sz w:val="21"/>
                <w:szCs w:val="21"/>
              </w:rPr>
            </w:pPr>
            <w:r>
              <w:rPr>
                <w:rFonts w:ascii="Arial Narrow"/>
                <w:spacing w:val="-1"/>
                <w:sz w:val="21"/>
              </w:rPr>
              <w:t>457.32</w:t>
            </w:r>
            <w:r>
              <w:rPr>
                <w:rFonts w:ascii="Arial Narrow"/>
                <w:sz w:val="21"/>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6"/>
              <w:jc w:val="right"/>
              <w:rPr>
                <w:rFonts w:ascii="Arial Narrow" w:hAnsi="Arial Narrow" w:cs="Arial Narrow" w:eastAsia="Arial Narrow" w:hint="default"/>
                <w:sz w:val="21"/>
                <w:szCs w:val="21"/>
              </w:rPr>
            </w:pPr>
            <w:r>
              <w:rPr>
                <w:rFonts w:ascii="Arial Narrow"/>
                <w:spacing w:val="-1"/>
                <w:sz w:val="21"/>
              </w:rPr>
              <w:t>72.59</w:t>
            </w:r>
            <w:r>
              <w:rPr>
                <w:rFonts w:ascii="Arial Narrow"/>
                <w:sz w:val="21"/>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0"/>
              <w:jc w:val="right"/>
              <w:rPr>
                <w:rFonts w:ascii="Arial Narrow" w:hAnsi="Arial Narrow" w:cs="Arial Narrow" w:eastAsia="Arial Narrow" w:hint="default"/>
                <w:sz w:val="21"/>
                <w:szCs w:val="21"/>
              </w:rPr>
            </w:pPr>
            <w:r>
              <w:rPr>
                <w:rFonts w:ascii="Arial Narrow"/>
                <w:spacing w:val="-1"/>
                <w:sz w:val="21"/>
              </w:rPr>
              <w:t>6.6227</w:t>
            </w:r>
            <w:r>
              <w:rPr>
                <w:rFonts w:ascii="Arial Narrow"/>
                <w:sz w:val="21"/>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7"/>
              <w:jc w:val="right"/>
              <w:rPr>
                <w:rFonts w:ascii="Arial Narrow" w:hAnsi="Arial Narrow" w:cs="Arial Narrow" w:eastAsia="Arial Narrow" w:hint="default"/>
                <w:sz w:val="21"/>
                <w:szCs w:val="21"/>
              </w:rPr>
            </w:pPr>
            <w:r>
              <w:rPr>
                <w:rFonts w:ascii="Arial Narrow"/>
                <w:spacing w:val="-1"/>
                <w:sz w:val="21"/>
              </w:rPr>
              <w:t>480.74</w:t>
            </w:r>
            <w:r>
              <w:rPr>
                <w:rFonts w:ascii="Arial Narrow"/>
                <w:sz w:val="21"/>
              </w:rPr>
            </w:r>
          </w:p>
        </w:tc>
      </w:tr>
      <w:tr>
        <w:trPr>
          <w:trHeight w:val="39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1"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6"/>
              <w:jc w:val="right"/>
              <w:rPr>
                <w:rFonts w:ascii="Arial Narrow" w:hAnsi="Arial Narrow" w:cs="Arial Narrow" w:eastAsia="Arial Narrow" w:hint="default"/>
                <w:sz w:val="21"/>
                <w:szCs w:val="21"/>
              </w:rPr>
            </w:pPr>
            <w:r>
              <w:rPr>
                <w:rFonts w:ascii="Arial Narrow"/>
                <w:spacing w:val="-1"/>
                <w:sz w:val="21"/>
              </w:rPr>
              <w:t>12,600.00</w:t>
            </w:r>
            <w:r>
              <w:rPr>
                <w:rFonts w:ascii="Arial Narrow"/>
                <w:sz w:val="21"/>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8"/>
              <w:jc w:val="right"/>
              <w:rPr>
                <w:rFonts w:ascii="Arial Narrow" w:hAnsi="Arial Narrow" w:cs="Arial Narrow" w:eastAsia="Arial Narrow" w:hint="default"/>
                <w:sz w:val="21"/>
                <w:szCs w:val="21"/>
              </w:rPr>
            </w:pPr>
            <w:r>
              <w:rPr>
                <w:rFonts w:ascii="Arial Narrow"/>
                <w:spacing w:val="-1"/>
                <w:sz w:val="21"/>
              </w:rPr>
              <w:t>0.8107</w:t>
            </w:r>
            <w:r>
              <w:rPr>
                <w:rFonts w:ascii="Arial Narrow"/>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0"/>
              <w:jc w:val="right"/>
              <w:rPr>
                <w:rFonts w:ascii="Arial Narrow" w:hAnsi="Arial Narrow" w:cs="Arial Narrow" w:eastAsia="Arial Narrow" w:hint="default"/>
                <w:sz w:val="21"/>
                <w:szCs w:val="21"/>
              </w:rPr>
            </w:pPr>
            <w:r>
              <w:rPr>
                <w:rFonts w:ascii="Arial Narrow"/>
                <w:spacing w:val="-1"/>
                <w:sz w:val="21"/>
              </w:rPr>
              <w:t>10,214.82</w:t>
            </w:r>
            <w:r>
              <w:rPr>
                <w:rFonts w:ascii="Arial Narrow"/>
                <w:sz w:val="21"/>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4"/>
              <w:jc w:val="right"/>
              <w:rPr>
                <w:rFonts w:ascii="Arial Narrow" w:hAnsi="Arial Narrow" w:cs="Arial Narrow" w:eastAsia="Arial Narrow" w:hint="default"/>
                <w:sz w:val="21"/>
                <w:szCs w:val="21"/>
              </w:rPr>
            </w:pPr>
            <w:r>
              <w:rPr>
                <w:rFonts w:ascii="Arial Narrow"/>
                <w:spacing w:val="-1"/>
                <w:sz w:val="21"/>
              </w:rPr>
              <w:t>12,600.00</w:t>
            </w:r>
            <w:r>
              <w:rPr>
                <w:rFonts w:ascii="Arial Narrow"/>
                <w:sz w:val="21"/>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0"/>
              <w:jc w:val="right"/>
              <w:rPr>
                <w:rFonts w:ascii="Arial Narrow" w:hAnsi="Arial Narrow" w:cs="Arial Narrow" w:eastAsia="Arial Narrow" w:hint="default"/>
                <w:sz w:val="21"/>
                <w:szCs w:val="21"/>
              </w:rPr>
            </w:pPr>
            <w:r>
              <w:rPr>
                <w:rFonts w:ascii="Arial Narrow"/>
                <w:spacing w:val="-1"/>
                <w:sz w:val="21"/>
              </w:rPr>
              <w:t>0.8509</w:t>
            </w:r>
            <w:r>
              <w:rPr>
                <w:rFonts w:ascii="Arial Narrow"/>
                <w:sz w:val="21"/>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8"/>
              <w:jc w:val="right"/>
              <w:rPr>
                <w:rFonts w:ascii="Arial Narrow" w:hAnsi="Arial Narrow" w:cs="Arial Narrow" w:eastAsia="Arial Narrow" w:hint="default"/>
                <w:sz w:val="21"/>
                <w:szCs w:val="21"/>
              </w:rPr>
            </w:pPr>
            <w:r>
              <w:rPr>
                <w:rFonts w:ascii="Arial Narrow"/>
                <w:spacing w:val="-1"/>
                <w:sz w:val="21"/>
              </w:rPr>
              <w:t>10,721.34</w:t>
            </w:r>
            <w:r>
              <w:rPr>
                <w:rFonts w:ascii="Arial Narrow"/>
                <w:sz w:val="21"/>
              </w:rPr>
            </w:r>
          </w:p>
        </w:tc>
      </w:tr>
      <w:tr>
        <w:trPr>
          <w:trHeight w:val="398"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1"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6"/>
              <w:jc w:val="right"/>
              <w:rPr>
                <w:rFonts w:ascii="Arial Narrow" w:hAnsi="Arial Narrow" w:cs="Arial Narrow" w:eastAsia="Arial Narrow" w:hint="default"/>
                <w:sz w:val="21"/>
                <w:szCs w:val="21"/>
              </w:rPr>
            </w:pPr>
            <w:r>
              <w:rPr>
                <w:rFonts w:ascii="Arial Narrow"/>
                <w:spacing w:val="-1"/>
                <w:sz w:val="21"/>
              </w:rPr>
              <w:t>330,174.00</w:t>
            </w:r>
            <w:r>
              <w:rPr>
                <w:rFonts w:ascii="Arial Narrow"/>
                <w:sz w:val="21"/>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47"/>
              <w:jc w:val="right"/>
              <w:rPr>
                <w:rFonts w:ascii="Arial Narrow" w:hAnsi="Arial Narrow" w:cs="Arial Narrow" w:eastAsia="Arial Narrow" w:hint="default"/>
                <w:sz w:val="21"/>
                <w:szCs w:val="21"/>
              </w:rPr>
            </w:pPr>
            <w:r>
              <w:rPr>
                <w:rFonts w:ascii="Arial Narrow"/>
                <w:spacing w:val="-3"/>
                <w:sz w:val="21"/>
              </w:rPr>
              <w:t>0.0811</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59"/>
              <w:jc w:val="right"/>
              <w:rPr>
                <w:rFonts w:ascii="Arial Narrow" w:hAnsi="Arial Narrow" w:cs="Arial Narrow" w:eastAsia="Arial Narrow" w:hint="default"/>
                <w:sz w:val="21"/>
                <w:szCs w:val="21"/>
              </w:rPr>
            </w:pPr>
            <w:r>
              <w:rPr>
                <w:rFonts w:ascii="Arial Narrow"/>
                <w:spacing w:val="-3"/>
                <w:sz w:val="21"/>
              </w:rPr>
              <w:t>26,777.11</w:t>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84"/>
              <w:jc w:val="right"/>
              <w:rPr>
                <w:rFonts w:ascii="Arial Narrow" w:hAnsi="Arial Narrow" w:cs="Arial Narrow" w:eastAsia="Arial Narrow" w:hint="default"/>
                <w:sz w:val="21"/>
                <w:szCs w:val="21"/>
              </w:rPr>
            </w:pPr>
            <w:r>
              <w:rPr>
                <w:rFonts w:ascii="Arial Narrow"/>
                <w:spacing w:val="-1"/>
                <w:sz w:val="21"/>
              </w:rPr>
              <w:t>336,303.44</w:t>
            </w:r>
            <w:r>
              <w:rPr>
                <w:rFonts w:ascii="Arial Narrow"/>
                <w:sz w:val="21"/>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0"/>
              <w:jc w:val="right"/>
              <w:rPr>
                <w:rFonts w:ascii="Arial Narrow" w:hAnsi="Arial Narrow" w:cs="Arial Narrow" w:eastAsia="Arial Narrow" w:hint="default"/>
                <w:sz w:val="21"/>
                <w:szCs w:val="21"/>
              </w:rPr>
            </w:pPr>
            <w:r>
              <w:rPr>
                <w:rFonts w:ascii="Arial Narrow"/>
                <w:spacing w:val="-1"/>
                <w:sz w:val="21"/>
              </w:rPr>
              <w:t>0.0813</w:t>
            </w:r>
            <w:r>
              <w:rPr>
                <w:rFonts w:ascii="Arial Narrow"/>
                <w:sz w:val="21"/>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8"/>
              <w:jc w:val="right"/>
              <w:rPr>
                <w:rFonts w:ascii="Arial Narrow" w:hAnsi="Arial Narrow" w:cs="Arial Narrow" w:eastAsia="Arial Narrow" w:hint="default"/>
                <w:sz w:val="21"/>
                <w:szCs w:val="21"/>
              </w:rPr>
            </w:pPr>
            <w:r>
              <w:rPr>
                <w:rFonts w:ascii="Arial Narrow"/>
                <w:spacing w:val="-1"/>
                <w:sz w:val="21"/>
              </w:rPr>
              <w:t>27,341.47</w:t>
            </w:r>
            <w:r>
              <w:rPr>
                <w:rFonts w:ascii="Arial Narrow"/>
                <w:sz w:val="21"/>
              </w:rPr>
            </w:r>
          </w:p>
        </w:tc>
      </w:tr>
      <w:tr>
        <w:trPr>
          <w:trHeight w:val="396"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43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6"/>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0"/>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0"/>
              <w:jc w:val="right"/>
              <w:rPr>
                <w:rFonts w:ascii="Arial Narrow" w:hAnsi="Arial Narrow" w:cs="Arial Narrow" w:eastAsia="Arial Narrow" w:hint="default"/>
                <w:sz w:val="21"/>
                <w:szCs w:val="21"/>
              </w:rPr>
            </w:pPr>
            <w:r>
              <w:rPr>
                <w:rFonts w:ascii="Arial Narrow"/>
                <w:spacing w:val="-1"/>
                <w:sz w:val="21"/>
              </w:rPr>
              <w:t>372,194,678.50</w:t>
            </w:r>
            <w:r>
              <w:rPr>
                <w:rFonts w:ascii="Arial Narrow"/>
                <w:sz w:val="21"/>
              </w:rPr>
            </w:r>
          </w:p>
        </w:tc>
        <w:tc>
          <w:tcPr>
            <w:tcW w:w="13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6"/>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2"/>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6"/>
              <w:jc w:val="right"/>
              <w:rPr>
                <w:rFonts w:ascii="Arial Narrow" w:hAnsi="Arial Narrow" w:cs="Arial Narrow" w:eastAsia="Arial Narrow" w:hint="default"/>
                <w:sz w:val="21"/>
                <w:szCs w:val="21"/>
              </w:rPr>
            </w:pPr>
            <w:r>
              <w:rPr>
                <w:rFonts w:ascii="Arial Narrow"/>
                <w:spacing w:val="-2"/>
                <w:sz w:val="21"/>
              </w:rPr>
              <w:t>386,115,467.59</w:t>
            </w:r>
          </w:p>
        </w:tc>
      </w:tr>
      <w:tr>
        <w:trPr>
          <w:trHeight w:val="401" w:hRule="exact"/>
        </w:trPr>
        <w:tc>
          <w:tcPr>
            <w:tcW w:w="160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61"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31"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68"/>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5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50"/>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260"/>
              <w:jc w:val="right"/>
              <w:rPr>
                <w:rFonts w:ascii="Arial Narrow" w:hAnsi="Arial Narrow" w:cs="Arial Narrow" w:eastAsia="Arial Narrow" w:hint="default"/>
                <w:sz w:val="21"/>
                <w:szCs w:val="21"/>
              </w:rPr>
            </w:pPr>
            <w:r>
              <w:rPr>
                <w:rFonts w:ascii="Arial Narrow"/>
                <w:spacing w:val="-1"/>
                <w:sz w:val="21"/>
              </w:rPr>
              <w:t>363,791,730.78</w:t>
            </w:r>
            <w:r>
              <w:rPr>
                <w:rFonts w:ascii="Arial Narrow"/>
                <w:sz w:val="21"/>
              </w:rPr>
            </w:r>
          </w:p>
        </w:tc>
        <w:tc>
          <w:tcPr>
            <w:tcW w:w="131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86"/>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52"/>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9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37"/>
              <w:jc w:val="right"/>
              <w:rPr>
                <w:rFonts w:ascii="Arial Narrow" w:hAnsi="Arial Narrow" w:cs="Arial Narrow" w:eastAsia="Arial Narrow" w:hint="default"/>
                <w:sz w:val="21"/>
                <w:szCs w:val="21"/>
              </w:rPr>
            </w:pPr>
            <w:r>
              <w:rPr>
                <w:rFonts w:ascii="Arial Narrow"/>
                <w:spacing w:val="-1"/>
                <w:sz w:val="21"/>
              </w:rPr>
              <w:t>379,240,479.66</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00" w:h="16850"/>
          <w:pgMar w:top="440" w:bottom="280" w:left="1180" w:right="880"/>
        </w:sectPr>
      </w:pPr>
    </w:p>
    <w:p>
      <w:pPr>
        <w:spacing w:line="240" w:lineRule="auto" w:before="3"/>
        <w:rPr>
          <w:rFonts w:ascii="宋体" w:hAnsi="宋体" w:cs="宋体" w:eastAsia="宋体" w:hint="default"/>
          <w:sz w:val="5"/>
          <w:szCs w:val="5"/>
        </w:rPr>
      </w:pPr>
      <w:r>
        <w:rPr/>
        <w:pict>
          <v:group style="position:absolute;margin-left:62.664001pt;margin-top:85.93998pt;width:477.25pt;height:.1pt;mso-position-horizontal-relative:page;mso-position-vertical-relative:page;z-index:-765376" coordorigin="1253,1719" coordsize="9545,2">
            <v:shape style="position:absolute;left:1253;top:1719;width:9545;height:2" coordorigin="1253,1719" coordsize="9545,0" path="m1253,1719l10798,1719e" filled="false" stroked="true" strokeweight=".72pt" strokecolor="#000000">
              <v:path arrowok="t"/>
            </v:shape>
            <w10:wrap type="none"/>
          </v:group>
        </w:pict>
      </w:r>
    </w:p>
    <w:tbl>
      <w:tblPr>
        <w:tblW w:w="0" w:type="auto"/>
        <w:jc w:val="left"/>
        <w:tblInd w:w="420" w:type="dxa"/>
        <w:tblLayout w:type="fixed"/>
        <w:tblCellMar>
          <w:top w:w="0" w:type="dxa"/>
          <w:left w:w="0" w:type="dxa"/>
          <w:bottom w:w="0" w:type="dxa"/>
          <w:right w:w="0" w:type="dxa"/>
        </w:tblCellMar>
        <w:tblLook w:val="01E0"/>
      </w:tblPr>
      <w:tblGrid>
        <w:gridCol w:w="1611"/>
        <w:gridCol w:w="1468"/>
        <w:gridCol w:w="890"/>
        <w:gridCol w:w="1482"/>
        <w:gridCol w:w="1486"/>
        <w:gridCol w:w="991"/>
        <w:gridCol w:w="1423"/>
      </w:tblGrid>
      <w:tr>
        <w:trPr>
          <w:trHeight w:val="654" w:hRule="exact"/>
        </w:trPr>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247"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20"/>
              <w:jc w:val="right"/>
              <w:rPr>
                <w:rFonts w:ascii="Arial Narrow" w:hAnsi="Arial Narrow" w:cs="Arial Narrow" w:eastAsia="Arial Narrow" w:hint="default"/>
                <w:sz w:val="21"/>
                <w:szCs w:val="21"/>
              </w:rPr>
            </w:pPr>
            <w:r>
              <w:rPr>
                <w:rFonts w:ascii="Arial Narrow"/>
                <w:spacing w:val="-1"/>
                <w:sz w:val="21"/>
              </w:rPr>
              <w:t>57,952.99</w:t>
            </w:r>
            <w:r>
              <w:rPr>
                <w:rFonts w:ascii="Arial Narrow"/>
                <w:sz w:val="21"/>
              </w:rPr>
            </w:r>
          </w:p>
        </w:tc>
        <w:tc>
          <w:tcPr>
            <w:tcW w:w="89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8"/>
              <w:jc w:val="right"/>
              <w:rPr>
                <w:rFonts w:ascii="Arial Narrow" w:hAnsi="Arial Narrow" w:cs="Arial Narrow" w:eastAsia="Arial Narrow" w:hint="default"/>
                <w:sz w:val="21"/>
                <w:szCs w:val="21"/>
              </w:rPr>
            </w:pPr>
            <w:r>
              <w:rPr>
                <w:rFonts w:ascii="Arial Narrow"/>
                <w:spacing w:val="-1"/>
                <w:sz w:val="21"/>
              </w:rPr>
              <w:t>6.3009</w:t>
            </w:r>
            <w:r>
              <w:rPr>
                <w:rFonts w:ascii="Arial Narrow"/>
                <w:sz w:val="21"/>
              </w:rPr>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9"/>
              <w:jc w:val="right"/>
              <w:rPr>
                <w:rFonts w:ascii="Arial Narrow" w:hAnsi="Arial Narrow" w:cs="Arial Narrow" w:eastAsia="Arial Narrow" w:hint="default"/>
                <w:sz w:val="21"/>
                <w:szCs w:val="21"/>
              </w:rPr>
            </w:pPr>
            <w:r>
              <w:rPr>
                <w:rFonts w:ascii="Arial Narrow"/>
                <w:spacing w:val="-1"/>
                <w:sz w:val="21"/>
              </w:rPr>
              <w:t>365,155.99</w:t>
            </w:r>
            <w:r>
              <w:rPr>
                <w:rFonts w:ascii="Arial Narrow"/>
                <w:sz w:val="21"/>
              </w:rPr>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8"/>
              <w:jc w:val="right"/>
              <w:rPr>
                <w:rFonts w:ascii="Arial Narrow" w:hAnsi="Arial Narrow" w:cs="Arial Narrow" w:eastAsia="Arial Narrow" w:hint="default"/>
                <w:sz w:val="21"/>
                <w:szCs w:val="21"/>
              </w:rPr>
            </w:pPr>
            <w:r>
              <w:rPr>
                <w:rFonts w:ascii="Arial Narrow"/>
                <w:spacing w:val="-1"/>
                <w:sz w:val="21"/>
              </w:rPr>
              <w:t>39,609.36</w:t>
            </w:r>
            <w:r>
              <w:rPr>
                <w:rFonts w:ascii="Arial Narrow"/>
                <w:sz w:val="21"/>
              </w:rPr>
            </w: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21"/>
              <w:jc w:val="right"/>
              <w:rPr>
                <w:rFonts w:ascii="Arial Narrow" w:hAnsi="Arial Narrow" w:cs="Arial Narrow" w:eastAsia="Arial Narrow" w:hint="default"/>
                <w:sz w:val="21"/>
                <w:szCs w:val="21"/>
              </w:rPr>
            </w:pPr>
            <w:r>
              <w:rPr>
                <w:rFonts w:ascii="Arial Narrow"/>
                <w:spacing w:val="-1"/>
                <w:sz w:val="21"/>
              </w:rPr>
              <w:t>6.6227</w:t>
            </w:r>
            <w:r>
              <w:rPr>
                <w:rFonts w:ascii="Arial Narrow"/>
                <w:sz w:val="21"/>
              </w:rPr>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9"/>
              <w:jc w:val="right"/>
              <w:rPr>
                <w:rFonts w:ascii="Arial Narrow" w:hAnsi="Arial Narrow" w:cs="Arial Narrow" w:eastAsia="Arial Narrow" w:hint="default"/>
                <w:sz w:val="21"/>
                <w:szCs w:val="21"/>
              </w:rPr>
            </w:pPr>
            <w:r>
              <w:rPr>
                <w:rFonts w:ascii="Arial Narrow"/>
                <w:spacing w:val="-1"/>
                <w:sz w:val="21"/>
              </w:rPr>
              <w:t>262,320.91</w:t>
            </w:r>
            <w:r>
              <w:rPr>
                <w:rFonts w:ascii="Arial Narrow"/>
                <w:sz w:val="21"/>
              </w:rPr>
            </w:r>
          </w:p>
        </w:tc>
      </w:tr>
      <w:tr>
        <w:trPr>
          <w:trHeight w:val="328"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3"/>
              <w:ind w:left="247"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19"/>
              <w:jc w:val="right"/>
              <w:rPr>
                <w:rFonts w:ascii="Arial Narrow" w:hAnsi="Arial Narrow" w:cs="Arial Narrow" w:eastAsia="Arial Narrow" w:hint="default"/>
                <w:sz w:val="21"/>
                <w:szCs w:val="21"/>
              </w:rPr>
            </w:pPr>
            <w:r>
              <w:rPr>
                <w:rFonts w:ascii="Arial Narrow"/>
                <w:spacing w:val="-3"/>
                <w:sz w:val="21"/>
              </w:rPr>
              <w:t>117.31</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8"/>
              <w:jc w:val="right"/>
              <w:rPr>
                <w:rFonts w:ascii="Arial Narrow" w:hAnsi="Arial Narrow" w:cs="Arial Narrow" w:eastAsia="Arial Narrow" w:hint="default"/>
                <w:sz w:val="21"/>
                <w:szCs w:val="21"/>
              </w:rPr>
            </w:pPr>
            <w:r>
              <w:rPr>
                <w:rFonts w:ascii="Arial Narrow"/>
                <w:spacing w:val="-1"/>
                <w:sz w:val="21"/>
              </w:rPr>
              <w:t>8.1625</w:t>
            </w:r>
            <w:r>
              <w:rPr>
                <w:rFonts w:ascii="Arial Narrow"/>
                <w:sz w:val="21"/>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9"/>
              <w:jc w:val="right"/>
              <w:rPr>
                <w:rFonts w:ascii="Arial Narrow" w:hAnsi="Arial Narrow" w:cs="Arial Narrow" w:eastAsia="Arial Narrow" w:hint="default"/>
                <w:sz w:val="21"/>
                <w:szCs w:val="21"/>
              </w:rPr>
            </w:pPr>
            <w:r>
              <w:rPr>
                <w:rFonts w:ascii="Arial Narrow"/>
                <w:spacing w:val="-1"/>
                <w:sz w:val="21"/>
              </w:rPr>
              <w:t>957.54</w:t>
            </w:r>
            <w:r>
              <w:rPr>
                <w:rFonts w:ascii="Arial Narrow"/>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8"/>
              <w:jc w:val="right"/>
              <w:rPr>
                <w:rFonts w:ascii="Arial Narrow" w:hAnsi="Arial Narrow" w:cs="Arial Narrow" w:eastAsia="Arial Narrow" w:hint="default"/>
                <w:sz w:val="21"/>
                <w:szCs w:val="21"/>
              </w:rPr>
            </w:pPr>
            <w:r>
              <w:rPr>
                <w:rFonts w:ascii="Arial Narrow"/>
                <w:spacing w:val="-3"/>
                <w:sz w:val="21"/>
              </w:rPr>
              <w:t>117.51</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1"/>
              <w:jc w:val="right"/>
              <w:rPr>
                <w:rFonts w:ascii="Arial Narrow" w:hAnsi="Arial Narrow" w:cs="Arial Narrow" w:eastAsia="Arial Narrow" w:hint="default"/>
                <w:sz w:val="21"/>
                <w:szCs w:val="21"/>
              </w:rPr>
            </w:pPr>
            <w:r>
              <w:rPr>
                <w:rFonts w:ascii="Arial Narrow"/>
                <w:spacing w:val="-1"/>
                <w:sz w:val="21"/>
              </w:rPr>
              <w:t>8.8065</w:t>
            </w:r>
            <w:r>
              <w:rPr>
                <w:rFonts w:ascii="Arial Narrow"/>
                <w:sz w:val="21"/>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9"/>
              <w:jc w:val="right"/>
              <w:rPr>
                <w:rFonts w:ascii="Arial Narrow" w:hAnsi="Arial Narrow" w:cs="Arial Narrow" w:eastAsia="Arial Narrow" w:hint="default"/>
                <w:sz w:val="21"/>
                <w:szCs w:val="21"/>
              </w:rPr>
            </w:pPr>
            <w:r>
              <w:rPr>
                <w:rFonts w:ascii="Arial Narrow"/>
                <w:spacing w:val="-1"/>
                <w:sz w:val="21"/>
              </w:rPr>
              <w:t>1,034.85</w:t>
            </w:r>
            <w:r>
              <w:rPr>
                <w:rFonts w:ascii="Arial Narrow"/>
                <w:sz w:val="21"/>
              </w:rPr>
            </w:r>
          </w:p>
        </w:tc>
      </w:tr>
      <w:tr>
        <w:trPr>
          <w:trHeight w:val="305"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53" w:lineRule="exact"/>
              <w:ind w:left="247"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9"/>
              <w:jc w:val="right"/>
              <w:rPr>
                <w:rFonts w:ascii="Arial Narrow" w:hAnsi="Arial Narrow" w:cs="Arial Narrow" w:eastAsia="Arial Narrow" w:hint="default"/>
                <w:sz w:val="21"/>
                <w:szCs w:val="21"/>
              </w:rPr>
            </w:pPr>
            <w:r>
              <w:rPr>
                <w:rFonts w:ascii="Arial Narrow"/>
                <w:spacing w:val="-2"/>
                <w:sz w:val="21"/>
              </w:rPr>
              <w:t>112,746.22</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8"/>
              <w:jc w:val="right"/>
              <w:rPr>
                <w:rFonts w:ascii="Arial Narrow" w:hAnsi="Arial Narrow" w:cs="Arial Narrow" w:eastAsia="Arial Narrow" w:hint="default"/>
                <w:sz w:val="21"/>
                <w:szCs w:val="21"/>
              </w:rPr>
            </w:pPr>
            <w:r>
              <w:rPr>
                <w:rFonts w:ascii="Arial Narrow"/>
                <w:spacing w:val="-1"/>
                <w:sz w:val="21"/>
              </w:rPr>
              <w:t>0.8107</w:t>
            </w:r>
            <w:r>
              <w:rPr>
                <w:rFonts w:ascii="Arial Narrow"/>
                <w:sz w:val="21"/>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9"/>
              <w:jc w:val="right"/>
              <w:rPr>
                <w:rFonts w:ascii="Arial Narrow" w:hAnsi="Arial Narrow" w:cs="Arial Narrow" w:eastAsia="Arial Narrow" w:hint="default"/>
                <w:sz w:val="21"/>
                <w:szCs w:val="21"/>
              </w:rPr>
            </w:pPr>
            <w:r>
              <w:rPr>
                <w:rFonts w:ascii="Arial Narrow"/>
                <w:spacing w:val="-1"/>
                <w:sz w:val="21"/>
              </w:rPr>
              <w:t>91,403.36</w:t>
            </w:r>
            <w:r>
              <w:rPr>
                <w:rFonts w:ascii="Arial Narrow"/>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38"/>
              <w:jc w:val="right"/>
              <w:rPr>
                <w:rFonts w:ascii="Arial Narrow" w:hAnsi="Arial Narrow" w:cs="Arial Narrow" w:eastAsia="Arial Narrow" w:hint="default"/>
                <w:sz w:val="21"/>
                <w:szCs w:val="21"/>
              </w:rPr>
            </w:pPr>
            <w:r>
              <w:rPr>
                <w:rFonts w:ascii="Arial Narrow"/>
                <w:spacing w:val="-1"/>
                <w:sz w:val="21"/>
              </w:rPr>
              <w:t>462,821.24</w:t>
            </w:r>
            <w:r>
              <w:rPr>
                <w:rFonts w:ascii="Arial Narrow"/>
                <w:sz w:val="21"/>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21"/>
              <w:jc w:val="right"/>
              <w:rPr>
                <w:rFonts w:ascii="Arial Narrow" w:hAnsi="Arial Narrow" w:cs="Arial Narrow" w:eastAsia="Arial Narrow" w:hint="default"/>
                <w:sz w:val="21"/>
                <w:szCs w:val="21"/>
              </w:rPr>
            </w:pPr>
            <w:r>
              <w:rPr>
                <w:rFonts w:ascii="Arial Narrow"/>
                <w:spacing w:val="-1"/>
                <w:sz w:val="21"/>
              </w:rPr>
              <w:t>0.8509</w:t>
            </w:r>
            <w:r>
              <w:rPr>
                <w:rFonts w:ascii="Arial Narrow"/>
                <w:sz w:val="21"/>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9"/>
              <w:jc w:val="right"/>
              <w:rPr>
                <w:rFonts w:ascii="Arial Narrow" w:hAnsi="Arial Narrow" w:cs="Arial Narrow" w:eastAsia="Arial Narrow" w:hint="default"/>
                <w:sz w:val="21"/>
                <w:szCs w:val="21"/>
              </w:rPr>
            </w:pPr>
            <w:r>
              <w:rPr>
                <w:rFonts w:ascii="Arial Narrow"/>
                <w:spacing w:val="-1"/>
                <w:sz w:val="21"/>
              </w:rPr>
              <w:t>393,814.59</w:t>
            </w:r>
            <w:r>
              <w:rPr>
                <w:rFonts w:ascii="Arial Narrow"/>
                <w:sz w:val="21"/>
              </w:rPr>
            </w:r>
          </w:p>
        </w:tc>
      </w:tr>
      <w:tr>
        <w:trPr>
          <w:trHeight w:val="318"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56" w:lineRule="exact"/>
              <w:ind w:left="247"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21"/>
              <w:jc w:val="right"/>
              <w:rPr>
                <w:rFonts w:ascii="Arial Narrow" w:hAnsi="Arial Narrow" w:cs="Arial Narrow" w:eastAsia="Arial Narrow" w:hint="default"/>
                <w:sz w:val="21"/>
                <w:szCs w:val="21"/>
              </w:rPr>
            </w:pPr>
            <w:r>
              <w:rPr>
                <w:rFonts w:ascii="Arial Narrow"/>
                <w:spacing w:val="-1"/>
                <w:sz w:val="21"/>
              </w:rPr>
              <w:t>97,970,787.00</w:t>
            </w:r>
            <w:r>
              <w:rPr>
                <w:rFonts w:ascii="Arial Narrow"/>
                <w:sz w:val="21"/>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38"/>
              <w:jc w:val="right"/>
              <w:rPr>
                <w:rFonts w:ascii="Arial Narrow" w:hAnsi="Arial Narrow" w:cs="Arial Narrow" w:eastAsia="Arial Narrow" w:hint="default"/>
                <w:sz w:val="21"/>
                <w:szCs w:val="21"/>
              </w:rPr>
            </w:pPr>
            <w:r>
              <w:rPr>
                <w:rFonts w:ascii="Arial Narrow"/>
                <w:spacing w:val="-3"/>
                <w:sz w:val="21"/>
              </w:rPr>
              <w:t>0.0811</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40"/>
              <w:jc w:val="right"/>
              <w:rPr>
                <w:rFonts w:ascii="Arial Narrow" w:hAnsi="Arial Narrow" w:cs="Arial Narrow" w:eastAsia="Arial Narrow" w:hint="default"/>
                <w:sz w:val="21"/>
                <w:szCs w:val="21"/>
              </w:rPr>
            </w:pPr>
            <w:r>
              <w:rPr>
                <w:rFonts w:ascii="Arial Narrow"/>
                <w:spacing w:val="-1"/>
                <w:sz w:val="21"/>
              </w:rPr>
              <w:t>7,945,430.83</w:t>
            </w:r>
            <w:r>
              <w:rPr>
                <w:rFonts w:ascii="Arial Narrow"/>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9"/>
              <w:jc w:val="right"/>
              <w:rPr>
                <w:rFonts w:ascii="Arial Narrow" w:hAnsi="Arial Narrow" w:cs="Arial Narrow" w:eastAsia="Arial Narrow" w:hint="default"/>
                <w:sz w:val="21"/>
                <w:szCs w:val="21"/>
              </w:rPr>
            </w:pPr>
            <w:r>
              <w:rPr>
                <w:rFonts w:ascii="Arial Narrow"/>
                <w:spacing w:val="-1"/>
                <w:sz w:val="21"/>
              </w:rPr>
              <w:t>76,479,921.03</w:t>
            </w:r>
            <w:r>
              <w:rPr>
                <w:rFonts w:ascii="Arial Narrow"/>
                <w:sz w:val="21"/>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21"/>
              <w:jc w:val="right"/>
              <w:rPr>
                <w:rFonts w:ascii="Arial Narrow" w:hAnsi="Arial Narrow" w:cs="Arial Narrow" w:eastAsia="Arial Narrow" w:hint="default"/>
                <w:sz w:val="21"/>
                <w:szCs w:val="21"/>
              </w:rPr>
            </w:pPr>
            <w:r>
              <w:rPr>
                <w:rFonts w:ascii="Arial Narrow"/>
                <w:spacing w:val="-1"/>
                <w:sz w:val="21"/>
              </w:rPr>
              <w:t>0.0813</w:t>
            </w:r>
            <w:r>
              <w:rPr>
                <w:rFonts w:ascii="Arial Narrow"/>
                <w:sz w:val="21"/>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73" w:right="0"/>
              <w:jc w:val="left"/>
              <w:rPr>
                <w:rFonts w:ascii="Arial Narrow" w:hAnsi="Arial Narrow" w:cs="Arial Narrow" w:eastAsia="Arial Narrow" w:hint="default"/>
                <w:sz w:val="21"/>
                <w:szCs w:val="21"/>
              </w:rPr>
            </w:pPr>
            <w:r>
              <w:rPr>
                <w:rFonts w:ascii="Arial Narrow"/>
                <w:sz w:val="21"/>
              </w:rPr>
              <w:t>6,217,817.58</w:t>
            </w:r>
          </w:p>
        </w:tc>
      </w:tr>
      <w:tr>
        <w:trPr>
          <w:trHeight w:val="619" w:hRule="exact"/>
        </w:trPr>
        <w:tc>
          <w:tcPr>
            <w:tcW w:w="1611" w:type="dxa"/>
            <w:tcBorders>
              <w:top w:val="nil" w:sz="6" w:space="0" w:color="auto"/>
              <w:left w:val="nil" w:sz="6" w:space="0" w:color="auto"/>
              <w:bottom w:val="nil" w:sz="6" w:space="0" w:color="auto"/>
              <w:right w:val="nil" w:sz="6" w:space="0" w:color="auto"/>
            </w:tcBorders>
          </w:tcPr>
          <w:p>
            <w:pPr>
              <w:pStyle w:val="TableParagraph"/>
              <w:spacing w:line="274" w:lineRule="exact" w:before="17"/>
              <w:ind w:left="141" w:right="13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5"/>
                <w:sz w:val="21"/>
                <w:szCs w:val="21"/>
              </w:rPr>
              <w:t> </w:t>
            </w:r>
            <w:r>
              <w:rPr>
                <w:rFonts w:ascii="宋体" w:hAnsi="宋体" w:cs="宋体" w:eastAsia="宋体" w:hint="default"/>
                <w:sz w:val="21"/>
                <w:szCs w:val="21"/>
              </w:rPr>
              <w:t>他</w:t>
            </w:r>
            <w:r>
              <w:rPr>
                <w:rFonts w:ascii="宋体" w:hAnsi="宋体" w:cs="宋体" w:eastAsia="宋体" w:hint="default"/>
                <w:spacing w:val="-38"/>
                <w:sz w:val="21"/>
                <w:szCs w:val="21"/>
              </w:rPr>
              <w:t> </w:t>
            </w:r>
            <w:r>
              <w:rPr>
                <w:rFonts w:ascii="宋体" w:hAnsi="宋体" w:cs="宋体" w:eastAsia="宋体" w:hint="default"/>
                <w:sz w:val="21"/>
                <w:szCs w:val="21"/>
              </w:rPr>
              <w:t>货</w:t>
            </w:r>
            <w:r>
              <w:rPr>
                <w:rFonts w:ascii="宋体" w:hAnsi="宋体" w:cs="宋体" w:eastAsia="宋体" w:hint="default"/>
                <w:spacing w:val="-38"/>
                <w:sz w:val="21"/>
                <w:szCs w:val="21"/>
              </w:rPr>
              <w:t> </w:t>
            </w:r>
            <w:r>
              <w:rPr>
                <w:rFonts w:ascii="宋体" w:hAnsi="宋体" w:cs="宋体" w:eastAsia="宋体" w:hint="default"/>
                <w:sz w:val="21"/>
                <w:szCs w:val="21"/>
              </w:rPr>
              <w:t>币</w:t>
            </w:r>
            <w:r>
              <w:rPr>
                <w:rFonts w:ascii="宋体" w:hAnsi="宋体" w:cs="宋体" w:eastAsia="宋体" w:hint="default"/>
                <w:spacing w:val="-35"/>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22"/>
              <w:jc w:val="right"/>
              <w:rPr>
                <w:rFonts w:ascii="Arial Narrow" w:hAnsi="Arial Narrow" w:cs="Arial Narrow" w:eastAsia="Arial Narrow" w:hint="default"/>
                <w:sz w:val="21"/>
                <w:szCs w:val="21"/>
              </w:rPr>
            </w:pPr>
            <w:r>
              <w:rPr>
                <w:rFonts w:ascii="Arial Narrow"/>
                <w:spacing w:val="-1"/>
                <w:sz w:val="21"/>
              </w:rPr>
              <w:t>--</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40"/>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40"/>
              <w:jc w:val="right"/>
              <w:rPr>
                <w:rFonts w:ascii="Arial Narrow" w:hAnsi="Arial Narrow" w:cs="Arial Narrow" w:eastAsia="Arial Narrow" w:hint="default"/>
                <w:sz w:val="21"/>
                <w:szCs w:val="21"/>
              </w:rPr>
            </w:pPr>
            <w:r>
              <w:rPr>
                <w:rFonts w:ascii="Arial Narrow"/>
                <w:spacing w:val="-1"/>
                <w:sz w:val="21"/>
              </w:rPr>
              <w:t>6,577,675.00</w:t>
            </w:r>
            <w:r>
              <w:rPr>
                <w:rFonts w:ascii="Arial Narrow"/>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42"/>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23"/>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73" w:right="0"/>
              <w:jc w:val="left"/>
              <w:rPr>
                <w:rFonts w:ascii="Arial Narrow" w:hAnsi="Arial Narrow" w:cs="Arial Narrow" w:eastAsia="Arial Narrow" w:hint="default"/>
                <w:sz w:val="21"/>
                <w:szCs w:val="21"/>
              </w:rPr>
            </w:pPr>
            <w:r>
              <w:rPr>
                <w:rFonts w:ascii="Arial Narrow"/>
                <w:sz w:val="21"/>
              </w:rPr>
              <w:t>4,219,691.06</w:t>
            </w:r>
          </w:p>
        </w:tc>
      </w:tr>
      <w:tr>
        <w:trPr>
          <w:trHeight w:val="390" w:hRule="exact"/>
        </w:trPr>
        <w:tc>
          <w:tcPr>
            <w:tcW w:w="1611"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247"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22"/>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89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40"/>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40"/>
              <w:jc w:val="right"/>
              <w:rPr>
                <w:rFonts w:ascii="Arial Narrow" w:hAnsi="Arial Narrow" w:cs="Arial Narrow" w:eastAsia="Arial Narrow" w:hint="default"/>
                <w:sz w:val="21"/>
                <w:szCs w:val="21"/>
              </w:rPr>
            </w:pPr>
            <w:r>
              <w:rPr>
                <w:rFonts w:ascii="Arial Narrow"/>
                <w:spacing w:val="-1"/>
                <w:sz w:val="21"/>
              </w:rPr>
              <w:t>6,577,675.00</w:t>
            </w:r>
            <w:r>
              <w:rPr>
                <w:rFonts w:ascii="Arial Narrow"/>
                <w:sz w:val="21"/>
              </w:rPr>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42"/>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23"/>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273" w:right="0"/>
              <w:jc w:val="left"/>
              <w:rPr>
                <w:rFonts w:ascii="Arial Narrow" w:hAnsi="Arial Narrow" w:cs="Arial Narrow" w:eastAsia="Arial Narrow" w:hint="default"/>
                <w:sz w:val="21"/>
                <w:szCs w:val="21"/>
              </w:rPr>
            </w:pPr>
            <w:r>
              <w:rPr>
                <w:rFonts w:ascii="Arial Narrow"/>
                <w:sz w:val="21"/>
              </w:rPr>
              <w:t>4,219,691.06</w:t>
            </w:r>
          </w:p>
        </w:tc>
      </w:tr>
      <w:tr>
        <w:trPr>
          <w:trHeight w:val="404" w:hRule="exact"/>
        </w:trPr>
        <w:tc>
          <w:tcPr>
            <w:tcW w:w="1611" w:type="dxa"/>
            <w:tcBorders>
              <w:top w:val="single" w:sz="4" w:space="0" w:color="000000"/>
              <w:left w:val="nil" w:sz="6" w:space="0" w:color="auto"/>
              <w:bottom w:val="single" w:sz="8" w:space="0" w:color="000000"/>
              <w:right w:val="nil" w:sz="6" w:space="0" w:color="auto"/>
            </w:tcBorders>
          </w:tcPr>
          <w:p>
            <w:pPr>
              <w:pStyle w:val="TableParagraph"/>
              <w:tabs>
                <w:tab w:pos="563" w:val="left" w:leader="none"/>
              </w:tabs>
              <w:spacing w:line="240" w:lineRule="auto" w:before="23"/>
              <w:ind w:left="141"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468"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222"/>
              <w:jc w:val="right"/>
              <w:rPr>
                <w:rFonts w:ascii="Arial Narrow" w:hAnsi="Arial Narrow" w:cs="Arial Narrow" w:eastAsia="Arial Narrow" w:hint="default"/>
                <w:sz w:val="21"/>
                <w:szCs w:val="21"/>
              </w:rPr>
            </w:pPr>
            <w:r>
              <w:rPr>
                <w:rFonts w:ascii="Arial Narrow"/>
                <w:b/>
                <w:spacing w:val="-1"/>
                <w:sz w:val="21"/>
              </w:rPr>
              <w:t>--</w:t>
            </w:r>
            <w:r>
              <w:rPr>
                <w:rFonts w:ascii="Arial Narrow"/>
                <w:sz w:val="21"/>
              </w:rPr>
            </w:r>
          </w:p>
        </w:tc>
        <w:tc>
          <w:tcPr>
            <w:tcW w:w="890"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40"/>
              <w:jc w:val="right"/>
              <w:rPr>
                <w:rFonts w:ascii="Arial Narrow" w:hAnsi="Arial Narrow" w:cs="Arial Narrow" w:eastAsia="Arial Narrow" w:hint="default"/>
                <w:sz w:val="21"/>
                <w:szCs w:val="21"/>
              </w:rPr>
            </w:pPr>
            <w:r>
              <w:rPr>
                <w:rFonts w:ascii="Arial Narrow"/>
                <w:b/>
                <w:spacing w:val="-1"/>
                <w:sz w:val="21"/>
              </w:rPr>
              <w:t>--</w:t>
            </w:r>
            <w:r>
              <w:rPr>
                <w:rFonts w:ascii="Arial Narrow"/>
                <w:sz w:val="21"/>
              </w:rPr>
            </w:r>
          </w:p>
        </w:tc>
        <w:tc>
          <w:tcPr>
            <w:tcW w:w="1482"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40"/>
              <w:jc w:val="right"/>
              <w:rPr>
                <w:rFonts w:ascii="Arial Narrow" w:hAnsi="Arial Narrow" w:cs="Arial Narrow" w:eastAsia="Arial Narrow" w:hint="default"/>
                <w:sz w:val="21"/>
                <w:szCs w:val="21"/>
              </w:rPr>
            </w:pPr>
            <w:r>
              <w:rPr>
                <w:rFonts w:ascii="Arial Narrow"/>
                <w:b/>
                <w:spacing w:val="-1"/>
                <w:sz w:val="21"/>
              </w:rPr>
              <w:t>378,824,821.80</w:t>
            </w:r>
            <w:r>
              <w:rPr>
                <w:rFonts w:ascii="Arial Narrow"/>
                <w:sz w:val="21"/>
              </w:rPr>
            </w:r>
          </w:p>
        </w:tc>
        <w:tc>
          <w:tcPr>
            <w:tcW w:w="1486"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242"/>
              <w:jc w:val="right"/>
              <w:rPr>
                <w:rFonts w:ascii="Arial Narrow" w:hAnsi="Arial Narrow" w:cs="Arial Narrow" w:eastAsia="Arial Narrow" w:hint="default"/>
                <w:sz w:val="21"/>
                <w:szCs w:val="21"/>
              </w:rPr>
            </w:pPr>
            <w:r>
              <w:rPr>
                <w:rFonts w:ascii="Arial Narrow"/>
                <w:b/>
                <w:spacing w:val="-1"/>
                <w:sz w:val="21"/>
              </w:rPr>
              <w:t>--</w:t>
            </w:r>
            <w:r>
              <w:rPr>
                <w:rFonts w:ascii="Arial Narrow"/>
                <w:sz w:val="21"/>
              </w:rPr>
            </w:r>
          </w:p>
        </w:tc>
        <w:tc>
          <w:tcPr>
            <w:tcW w:w="991"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223"/>
              <w:jc w:val="right"/>
              <w:rPr>
                <w:rFonts w:ascii="Arial Narrow" w:hAnsi="Arial Narrow" w:cs="Arial Narrow" w:eastAsia="Arial Narrow" w:hint="default"/>
                <w:sz w:val="21"/>
                <w:szCs w:val="21"/>
              </w:rPr>
            </w:pPr>
            <w:r>
              <w:rPr>
                <w:rFonts w:ascii="Arial Narrow"/>
                <w:b/>
                <w:spacing w:val="-1"/>
                <w:sz w:val="21"/>
              </w:rPr>
              <w:t>--</w:t>
            </w:r>
            <w:r>
              <w:rPr>
                <w:rFonts w:ascii="Arial Narrow"/>
                <w:sz w:val="21"/>
              </w:rPr>
            </w:r>
          </w:p>
        </w:tc>
        <w:tc>
          <w:tcPr>
            <w:tcW w:w="1423"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0"/>
              <w:jc w:val="right"/>
              <w:rPr>
                <w:rFonts w:ascii="Arial Narrow" w:hAnsi="Arial Narrow" w:cs="Arial Narrow" w:eastAsia="Arial Narrow" w:hint="default"/>
                <w:sz w:val="21"/>
                <w:szCs w:val="21"/>
              </w:rPr>
            </w:pPr>
            <w:r>
              <w:rPr>
                <w:rFonts w:ascii="Arial Narrow"/>
                <w:b/>
                <w:spacing w:val="-1"/>
                <w:sz w:val="21"/>
              </w:rPr>
              <w:t>390,378,639.43</w:t>
            </w:r>
            <w:r>
              <w:rPr>
                <w:rFonts w:ascii="Arial Narrow"/>
                <w:sz w:val="21"/>
              </w:rPr>
            </w:r>
          </w:p>
        </w:tc>
      </w:tr>
    </w:tbl>
    <w:p>
      <w:pPr>
        <w:spacing w:line="240" w:lineRule="auto" w:before="8"/>
        <w:rPr>
          <w:rFonts w:ascii="宋体" w:hAnsi="宋体" w:cs="宋体" w:eastAsia="宋体" w:hint="default"/>
          <w:sz w:val="9"/>
          <w:szCs w:val="9"/>
        </w:rPr>
      </w:pPr>
    </w:p>
    <w:p>
      <w:pPr>
        <w:pStyle w:val="BodyText"/>
        <w:spacing w:line="240" w:lineRule="auto" w:before="26"/>
        <w:ind w:left="562" w:right="0"/>
        <w:jc w:val="left"/>
      </w:pPr>
      <w:r>
        <w:rPr/>
        <w:t>说明：其他货币资金为使用受到限制的保证金。</w:t>
      </w:r>
    </w:p>
    <w:p>
      <w:pPr>
        <w:pStyle w:val="BodyText"/>
        <w:spacing w:line="240" w:lineRule="auto" w:before="211"/>
        <w:ind w:left="142" w:right="0"/>
        <w:jc w:val="left"/>
      </w:pPr>
      <w:r>
        <w:rPr>
          <w:rFonts w:ascii="Arial Narrow" w:hAnsi="Arial Narrow" w:cs="Arial Narrow" w:eastAsia="Arial Narrow" w:hint="default"/>
        </w:rPr>
        <w:t>2</w:t>
      </w:r>
      <w:r>
        <w:rPr/>
        <w:t>、应收票据</w:t>
      </w:r>
    </w:p>
    <w:p>
      <w:pPr>
        <w:spacing w:line="240" w:lineRule="auto" w:before="2"/>
        <w:rPr>
          <w:rFonts w:ascii="宋体" w:hAnsi="宋体" w:cs="宋体" w:eastAsia="宋体" w:hint="default"/>
          <w:sz w:val="18"/>
          <w:szCs w:val="18"/>
        </w:rPr>
      </w:pPr>
    </w:p>
    <w:tbl>
      <w:tblPr>
        <w:tblW w:w="0" w:type="auto"/>
        <w:jc w:val="left"/>
        <w:tblInd w:w="456" w:type="dxa"/>
        <w:tblLayout w:type="fixed"/>
        <w:tblCellMar>
          <w:top w:w="0" w:type="dxa"/>
          <w:left w:w="0" w:type="dxa"/>
          <w:bottom w:w="0" w:type="dxa"/>
          <w:right w:w="0" w:type="dxa"/>
        </w:tblCellMar>
        <w:tblLook w:val="01E0"/>
      </w:tblPr>
      <w:tblGrid>
        <w:gridCol w:w="3405"/>
        <w:gridCol w:w="3672"/>
        <w:gridCol w:w="2187"/>
      </w:tblGrid>
      <w:tr>
        <w:trPr>
          <w:trHeight w:val="391" w:hRule="exact"/>
        </w:trPr>
        <w:tc>
          <w:tcPr>
            <w:tcW w:w="3405"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种</w:t>
              <w:tab/>
            </w:r>
            <w:r>
              <w:rPr>
                <w:rFonts w:ascii="宋体" w:hAnsi="宋体" w:cs="宋体" w:eastAsia="宋体" w:hint="default"/>
                <w:b/>
                <w:bCs/>
                <w:sz w:val="24"/>
                <w:szCs w:val="24"/>
              </w:rPr>
              <w:t>类</w:t>
            </w:r>
            <w:r>
              <w:rPr>
                <w:rFonts w:ascii="宋体" w:hAnsi="宋体" w:cs="宋体" w:eastAsia="宋体" w:hint="default"/>
                <w:sz w:val="24"/>
                <w:szCs w:val="24"/>
              </w:rPr>
            </w:r>
          </w:p>
        </w:tc>
        <w:tc>
          <w:tcPr>
            <w:tcW w:w="3672"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0"/>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2187"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403" w:hRule="exact"/>
        </w:trPr>
        <w:tc>
          <w:tcPr>
            <w:tcW w:w="3405"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67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89"/>
              <w:jc w:val="right"/>
              <w:rPr>
                <w:rFonts w:ascii="Arial Narrow" w:hAnsi="Arial Narrow" w:cs="Arial Narrow" w:eastAsia="Arial Narrow" w:hint="default"/>
                <w:sz w:val="24"/>
                <w:szCs w:val="24"/>
              </w:rPr>
            </w:pPr>
            <w:r>
              <w:rPr>
                <w:rFonts w:ascii="Arial Narrow"/>
                <w:sz w:val="24"/>
              </w:rPr>
              <w:t>-</w:t>
            </w:r>
          </w:p>
        </w:tc>
        <w:tc>
          <w:tcPr>
            <w:tcW w:w="218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1"/>
                <w:sz w:val="24"/>
              </w:rPr>
              <w:t>300,200.00</w:t>
            </w:r>
          </w:p>
        </w:tc>
      </w:tr>
    </w:tbl>
    <w:p>
      <w:pPr>
        <w:pStyle w:val="BodyText"/>
        <w:spacing w:line="240" w:lineRule="auto" w:before="79"/>
        <w:ind w:left="142" w:right="0"/>
        <w:jc w:val="left"/>
      </w:pPr>
      <w:r>
        <w:rPr>
          <w:rFonts w:ascii="Arial Narrow" w:hAnsi="Arial Narrow" w:cs="Arial Narrow" w:eastAsia="Arial Narrow" w:hint="default"/>
        </w:rPr>
        <w:t>3</w:t>
      </w:r>
      <w:r>
        <w:rPr/>
        <w:t>、应收账款</w:t>
      </w:r>
    </w:p>
    <w:p>
      <w:pPr>
        <w:pStyle w:val="BodyText"/>
        <w:spacing w:line="240" w:lineRule="auto" w:before="197"/>
        <w:ind w:left="502" w:right="0"/>
        <w:jc w:val="left"/>
      </w:pPr>
      <w:r>
        <w:rPr/>
        <w:t>（</w:t>
      </w:r>
      <w:r>
        <w:rPr>
          <w:rFonts w:ascii="Arial Narrow" w:hAnsi="Arial Narrow" w:cs="Arial Narrow" w:eastAsia="Arial Narrow" w:hint="default"/>
        </w:rPr>
        <w:t>1</w:t>
      </w:r>
      <w:r>
        <w:rPr/>
        <w:t>）应收账款按种类披露</w:t>
      </w:r>
    </w:p>
    <w:p>
      <w:pPr>
        <w:spacing w:line="240" w:lineRule="auto" w:before="2"/>
        <w:rPr>
          <w:rFonts w:ascii="宋体" w:hAnsi="宋体" w:cs="宋体" w:eastAsia="宋体" w:hint="default"/>
          <w:sz w:val="18"/>
          <w:szCs w:val="18"/>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59.7pt;height:1pt;mso-position-horizontal-relative:char;mso-position-vertical-relative:line" coordorigin="0,0" coordsize="9194,20">
            <v:group style="position:absolute;left:10;top:10;width:2581;height:2" coordorigin="10,10" coordsize="2581,2">
              <v:shape style="position:absolute;left:10;top:10;width:2581;height:2" coordorigin="10,10" coordsize="2581,0" path="m10,10l2590,10e" filled="false" stroked="true" strokeweight=".96002pt" strokecolor="#000000">
                <v:path arrowok="t"/>
              </v:shape>
            </v:group>
            <v:group style="position:absolute;left:2590;top:10;width:20;height:2" coordorigin="2590,10" coordsize="20,2">
              <v:shape style="position:absolute;left:2590;top:10;width:20;height:2" coordorigin="2590,10" coordsize="20,0" path="m2590,10l2609,10e" filled="false" stroked="true" strokeweight=".96002pt" strokecolor="#000000">
                <v:path arrowok="t"/>
              </v:shape>
            </v:group>
            <v:group style="position:absolute;left:2609;top:10;width:6575;height:2" coordorigin="2609,10" coordsize="6575,2">
              <v:shape style="position:absolute;left:2609;top:10;width:6575;height:2" coordorigin="2609,10" coordsize="6575,0" path="m2609,10l9184,10e" filled="false" stroked="true" strokeweight=".96002pt" strokecolor="#000000">
                <v:path arrowok="t"/>
              </v:shape>
            </v:group>
          </v:group>
        </w:pict>
      </w:r>
      <w:r>
        <w:rPr>
          <w:rFonts w:ascii="宋体" w:hAnsi="宋体" w:cs="宋体" w:eastAsia="宋体" w:hint="default"/>
          <w:sz w:val="2"/>
          <w:szCs w:val="2"/>
        </w:rPr>
      </w:r>
    </w:p>
    <w:p>
      <w:pPr>
        <w:spacing w:line="236" w:lineRule="exact" w:before="18"/>
        <w:ind w:left="6013" w:right="0" w:firstLine="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tabs>
          <w:tab w:pos="984" w:val="left" w:leader="none"/>
        </w:tabs>
        <w:spacing w:line="236" w:lineRule="exact" w:before="0"/>
        <w:ind w:left="562" w:right="0" w:firstLine="0"/>
        <w:jc w:val="left"/>
        <w:rPr>
          <w:rFonts w:ascii="宋体" w:hAnsi="宋体" w:cs="宋体" w:eastAsia="宋体" w:hint="default"/>
          <w:sz w:val="21"/>
          <w:szCs w:val="21"/>
        </w:rPr>
      </w:pPr>
      <w:r>
        <w:rPr/>
        <w:pict>
          <v:shape style="position:absolute;margin-left:79.704002pt;margin-top:10.718554pt;width:458.75pt;height:148.3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59"/>
                    <w:gridCol w:w="1384"/>
                    <w:gridCol w:w="1913"/>
                    <w:gridCol w:w="1219"/>
                  </w:tblGrid>
                  <w:tr>
                    <w:trPr>
                      <w:trHeight w:val="309" w:hRule="exact"/>
                    </w:trPr>
                    <w:tc>
                      <w:tcPr>
                        <w:tcW w:w="4659" w:type="dxa"/>
                        <w:tcBorders>
                          <w:top w:val="nil" w:sz="6" w:space="0" w:color="auto"/>
                          <w:left w:val="nil" w:sz="6" w:space="0" w:color="auto"/>
                          <w:bottom w:val="single" w:sz="4" w:space="0" w:color="000000"/>
                          <w:right w:val="nil" w:sz="6" w:space="0" w:color="auto"/>
                        </w:tcBorders>
                      </w:tcPr>
                      <w:p>
                        <w:pPr>
                          <w:pStyle w:val="TableParagraph"/>
                          <w:spacing w:line="211" w:lineRule="exact"/>
                          <w:ind w:right="535"/>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226" w:lineRule="exact"/>
                          <w:ind w:right="270"/>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13" w:type="dxa"/>
                        <w:tcBorders>
                          <w:top w:val="nil" w:sz="6" w:space="0" w:color="auto"/>
                          <w:left w:val="nil" w:sz="6" w:space="0" w:color="auto"/>
                          <w:bottom w:val="single" w:sz="4" w:space="0" w:color="000000"/>
                          <w:right w:val="nil" w:sz="6" w:space="0" w:color="auto"/>
                        </w:tcBorders>
                      </w:tcPr>
                      <w:p>
                        <w:pPr>
                          <w:pStyle w:val="TableParagraph"/>
                          <w:spacing w:line="211" w:lineRule="exact"/>
                          <w:ind w:right="53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19" w:type="dxa"/>
                        <w:tcBorders>
                          <w:top w:val="nil" w:sz="6" w:space="0" w:color="auto"/>
                          <w:left w:val="nil" w:sz="6" w:space="0" w:color="auto"/>
                          <w:bottom w:val="single" w:sz="4" w:space="0" w:color="000000"/>
                          <w:right w:val="nil" w:sz="6" w:space="0" w:color="auto"/>
                        </w:tcBorders>
                      </w:tcPr>
                      <w:p>
                        <w:pPr>
                          <w:pStyle w:val="TableParagraph"/>
                          <w:spacing w:line="226" w:lineRule="exact"/>
                          <w:ind w:right="103"/>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616" w:hRule="exact"/>
                    </w:trPr>
                    <w:tc>
                      <w:tcPr>
                        <w:tcW w:w="4659" w:type="dxa"/>
                        <w:tcBorders>
                          <w:top w:val="single" w:sz="4" w:space="0" w:color="000000"/>
                          <w:left w:val="nil" w:sz="6" w:space="0" w:color="auto"/>
                          <w:bottom w:val="nil" w:sz="6" w:space="0" w:color="auto"/>
                          <w:right w:val="nil" w:sz="6" w:space="0" w:color="auto"/>
                        </w:tcBorders>
                      </w:tcPr>
                      <w:p>
                        <w:pPr>
                          <w:pStyle w:val="TableParagraph"/>
                          <w:tabs>
                            <w:tab w:pos="4063" w:val="left" w:leader="none"/>
                          </w:tabs>
                          <w:spacing w:line="156" w:lineRule="auto" w:before="83"/>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坏账准备的应收账款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272"/>
                          <w:jc w:val="right"/>
                          <w:rPr>
                            <w:rFonts w:ascii="Arial Narrow" w:hAnsi="Arial Narrow" w:cs="Arial Narrow" w:eastAsia="Arial Narrow" w:hint="default"/>
                            <w:sz w:val="21"/>
                            <w:szCs w:val="21"/>
                          </w:rPr>
                        </w:pPr>
                        <w:r>
                          <w:rPr>
                            <w:rFonts w:ascii="Arial Narrow"/>
                            <w:w w:val="100"/>
                            <w:sz w:val="21"/>
                          </w:rPr>
                          <w:t>-</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536"/>
                          <w:jc w:val="right"/>
                          <w:rPr>
                            <w:rFonts w:ascii="Arial Narrow" w:hAnsi="Arial Narrow" w:cs="Arial Narrow" w:eastAsia="Arial Narrow" w:hint="default"/>
                            <w:sz w:val="21"/>
                            <w:szCs w:val="21"/>
                          </w:rPr>
                        </w:pPr>
                        <w:r>
                          <w:rPr>
                            <w:rFonts w:ascii="Arial Narrow"/>
                            <w:w w:val="100"/>
                            <w:sz w:val="21"/>
                          </w:rPr>
                          <w:t>-</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106"/>
                          <w:jc w:val="right"/>
                          <w:rPr>
                            <w:rFonts w:ascii="Arial Narrow" w:hAnsi="Arial Narrow" w:cs="Arial Narrow" w:eastAsia="Arial Narrow" w:hint="default"/>
                            <w:sz w:val="21"/>
                            <w:szCs w:val="21"/>
                          </w:rPr>
                        </w:pPr>
                        <w:r>
                          <w:rPr>
                            <w:rFonts w:ascii="Arial Narrow"/>
                            <w:w w:val="100"/>
                            <w:sz w:val="21"/>
                          </w:rPr>
                          <w:t>-</w:t>
                        </w:r>
                      </w:p>
                    </w:tc>
                  </w:tr>
                  <w:tr>
                    <w:trPr>
                      <w:trHeight w:val="556" w:hRule="exact"/>
                    </w:trPr>
                    <w:tc>
                      <w:tcPr>
                        <w:tcW w:w="4659" w:type="dxa"/>
                        <w:tcBorders>
                          <w:top w:val="nil" w:sz="6" w:space="0" w:color="auto"/>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按组合计提坏账准备的应</w:t>
                        </w:r>
                      </w:p>
                      <w:p>
                        <w:pPr>
                          <w:pStyle w:val="TableParagraph"/>
                          <w:tabs>
                            <w:tab w:pos="2923" w:val="left" w:leader="none"/>
                          </w:tabs>
                          <w:spacing w:line="320"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收账款</w:t>
                          <w:tab/>
                        </w:r>
                        <w:r>
                          <w:rPr>
                            <w:rFonts w:ascii="Arial Narrow" w:hAnsi="Arial Narrow" w:cs="Arial Narrow" w:eastAsia="Arial Narrow" w:hint="default"/>
                            <w:sz w:val="21"/>
                            <w:szCs w:val="21"/>
                          </w:rPr>
                          <w:t>159,076,460.64</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270"/>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535"/>
                          <w:jc w:val="right"/>
                          <w:rPr>
                            <w:rFonts w:ascii="Arial Narrow" w:hAnsi="Arial Narrow" w:cs="Arial Narrow" w:eastAsia="Arial Narrow" w:hint="default"/>
                            <w:sz w:val="21"/>
                            <w:szCs w:val="21"/>
                          </w:rPr>
                        </w:pPr>
                        <w:r>
                          <w:rPr>
                            <w:rFonts w:ascii="Arial Narrow"/>
                            <w:spacing w:val="-1"/>
                            <w:sz w:val="21"/>
                          </w:rPr>
                          <w:t>27,917,396.34</w:t>
                        </w:r>
                        <w:r>
                          <w:rPr>
                            <w:rFonts w:ascii="Arial Narrow"/>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6"/>
                          <w:jc w:val="right"/>
                          <w:rPr>
                            <w:rFonts w:ascii="Arial Narrow" w:hAnsi="Arial Narrow" w:cs="Arial Narrow" w:eastAsia="Arial Narrow" w:hint="default"/>
                            <w:sz w:val="21"/>
                            <w:szCs w:val="21"/>
                          </w:rPr>
                        </w:pPr>
                        <w:r>
                          <w:rPr>
                            <w:rFonts w:ascii="Arial Narrow"/>
                            <w:spacing w:val="-1"/>
                            <w:sz w:val="21"/>
                          </w:rPr>
                          <w:t>17.55</w:t>
                        </w:r>
                        <w:r>
                          <w:rPr>
                            <w:rFonts w:ascii="Arial Narrow"/>
                            <w:sz w:val="21"/>
                          </w:rPr>
                        </w:r>
                      </w:p>
                    </w:tc>
                  </w:tr>
                  <w:tr>
                    <w:trPr>
                      <w:trHeight w:val="504" w:hRule="exact"/>
                    </w:trPr>
                    <w:tc>
                      <w:tcPr>
                        <w:tcW w:w="4659" w:type="dxa"/>
                        <w:tcBorders>
                          <w:top w:val="nil" w:sz="6" w:space="0" w:color="auto"/>
                          <w:left w:val="nil" w:sz="6" w:space="0" w:color="auto"/>
                          <w:bottom w:val="nil" w:sz="6" w:space="0" w:color="auto"/>
                          <w:right w:val="nil" w:sz="6" w:space="0" w:color="auto"/>
                        </w:tcBorders>
                      </w:tcPr>
                      <w:p>
                        <w:pPr>
                          <w:pStyle w:val="TableParagraph"/>
                          <w:tabs>
                            <w:tab w:pos="2815" w:val="left" w:leader="none"/>
                          </w:tabs>
                          <w:spacing w:line="240" w:lineRule="auto" w:before="75"/>
                          <w:ind w:right="533"/>
                          <w:jc w:val="right"/>
                          <w:rPr>
                            <w:rFonts w:ascii="Arial Narrow" w:hAnsi="Arial Narrow" w:cs="Arial Narrow" w:eastAsia="Arial Narrow" w:hint="default"/>
                            <w:sz w:val="21"/>
                            <w:szCs w:val="21"/>
                          </w:rPr>
                        </w:pPr>
                        <w:r>
                          <w:rPr>
                            <w:rFonts w:ascii="宋体" w:hAnsi="宋体" w:cs="宋体" w:eastAsia="宋体" w:hint="default"/>
                            <w:spacing w:val="-1"/>
                            <w:sz w:val="21"/>
                            <w:szCs w:val="21"/>
                          </w:rPr>
                          <w:t>其中：账龄组合</w:t>
                          <w:tab/>
                        </w:r>
                        <w:r>
                          <w:rPr>
                            <w:rFonts w:ascii="Arial Narrow" w:hAnsi="Arial Narrow" w:cs="Arial Narrow" w:eastAsia="Arial Narrow" w:hint="default"/>
                            <w:spacing w:val="-1"/>
                            <w:sz w:val="21"/>
                            <w:szCs w:val="21"/>
                          </w:rPr>
                          <w:t>159,076,460.64</w:t>
                        </w:r>
                        <w:r>
                          <w:rPr>
                            <w:rFonts w:ascii="Arial Narrow" w:hAnsi="Arial Narrow" w:cs="Arial Narrow" w:eastAsia="Arial Narrow" w:hint="default"/>
                            <w:sz w:val="21"/>
                            <w:szCs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70"/>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35"/>
                          <w:jc w:val="right"/>
                          <w:rPr>
                            <w:rFonts w:ascii="Arial Narrow" w:hAnsi="Arial Narrow" w:cs="Arial Narrow" w:eastAsia="Arial Narrow" w:hint="default"/>
                            <w:sz w:val="21"/>
                            <w:szCs w:val="21"/>
                          </w:rPr>
                        </w:pPr>
                        <w:r>
                          <w:rPr>
                            <w:rFonts w:ascii="Arial Narrow"/>
                            <w:spacing w:val="-1"/>
                            <w:sz w:val="21"/>
                          </w:rPr>
                          <w:t>27,917,396.34</w:t>
                        </w:r>
                        <w:r>
                          <w:rPr>
                            <w:rFonts w:ascii="Arial Narrow"/>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spacing w:val="-1"/>
                            <w:sz w:val="21"/>
                          </w:rPr>
                          <w:t>17.55</w:t>
                        </w:r>
                        <w:r>
                          <w:rPr>
                            <w:rFonts w:ascii="Arial Narrow"/>
                            <w:sz w:val="21"/>
                          </w:rPr>
                        </w:r>
                      </w:p>
                    </w:tc>
                  </w:tr>
                  <w:tr>
                    <w:trPr>
                      <w:trHeight w:val="559" w:hRule="exact"/>
                    </w:trPr>
                    <w:tc>
                      <w:tcPr>
                        <w:tcW w:w="4659" w:type="dxa"/>
                        <w:tcBorders>
                          <w:top w:val="nil" w:sz="6" w:space="0" w:color="auto"/>
                          <w:left w:val="nil" w:sz="6" w:space="0" w:color="auto"/>
                          <w:bottom w:val="single" w:sz="4" w:space="0" w:color="000000"/>
                          <w:right w:val="nil" w:sz="6" w:space="0" w:color="auto"/>
                        </w:tcBorders>
                      </w:tcPr>
                      <w:p>
                        <w:pPr>
                          <w:pStyle w:val="TableParagraph"/>
                          <w:tabs>
                            <w:tab w:pos="4063" w:val="left" w:leader="none"/>
                          </w:tabs>
                          <w:spacing w:line="158" w:lineRule="auto" w:before="24"/>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单项金额虽不重大但单项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计提坏账准备的应收账款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272"/>
                          <w:jc w:val="right"/>
                          <w:rPr>
                            <w:rFonts w:ascii="Arial Narrow" w:hAnsi="Arial Narrow" w:cs="Arial Narrow" w:eastAsia="Arial Narrow" w:hint="default"/>
                            <w:sz w:val="21"/>
                            <w:szCs w:val="21"/>
                          </w:rPr>
                        </w:pPr>
                        <w:r>
                          <w:rPr>
                            <w:rFonts w:ascii="Arial Narrow"/>
                            <w:w w:val="100"/>
                            <w:sz w:val="21"/>
                          </w:rPr>
                          <w:t>-</w:t>
                        </w: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536"/>
                          <w:jc w:val="right"/>
                          <w:rPr>
                            <w:rFonts w:ascii="Arial Narrow" w:hAnsi="Arial Narrow" w:cs="Arial Narrow" w:eastAsia="Arial Narrow" w:hint="default"/>
                            <w:sz w:val="21"/>
                            <w:szCs w:val="21"/>
                          </w:rPr>
                        </w:pPr>
                        <w:r>
                          <w:rPr>
                            <w:rFonts w:ascii="Arial Narrow"/>
                            <w:w w:val="100"/>
                            <w:sz w:val="21"/>
                          </w:rPr>
                          <w:t>-</w:t>
                        </w: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w w:val="100"/>
                            <w:sz w:val="21"/>
                          </w:rPr>
                          <w:t>-</w:t>
                        </w:r>
                      </w:p>
                    </w:tc>
                  </w:tr>
                  <w:tr>
                    <w:trPr>
                      <w:trHeight w:val="403" w:hRule="exact"/>
                    </w:trPr>
                    <w:tc>
                      <w:tcPr>
                        <w:tcW w:w="4659"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2815" w:val="left" w:leader="none"/>
                          </w:tabs>
                          <w:spacing w:line="240" w:lineRule="auto" w:before="23"/>
                          <w:ind w:right="533"/>
                          <w:jc w:val="right"/>
                          <w:rPr>
                            <w:rFonts w:ascii="Arial Narrow" w:hAnsi="Arial Narrow" w:cs="Arial Narrow" w:eastAsia="Arial Narrow" w:hint="default"/>
                            <w:sz w:val="21"/>
                            <w:szCs w:val="21"/>
                          </w:rPr>
                        </w:pPr>
                        <w:r>
                          <w:rPr>
                            <w:rFonts w:ascii="宋体" w:hAnsi="宋体" w:cs="宋体" w:eastAsia="宋体" w:hint="default"/>
                            <w:b/>
                            <w:bCs/>
                            <w:sz w:val="21"/>
                            <w:szCs w:val="21"/>
                          </w:rPr>
                          <w:t>合</w:t>
                          <w:tab/>
                          <w:t>计</w:t>
                          <w:tab/>
                        </w:r>
                        <w:r>
                          <w:rPr>
                            <w:rFonts w:ascii="Arial Narrow" w:hAnsi="Arial Narrow" w:cs="Arial Narrow" w:eastAsia="Arial Narrow" w:hint="default"/>
                            <w:b/>
                            <w:bCs/>
                            <w:spacing w:val="-1"/>
                            <w:sz w:val="21"/>
                            <w:szCs w:val="21"/>
                          </w:rPr>
                          <w:t>159,076,460.64</w:t>
                        </w:r>
                        <w:r>
                          <w:rPr>
                            <w:rFonts w:ascii="Arial Narrow" w:hAnsi="Arial Narrow" w:cs="Arial Narrow" w:eastAsia="Arial Narrow" w:hint="default"/>
                            <w:sz w:val="21"/>
                            <w:szCs w:val="21"/>
                          </w:rPr>
                        </w:r>
                      </w:p>
                    </w:tc>
                    <w:tc>
                      <w:tcPr>
                        <w:tcW w:w="1384"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270"/>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913"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535"/>
                          <w:jc w:val="right"/>
                          <w:rPr>
                            <w:rFonts w:ascii="Arial Narrow" w:hAnsi="Arial Narrow" w:cs="Arial Narrow" w:eastAsia="Arial Narrow" w:hint="default"/>
                            <w:sz w:val="21"/>
                            <w:szCs w:val="21"/>
                          </w:rPr>
                        </w:pPr>
                        <w:r>
                          <w:rPr>
                            <w:rFonts w:ascii="Arial Narrow"/>
                            <w:b/>
                            <w:spacing w:val="-1"/>
                            <w:sz w:val="21"/>
                          </w:rPr>
                          <w:t>27,917,396.34</w:t>
                        </w:r>
                        <w:r>
                          <w:rPr>
                            <w:rFonts w:ascii="Arial Narrow"/>
                            <w:sz w:val="21"/>
                          </w:rPr>
                        </w:r>
                      </w:p>
                    </w:tc>
                    <w:tc>
                      <w:tcPr>
                        <w:tcW w:w="1219"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06"/>
                          <w:jc w:val="right"/>
                          <w:rPr>
                            <w:rFonts w:ascii="Arial Narrow" w:hAnsi="Arial Narrow" w:cs="Arial Narrow" w:eastAsia="Arial Narrow" w:hint="default"/>
                            <w:sz w:val="21"/>
                            <w:szCs w:val="21"/>
                          </w:rPr>
                        </w:pPr>
                        <w:r>
                          <w:rPr>
                            <w:rFonts w:ascii="Arial Narrow"/>
                            <w:b/>
                            <w:spacing w:val="-1"/>
                            <w:sz w:val="21"/>
                          </w:rPr>
                          <w:t>17.55</w:t>
                        </w:r>
                        <w:r>
                          <w:rPr>
                            <w:rFonts w:ascii="Arial Narrow"/>
                            <w:sz w:val="21"/>
                          </w:rPr>
                        </w:r>
                      </w:p>
                    </w:tc>
                  </w:tr>
                </w:tbl>
                <w:p>
                  <w:pPr/>
                </w:p>
              </w:txbxContent>
            </v:textbox>
            <w10:wrap type="none"/>
          </v:shape>
        </w:pict>
      </w:r>
      <w:r>
        <w:rPr>
          <w:rFonts w:ascii="宋体" w:hAnsi="宋体" w:cs="宋体" w:eastAsia="宋体" w:hint="default"/>
          <w:b/>
          <w:bCs/>
          <w:sz w:val="21"/>
          <w:szCs w:val="21"/>
        </w:rPr>
        <w:t>种</w:t>
        <w:tab/>
        <w:t>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8"/>
          <w:szCs w:val="28"/>
        </w:rPr>
      </w:pPr>
    </w:p>
    <w:p>
      <w:pPr>
        <w:pStyle w:val="BodyText"/>
        <w:spacing w:line="240" w:lineRule="auto" w:before="26"/>
        <w:ind w:left="562" w:right="0"/>
        <w:jc w:val="left"/>
      </w:pPr>
      <w:r>
        <w:rPr/>
        <w:t>应收账款按种类披露（续）</w:t>
      </w:r>
    </w:p>
    <w:p>
      <w:pPr>
        <w:spacing w:line="240" w:lineRule="auto" w:before="3"/>
        <w:rPr>
          <w:rFonts w:ascii="宋体" w:hAnsi="宋体" w:cs="宋体" w:eastAsia="宋体" w:hint="default"/>
          <w:sz w:val="19"/>
          <w:szCs w:val="19"/>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59.7pt;height:1pt;mso-position-horizontal-relative:char;mso-position-vertical-relative:line" coordorigin="0,0" coordsize="9194,20">
            <v:group style="position:absolute;left:10;top:10;width:2581;height:2" coordorigin="10,10" coordsize="2581,2">
              <v:shape style="position:absolute;left:10;top:10;width:2581;height:2" coordorigin="10,10" coordsize="2581,0" path="m10,10l2590,10e" filled="false" stroked="true" strokeweight=".96002pt" strokecolor="#000000">
                <v:path arrowok="t"/>
              </v:shape>
            </v:group>
            <v:group style="position:absolute;left:2590;top:10;width:20;height:2" coordorigin="2590,10" coordsize="20,2">
              <v:shape style="position:absolute;left:2590;top:10;width:20;height:2" coordorigin="2590,10" coordsize="20,0" path="m2590,10l2609,10e" filled="false" stroked="true" strokeweight=".96002pt" strokecolor="#000000">
                <v:path arrowok="t"/>
              </v:shape>
            </v:group>
            <v:group style="position:absolute;left:2609;top:10;width:6575;height:2" coordorigin="2609,10" coordsize="6575,2">
              <v:shape style="position:absolute;left:2609;top:10;width:6575;height:2" coordorigin="2609,10" coordsize="6575,0" path="m2609,10l9184,10e" filled="false" stroked="true" strokeweight=".96002pt" strokecolor="#000000">
                <v:path arrowok="t"/>
              </v:shape>
            </v:group>
          </v:group>
        </w:pict>
      </w:r>
      <w:r>
        <w:rPr>
          <w:rFonts w:ascii="宋体" w:hAnsi="宋体" w:cs="宋体" w:eastAsia="宋体" w:hint="default"/>
          <w:sz w:val="2"/>
          <w:szCs w:val="2"/>
        </w:rPr>
      </w:r>
    </w:p>
    <w:p>
      <w:pPr>
        <w:spacing w:line="237" w:lineRule="exact" w:before="18"/>
        <w:ind w:left="6013" w:right="0" w:firstLine="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p>
      <w:pPr>
        <w:tabs>
          <w:tab w:pos="984" w:val="left" w:leader="none"/>
        </w:tabs>
        <w:spacing w:line="237" w:lineRule="exact" w:before="0"/>
        <w:ind w:left="562" w:right="0" w:firstLine="0"/>
        <w:jc w:val="left"/>
        <w:rPr>
          <w:rFonts w:ascii="宋体" w:hAnsi="宋体" w:cs="宋体" w:eastAsia="宋体" w:hint="default"/>
          <w:sz w:val="21"/>
          <w:szCs w:val="21"/>
        </w:rPr>
      </w:pPr>
      <w:r>
        <w:rPr/>
        <w:pict>
          <v:shape style="position:absolute;margin-left:79.704002pt;margin-top:10.778554pt;width:458.75pt;height:117.1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59"/>
                    <w:gridCol w:w="1384"/>
                    <w:gridCol w:w="1913"/>
                    <w:gridCol w:w="1219"/>
                  </w:tblGrid>
                  <w:tr>
                    <w:trPr>
                      <w:trHeight w:val="309" w:hRule="exact"/>
                    </w:trPr>
                    <w:tc>
                      <w:tcPr>
                        <w:tcW w:w="4659" w:type="dxa"/>
                        <w:tcBorders>
                          <w:top w:val="nil" w:sz="6" w:space="0" w:color="auto"/>
                          <w:left w:val="nil" w:sz="6" w:space="0" w:color="auto"/>
                          <w:bottom w:val="single" w:sz="4" w:space="0" w:color="000000"/>
                          <w:right w:val="nil" w:sz="6" w:space="0" w:color="auto"/>
                        </w:tcBorders>
                      </w:tcPr>
                      <w:p>
                        <w:pPr>
                          <w:pStyle w:val="TableParagraph"/>
                          <w:spacing w:line="211" w:lineRule="exact"/>
                          <w:ind w:right="535"/>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226" w:lineRule="exact"/>
                          <w:ind w:right="270"/>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13" w:type="dxa"/>
                        <w:tcBorders>
                          <w:top w:val="nil" w:sz="6" w:space="0" w:color="auto"/>
                          <w:left w:val="nil" w:sz="6" w:space="0" w:color="auto"/>
                          <w:bottom w:val="single" w:sz="4" w:space="0" w:color="000000"/>
                          <w:right w:val="nil" w:sz="6" w:space="0" w:color="auto"/>
                        </w:tcBorders>
                      </w:tcPr>
                      <w:p>
                        <w:pPr>
                          <w:pStyle w:val="TableParagraph"/>
                          <w:spacing w:line="211" w:lineRule="exact"/>
                          <w:ind w:right="53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19" w:type="dxa"/>
                        <w:tcBorders>
                          <w:top w:val="nil" w:sz="6" w:space="0" w:color="auto"/>
                          <w:left w:val="nil" w:sz="6" w:space="0" w:color="auto"/>
                          <w:bottom w:val="single" w:sz="4" w:space="0" w:color="000000"/>
                          <w:right w:val="nil" w:sz="6" w:space="0" w:color="auto"/>
                        </w:tcBorders>
                      </w:tcPr>
                      <w:p>
                        <w:pPr>
                          <w:pStyle w:val="TableParagraph"/>
                          <w:spacing w:line="226" w:lineRule="exact"/>
                          <w:ind w:right="103"/>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614" w:hRule="exact"/>
                    </w:trPr>
                    <w:tc>
                      <w:tcPr>
                        <w:tcW w:w="4659" w:type="dxa"/>
                        <w:tcBorders>
                          <w:top w:val="single" w:sz="4" w:space="0" w:color="000000"/>
                          <w:left w:val="nil" w:sz="6" w:space="0" w:color="auto"/>
                          <w:bottom w:val="nil" w:sz="6" w:space="0" w:color="auto"/>
                          <w:right w:val="nil" w:sz="6" w:space="0" w:color="auto"/>
                        </w:tcBorders>
                      </w:tcPr>
                      <w:p>
                        <w:pPr>
                          <w:pStyle w:val="TableParagraph"/>
                          <w:tabs>
                            <w:tab w:pos="4063" w:val="left" w:leader="none"/>
                          </w:tabs>
                          <w:spacing w:line="158" w:lineRule="auto" w:before="78"/>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1"/>
                            <w:sz w:val="21"/>
                            <w:szCs w:val="21"/>
                          </w:rPr>
                          <w:t>坏账准备的应收账款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272"/>
                          <w:jc w:val="right"/>
                          <w:rPr>
                            <w:rFonts w:ascii="Arial Narrow" w:hAnsi="Arial Narrow" w:cs="Arial Narrow" w:eastAsia="Arial Narrow" w:hint="default"/>
                            <w:sz w:val="21"/>
                            <w:szCs w:val="21"/>
                          </w:rPr>
                        </w:pPr>
                        <w:r>
                          <w:rPr>
                            <w:rFonts w:ascii="Arial Narrow"/>
                            <w:w w:val="100"/>
                            <w:sz w:val="21"/>
                          </w:rPr>
                          <w:t>-</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536"/>
                          <w:jc w:val="right"/>
                          <w:rPr>
                            <w:rFonts w:ascii="Arial Narrow" w:hAnsi="Arial Narrow" w:cs="Arial Narrow" w:eastAsia="Arial Narrow" w:hint="default"/>
                            <w:sz w:val="21"/>
                            <w:szCs w:val="21"/>
                          </w:rPr>
                        </w:pPr>
                        <w:r>
                          <w:rPr>
                            <w:rFonts w:ascii="Arial Narrow"/>
                            <w:w w:val="100"/>
                            <w:sz w:val="21"/>
                          </w:rPr>
                          <w:t>-</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106"/>
                          <w:jc w:val="right"/>
                          <w:rPr>
                            <w:rFonts w:ascii="Arial Narrow" w:hAnsi="Arial Narrow" w:cs="Arial Narrow" w:eastAsia="Arial Narrow" w:hint="default"/>
                            <w:sz w:val="21"/>
                            <w:szCs w:val="21"/>
                          </w:rPr>
                        </w:pPr>
                        <w:r>
                          <w:rPr>
                            <w:rFonts w:ascii="Arial Narrow"/>
                            <w:w w:val="100"/>
                            <w:sz w:val="21"/>
                          </w:rPr>
                          <w:t>-</w:t>
                        </w:r>
                      </w:p>
                    </w:tc>
                  </w:tr>
                  <w:tr>
                    <w:trPr>
                      <w:trHeight w:val="557" w:hRule="exact"/>
                    </w:trPr>
                    <w:tc>
                      <w:tcPr>
                        <w:tcW w:w="4659" w:type="dxa"/>
                        <w:tcBorders>
                          <w:top w:val="nil" w:sz="6" w:space="0" w:color="auto"/>
                          <w:left w:val="nil" w:sz="6" w:space="0" w:color="auto"/>
                          <w:bottom w:val="nil" w:sz="6" w:space="0" w:color="auto"/>
                          <w:right w:val="nil" w:sz="6" w:space="0" w:color="auto"/>
                        </w:tcBorders>
                      </w:tcPr>
                      <w:p>
                        <w:pPr>
                          <w:pStyle w:val="TableParagraph"/>
                          <w:spacing w:line="221"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按组合计提坏账准备的应</w:t>
                        </w:r>
                      </w:p>
                      <w:p>
                        <w:pPr>
                          <w:pStyle w:val="TableParagraph"/>
                          <w:tabs>
                            <w:tab w:pos="2923" w:val="left" w:leader="none"/>
                          </w:tabs>
                          <w:spacing w:line="319"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收账款</w:t>
                          <w:tab/>
                        </w:r>
                        <w:r>
                          <w:rPr>
                            <w:rFonts w:ascii="Arial Narrow" w:hAnsi="Arial Narrow" w:cs="Arial Narrow" w:eastAsia="Arial Narrow" w:hint="default"/>
                            <w:sz w:val="21"/>
                            <w:szCs w:val="21"/>
                          </w:rPr>
                          <w:t>106,372,175.26</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270"/>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535"/>
                          <w:jc w:val="right"/>
                          <w:rPr>
                            <w:rFonts w:ascii="Arial Narrow" w:hAnsi="Arial Narrow" w:cs="Arial Narrow" w:eastAsia="Arial Narrow" w:hint="default"/>
                            <w:sz w:val="21"/>
                            <w:szCs w:val="21"/>
                          </w:rPr>
                        </w:pPr>
                        <w:r>
                          <w:rPr>
                            <w:rFonts w:ascii="Arial Narrow"/>
                            <w:spacing w:val="-1"/>
                            <w:sz w:val="21"/>
                          </w:rPr>
                          <w:t>20,138,204.90</w:t>
                        </w:r>
                        <w:r>
                          <w:rPr>
                            <w:rFonts w:ascii="Arial Narrow"/>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6"/>
                          <w:jc w:val="right"/>
                          <w:rPr>
                            <w:rFonts w:ascii="Arial Narrow" w:hAnsi="Arial Narrow" w:cs="Arial Narrow" w:eastAsia="Arial Narrow" w:hint="default"/>
                            <w:sz w:val="21"/>
                            <w:szCs w:val="21"/>
                          </w:rPr>
                        </w:pPr>
                        <w:r>
                          <w:rPr>
                            <w:rFonts w:ascii="Arial Narrow"/>
                            <w:spacing w:val="-1"/>
                            <w:sz w:val="21"/>
                          </w:rPr>
                          <w:t>18.93</w:t>
                        </w:r>
                        <w:r>
                          <w:rPr>
                            <w:rFonts w:ascii="Arial Narrow"/>
                            <w:sz w:val="21"/>
                          </w:rPr>
                        </w:r>
                      </w:p>
                    </w:tc>
                  </w:tr>
                  <w:tr>
                    <w:trPr>
                      <w:trHeight w:val="505" w:hRule="exact"/>
                    </w:trPr>
                    <w:tc>
                      <w:tcPr>
                        <w:tcW w:w="4659" w:type="dxa"/>
                        <w:tcBorders>
                          <w:top w:val="nil" w:sz="6" w:space="0" w:color="auto"/>
                          <w:left w:val="nil" w:sz="6" w:space="0" w:color="auto"/>
                          <w:bottom w:val="nil" w:sz="6" w:space="0" w:color="auto"/>
                          <w:right w:val="nil" w:sz="6" w:space="0" w:color="auto"/>
                        </w:tcBorders>
                      </w:tcPr>
                      <w:p>
                        <w:pPr>
                          <w:pStyle w:val="TableParagraph"/>
                          <w:tabs>
                            <w:tab w:pos="2815" w:val="left" w:leader="none"/>
                          </w:tabs>
                          <w:spacing w:line="240" w:lineRule="auto" w:before="77"/>
                          <w:ind w:right="533"/>
                          <w:jc w:val="right"/>
                          <w:rPr>
                            <w:rFonts w:ascii="Arial Narrow" w:hAnsi="Arial Narrow" w:cs="Arial Narrow" w:eastAsia="Arial Narrow" w:hint="default"/>
                            <w:sz w:val="21"/>
                            <w:szCs w:val="21"/>
                          </w:rPr>
                        </w:pPr>
                        <w:r>
                          <w:rPr>
                            <w:rFonts w:ascii="宋体" w:hAnsi="宋体" w:cs="宋体" w:eastAsia="宋体" w:hint="default"/>
                            <w:spacing w:val="-1"/>
                            <w:sz w:val="21"/>
                            <w:szCs w:val="21"/>
                          </w:rPr>
                          <w:t>其中：账龄组合</w:t>
                          <w:tab/>
                        </w:r>
                        <w:r>
                          <w:rPr>
                            <w:rFonts w:ascii="Arial Narrow" w:hAnsi="Arial Narrow" w:cs="Arial Narrow" w:eastAsia="Arial Narrow" w:hint="default"/>
                            <w:spacing w:val="-1"/>
                            <w:sz w:val="21"/>
                            <w:szCs w:val="21"/>
                          </w:rPr>
                          <w:t>106,372,175.26</w:t>
                        </w:r>
                        <w:r>
                          <w:rPr>
                            <w:rFonts w:ascii="Arial Narrow" w:hAnsi="Arial Narrow" w:cs="Arial Narrow" w:eastAsia="Arial Narrow" w:hint="default"/>
                            <w:sz w:val="21"/>
                            <w:szCs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70"/>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535"/>
                          <w:jc w:val="right"/>
                          <w:rPr>
                            <w:rFonts w:ascii="Arial Narrow" w:hAnsi="Arial Narrow" w:cs="Arial Narrow" w:eastAsia="Arial Narrow" w:hint="default"/>
                            <w:sz w:val="21"/>
                            <w:szCs w:val="21"/>
                          </w:rPr>
                        </w:pPr>
                        <w:r>
                          <w:rPr>
                            <w:rFonts w:ascii="Arial Narrow"/>
                            <w:spacing w:val="-1"/>
                            <w:sz w:val="21"/>
                          </w:rPr>
                          <w:t>20,138,204.90</w:t>
                        </w:r>
                        <w:r>
                          <w:rPr>
                            <w:rFonts w:ascii="Arial Narrow"/>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6"/>
                          <w:jc w:val="right"/>
                          <w:rPr>
                            <w:rFonts w:ascii="Arial Narrow" w:hAnsi="Arial Narrow" w:cs="Arial Narrow" w:eastAsia="Arial Narrow" w:hint="default"/>
                            <w:sz w:val="21"/>
                            <w:szCs w:val="21"/>
                          </w:rPr>
                        </w:pPr>
                        <w:r>
                          <w:rPr>
                            <w:rFonts w:ascii="Arial Narrow"/>
                            <w:spacing w:val="-1"/>
                            <w:sz w:val="21"/>
                          </w:rPr>
                          <w:t>18.93</w:t>
                        </w:r>
                        <w:r>
                          <w:rPr>
                            <w:rFonts w:ascii="Arial Narrow"/>
                            <w:sz w:val="21"/>
                          </w:rPr>
                        </w:r>
                      </w:p>
                    </w:tc>
                  </w:tr>
                  <w:tr>
                    <w:trPr>
                      <w:trHeight w:val="358" w:hRule="exact"/>
                    </w:trPr>
                    <w:tc>
                      <w:tcPr>
                        <w:tcW w:w="4659" w:type="dxa"/>
                        <w:tcBorders>
                          <w:top w:val="nil" w:sz="6" w:space="0" w:color="auto"/>
                          <w:left w:val="nil" w:sz="6" w:space="0" w:color="auto"/>
                          <w:bottom w:val="nil" w:sz="6" w:space="0" w:color="auto"/>
                          <w:right w:val="nil" w:sz="6" w:space="0" w:color="auto"/>
                        </w:tcBorders>
                      </w:tcPr>
                      <w:p>
                        <w:pPr>
                          <w:pStyle w:val="TableParagraph"/>
                          <w:tabs>
                            <w:tab w:pos="4063" w:val="left" w:leader="none"/>
                          </w:tabs>
                          <w:spacing w:line="156" w:lineRule="auto" w:before="27"/>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单项金额虽不重大但单项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计提坏账准备的应收账款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72"/>
                          <w:jc w:val="right"/>
                          <w:rPr>
                            <w:rFonts w:ascii="Arial Narrow" w:hAnsi="Arial Narrow" w:cs="Arial Narrow" w:eastAsia="Arial Narrow" w:hint="default"/>
                            <w:sz w:val="21"/>
                            <w:szCs w:val="21"/>
                          </w:rPr>
                        </w:pPr>
                        <w:r>
                          <w:rPr>
                            <w:rFonts w:ascii="Arial Narrow"/>
                            <w:w w:val="100"/>
                            <w:sz w:val="21"/>
                          </w:rPr>
                          <w:t>-</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36"/>
                          <w:jc w:val="right"/>
                          <w:rPr>
                            <w:rFonts w:ascii="Arial Narrow" w:hAnsi="Arial Narrow" w:cs="Arial Narrow" w:eastAsia="Arial Narrow" w:hint="default"/>
                            <w:sz w:val="21"/>
                            <w:szCs w:val="21"/>
                          </w:rPr>
                        </w:pPr>
                        <w:r>
                          <w:rPr>
                            <w:rFonts w:ascii="Arial Narrow"/>
                            <w:w w:val="100"/>
                            <w:sz w:val="21"/>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w w:val="100"/>
                            <w:sz w:val="21"/>
                          </w:rPr>
                          <w:t>-</w:t>
                        </w:r>
                      </w:p>
                    </w:tc>
                  </w:tr>
                </w:tbl>
                <w:p>
                  <w:pPr/>
                </w:p>
              </w:txbxContent>
            </v:textbox>
            <w10:wrap type="none"/>
          </v:shape>
        </w:pict>
      </w:r>
      <w:r>
        <w:rPr>
          <w:rFonts w:ascii="宋体" w:hAnsi="宋体" w:cs="宋体" w:eastAsia="宋体" w:hint="default"/>
          <w:b/>
          <w:bCs/>
          <w:sz w:val="21"/>
          <w:szCs w:val="21"/>
        </w:rPr>
        <w:t>种</w:t>
        <w:tab/>
        <w:t>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p>
      <w:pPr>
        <w:spacing w:line="20" w:lineRule="exact"/>
        <w:ind w:left="434" w:right="0" w:firstLine="0"/>
        <w:rPr>
          <w:rFonts w:ascii="宋体" w:hAnsi="宋体" w:cs="宋体" w:eastAsia="宋体" w:hint="default"/>
          <w:sz w:val="2"/>
          <w:szCs w:val="2"/>
        </w:rPr>
      </w:pPr>
      <w:r>
        <w:rPr>
          <w:rFonts w:ascii="宋体" w:hAnsi="宋体" w:cs="宋体" w:eastAsia="宋体" w:hint="default"/>
          <w:sz w:val="2"/>
          <w:szCs w:val="2"/>
        </w:rPr>
        <w:pict>
          <v:group style="width:459.95pt;height:.5pt;mso-position-horizontal-relative:char;mso-position-vertical-relative:line" coordorigin="0,0" coordsize="9199,10">
            <v:group style="position:absolute;left:5;top:5;width:2595;height:2" coordorigin="5,5" coordsize="2595,2">
              <v:shape style="position:absolute;left:5;top:5;width:2595;height:2" coordorigin="5,5" coordsize="2595,0" path="m5,5l2600,5e" filled="false" stroked="true" strokeweight=".48004pt" strokecolor="#000000">
                <v:path arrowok="t"/>
              </v:shape>
            </v:group>
            <v:group style="position:absolute;left:2585;top:5;width:10;height:2" coordorigin="2585,5" coordsize="10,2">
              <v:shape style="position:absolute;left:2585;top:5;width:10;height:2" coordorigin="2585,5" coordsize="10,0" path="m2585,5l2595,5e" filled="false" stroked="true" strokeweight=".48004pt" strokecolor="#000000">
                <v:path arrowok="t"/>
              </v:shape>
            </v:group>
            <v:group style="position:absolute;left:2595;top:5;width:1654;height:2" coordorigin="2595,5" coordsize="1654,2">
              <v:shape style="position:absolute;left:2595;top:5;width:1654;height:2" coordorigin="2595,5" coordsize="1654,0" path="m2595,5l4249,5e" filled="false" stroked="true" strokeweight=".48004pt" strokecolor="#000000">
                <v:path arrowok="t"/>
              </v:shape>
            </v:group>
            <v:group style="position:absolute;left:4234;top:5;width:10;height:2" coordorigin="4234,5" coordsize="10,2">
              <v:shape style="position:absolute;left:4234;top:5;width:10;height:2" coordorigin="4234,5" coordsize="10,0" path="m4234,5l4244,5e" filled="false" stroked="true" strokeweight=".48004pt" strokecolor="#000000">
                <v:path arrowok="t"/>
              </v:shape>
            </v:group>
            <v:group style="position:absolute;left:4244;top:5;width:1652;height:2" coordorigin="4244,5" coordsize="1652,2">
              <v:shape style="position:absolute;left:4244;top:5;width:1652;height:2" coordorigin="4244,5" coordsize="1652,0" path="m4244,5l5895,5e" filled="false" stroked="true" strokeweight=".48004pt" strokecolor="#000000">
                <v:path arrowok="t"/>
              </v:shape>
            </v:group>
            <v:group style="position:absolute;left:5881;top:5;width:10;height:2" coordorigin="5881,5" coordsize="10,2">
              <v:shape style="position:absolute;left:5881;top:5;width:10;height:2" coordorigin="5881,5" coordsize="10,0" path="m5881,5l5891,5e" filled="false" stroked="true" strokeweight=".48004pt" strokecolor="#000000">
                <v:path arrowok="t"/>
              </v:shape>
            </v:group>
            <v:group style="position:absolute;left:5891;top:5;width:1655;height:2" coordorigin="5891,5" coordsize="1655,2">
              <v:shape style="position:absolute;left:5891;top:5;width:1655;height:2" coordorigin="5891,5" coordsize="1655,0" path="m5891,5l7545,5e" filled="false" stroked="true" strokeweight=".48004pt" strokecolor="#000000">
                <v:path arrowok="t"/>
              </v:shape>
            </v:group>
            <v:group style="position:absolute;left:7530;top:5;width:10;height:2" coordorigin="7530,5" coordsize="10,2">
              <v:shape style="position:absolute;left:7530;top:5;width:10;height:2" coordorigin="7530,5" coordsize="10,0" path="m7530,5l7540,5e" filled="false" stroked="true" strokeweight=".48004pt" strokecolor="#000000">
                <v:path arrowok="t"/>
              </v:shape>
            </v:group>
            <v:group style="position:absolute;left:7540;top:5;width:1655;height:2" coordorigin="7540,5" coordsize="1655,2">
              <v:shape style="position:absolute;left:7540;top:5;width:1655;height:2" coordorigin="7540,5" coordsize="1655,0" path="m7540,5l9194,5e" filled="false" stroked="true" strokeweight=".48004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50"/>
          <w:pgMar w:header="771" w:footer="919" w:top="1640" w:bottom="1100" w:left="1140" w:right="880"/>
        </w:sectPr>
      </w:pPr>
    </w:p>
    <w:p>
      <w:pPr>
        <w:spacing w:line="240" w:lineRule="auto" w:before="1"/>
        <w:rPr>
          <w:rFonts w:ascii="宋体" w:hAnsi="宋体" w:cs="宋体" w:eastAsia="宋体" w:hint="default"/>
          <w:b/>
          <w:bCs/>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7.95pt;height:.75pt;mso-position-horizontal-relative:char;mso-position-vertical-relative:line" coordorigin="0,0" coordsize="9559,15">
            <v:group style="position:absolute;left:7;top:7;width:9545;height:2" coordorigin="7,7" coordsize="9545,2">
              <v:shape style="position:absolute;left:7;top:7;width:9545;height:2" coordorigin="7,7" coordsize="9545,0" path="m7,7l9552,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9"/>
          <w:szCs w:val="19"/>
        </w:rPr>
      </w:pPr>
    </w:p>
    <w:tbl>
      <w:tblPr>
        <w:tblW w:w="0" w:type="auto"/>
        <w:jc w:val="left"/>
        <w:tblInd w:w="454" w:type="dxa"/>
        <w:tblLayout w:type="fixed"/>
        <w:tblCellMar>
          <w:top w:w="0" w:type="dxa"/>
          <w:left w:w="0" w:type="dxa"/>
          <w:bottom w:w="0" w:type="dxa"/>
          <w:right w:w="0" w:type="dxa"/>
        </w:tblCellMar>
        <w:tblLook w:val="01E0"/>
      </w:tblPr>
      <w:tblGrid>
        <w:gridCol w:w="1833"/>
        <w:gridCol w:w="2850"/>
        <w:gridCol w:w="1360"/>
        <w:gridCol w:w="1984"/>
        <w:gridCol w:w="1148"/>
      </w:tblGrid>
      <w:tr>
        <w:trPr>
          <w:trHeight w:val="725" w:hRule="exact"/>
        </w:trPr>
        <w:tc>
          <w:tcPr>
            <w:tcW w:w="1833"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b/>
                <w:bCs/>
                <w:sz w:val="14"/>
                <w:szCs w:val="14"/>
              </w:rPr>
            </w:pPr>
          </w:p>
          <w:p>
            <w:pPr>
              <w:pStyle w:val="TableParagraph"/>
              <w:tabs>
                <w:tab w:pos="530" w:val="left" w:leader="none"/>
              </w:tabs>
              <w:spacing w:line="240" w:lineRule="auto"/>
              <w:ind w:left="10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850"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91" w:right="0"/>
              <w:jc w:val="left"/>
              <w:rPr>
                <w:rFonts w:ascii="Arial Narrow" w:hAnsi="Arial Narrow" w:cs="Arial Narrow" w:eastAsia="Arial Narrow" w:hint="default"/>
                <w:sz w:val="21"/>
                <w:szCs w:val="21"/>
              </w:rPr>
            </w:pPr>
            <w:r>
              <w:rPr>
                <w:rFonts w:ascii="Arial Narrow"/>
                <w:sz w:val="21"/>
              </w:rPr>
              <w:t>106,372,175.26</w:t>
            </w:r>
          </w:p>
        </w:tc>
        <w:tc>
          <w:tcPr>
            <w:tcW w:w="1360"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559" w:right="0"/>
              <w:jc w:val="left"/>
              <w:rPr>
                <w:rFonts w:ascii="Arial Narrow" w:hAnsi="Arial Narrow" w:cs="Arial Narrow" w:eastAsia="Arial Narrow" w:hint="default"/>
                <w:sz w:val="21"/>
                <w:szCs w:val="21"/>
              </w:rPr>
            </w:pPr>
            <w:r>
              <w:rPr>
                <w:rFonts w:ascii="Arial Narrow"/>
                <w:sz w:val="21"/>
              </w:rPr>
              <w:t>100.00</w:t>
            </w:r>
          </w:p>
        </w:tc>
        <w:tc>
          <w:tcPr>
            <w:tcW w:w="1984"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72" w:right="0"/>
              <w:jc w:val="left"/>
              <w:rPr>
                <w:rFonts w:ascii="Arial Narrow" w:hAnsi="Arial Narrow" w:cs="Arial Narrow" w:eastAsia="Arial Narrow" w:hint="default"/>
                <w:sz w:val="21"/>
                <w:szCs w:val="21"/>
              </w:rPr>
            </w:pPr>
            <w:r>
              <w:rPr>
                <w:rFonts w:ascii="Arial Narrow"/>
                <w:sz w:val="21"/>
              </w:rPr>
              <w:t>20,138,204.90</w:t>
            </w:r>
          </w:p>
        </w:tc>
        <w:tc>
          <w:tcPr>
            <w:tcW w:w="1148"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607" w:right="0"/>
              <w:jc w:val="left"/>
              <w:rPr>
                <w:rFonts w:ascii="Arial Narrow" w:hAnsi="Arial Narrow" w:cs="Arial Narrow" w:eastAsia="Arial Narrow" w:hint="default"/>
                <w:sz w:val="21"/>
                <w:szCs w:val="21"/>
              </w:rPr>
            </w:pPr>
            <w:r>
              <w:rPr>
                <w:rFonts w:ascii="Arial Narrow"/>
                <w:sz w:val="21"/>
              </w:rPr>
              <w:t>18.93</w:t>
            </w:r>
          </w:p>
        </w:tc>
      </w:tr>
    </w:tbl>
    <w:p>
      <w:pPr>
        <w:pStyle w:val="BodyText"/>
        <w:spacing w:line="403" w:lineRule="auto" w:before="79"/>
        <w:ind w:left="562" w:right="4182"/>
        <w:jc w:val="left"/>
      </w:pPr>
      <w:r>
        <w:rPr/>
        <w:t>说明： 账龄组合</w:t>
      </w:r>
      <w:r>
        <w:rPr>
          <w:rFonts w:ascii="Arial Narrow" w:hAnsi="Arial Narrow" w:cs="Arial Narrow" w:eastAsia="Arial Narrow" w:hint="default"/>
          <w:color w:val="0000FF"/>
        </w:rPr>
        <w:t>,</w:t>
      </w:r>
      <w:r>
        <w:rPr/>
        <w:t>按账龄分析法计提坏账准备的应收账款</w:t>
      </w:r>
    </w:p>
    <w:p>
      <w:pPr>
        <w:spacing w:line="240" w:lineRule="auto" w:before="11"/>
        <w:rPr>
          <w:rFonts w:ascii="宋体" w:hAnsi="宋体" w:cs="宋体" w:eastAsia="宋体" w:hint="default"/>
          <w:sz w:val="3"/>
          <w:szCs w:val="3"/>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5.1pt;height:1pt;mso-position-horizontal-relative:char;mso-position-vertical-relative:line" coordorigin="0,0" coordsize="9302,20">
            <v:group style="position:absolute;left:10;top:10;width:1016;height:2" coordorigin="10,10" coordsize="1016,2">
              <v:shape style="position:absolute;left:10;top:10;width:1016;height:2" coordorigin="10,10" coordsize="1016,0" path="m10,10l1025,10e" filled="false" stroked="true" strokeweight=".95999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5999pt" strokecolor="#000000">
                <v:path arrowok="t"/>
              </v:shape>
            </v:group>
            <v:group style="position:absolute;left:1044;top:10;width:4139;height:2" coordorigin="1044,10" coordsize="4139,2">
              <v:shape style="position:absolute;left:1044;top:10;width:4139;height:2" coordorigin="1044,10" coordsize="4139,0" path="m1044,10l5183,10e" filled="false" stroked="true" strokeweight=".95999pt" strokecolor="#000000">
                <v:path arrowok="t"/>
              </v:shape>
            </v:group>
            <v:group style="position:absolute;left:5183;top:10;width:20;height:2" coordorigin="5183,10" coordsize="20,2">
              <v:shape style="position:absolute;left:5183;top:10;width:20;height:2" coordorigin="5183,10" coordsize="20,0" path="m5183,10l5202,10e" filled="false" stroked="true" strokeweight=".95999pt" strokecolor="#000000">
                <v:path arrowok="t"/>
              </v:shape>
            </v:group>
            <v:group style="position:absolute;left:5202;top:10;width:4091;height:2" coordorigin="5202,10" coordsize="4091,2">
              <v:shape style="position:absolute;left:5202;top:10;width:4091;height:2" coordorigin="5202,10" coordsize="4091,0" path="m5202,10l9292,10e" filled="false" stroked="true" strokeweight=".95999pt" strokecolor="#000000">
                <v:path arrowok="t"/>
              </v:shape>
            </v:group>
          </v:group>
        </w:pict>
      </w:r>
      <w:r>
        <w:rPr>
          <w:rFonts w:ascii="宋体" w:hAnsi="宋体" w:cs="宋体" w:eastAsia="宋体" w:hint="default"/>
          <w:sz w:val="2"/>
          <w:szCs w:val="2"/>
        </w:rPr>
      </w:r>
    </w:p>
    <w:p>
      <w:pPr>
        <w:tabs>
          <w:tab w:pos="7362" w:val="left" w:leader="none"/>
        </w:tabs>
        <w:spacing w:before="30"/>
        <w:ind w:left="3231" w:right="0" w:firstLine="0"/>
        <w:jc w:val="left"/>
        <w:rPr>
          <w:rFonts w:ascii="宋体" w:hAnsi="宋体" w:cs="宋体" w:eastAsia="宋体" w:hint="default"/>
          <w:sz w:val="21"/>
          <w:szCs w:val="21"/>
        </w:rPr>
      </w:pPr>
      <w:r>
        <w:rPr>
          <w:rFonts w:ascii="宋体" w:hAnsi="宋体" w:cs="宋体" w:eastAsia="宋体" w:hint="default"/>
          <w:b/>
          <w:bCs/>
          <w:sz w:val="21"/>
          <w:szCs w:val="21"/>
        </w:rPr>
        <w:t>期末数</w:t>
        <w:tab/>
        <w:t>期初数</w:t>
      </w:r>
      <w:r>
        <w:rPr>
          <w:rFonts w:ascii="宋体" w:hAnsi="宋体" w:cs="宋体" w:eastAsia="宋体" w:hint="default"/>
          <w:sz w:val="21"/>
          <w:szCs w:val="21"/>
        </w:rPr>
      </w:r>
    </w:p>
    <w:tbl>
      <w:tblPr>
        <w:tblW w:w="0" w:type="auto"/>
        <w:jc w:val="left"/>
        <w:tblInd w:w="454" w:type="dxa"/>
        <w:tblLayout w:type="fixed"/>
        <w:tblCellMar>
          <w:top w:w="0" w:type="dxa"/>
          <w:left w:w="0" w:type="dxa"/>
          <w:bottom w:w="0" w:type="dxa"/>
          <w:right w:w="0" w:type="dxa"/>
        </w:tblCellMar>
        <w:tblLook w:val="01E0"/>
      </w:tblPr>
      <w:tblGrid>
        <w:gridCol w:w="1006"/>
        <w:gridCol w:w="1715"/>
        <w:gridCol w:w="1107"/>
        <w:gridCol w:w="1422"/>
        <w:gridCol w:w="1683"/>
        <w:gridCol w:w="1006"/>
        <w:gridCol w:w="1344"/>
      </w:tblGrid>
      <w:tr>
        <w:trPr>
          <w:trHeight w:val="511" w:hRule="exact"/>
        </w:trPr>
        <w:tc>
          <w:tcPr>
            <w:tcW w:w="1006"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197"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账</w:t>
              <w:tab/>
              <w:t>龄</w:t>
            </w:r>
            <w:r>
              <w:rPr>
                <w:rFonts w:ascii="宋体" w:hAnsi="宋体" w:cs="宋体" w:eastAsia="宋体" w:hint="default"/>
                <w:sz w:val="21"/>
                <w:szCs w:val="21"/>
              </w:rPr>
            </w: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397"/>
              <w:jc w:val="right"/>
              <w:rPr>
                <w:rFonts w:ascii="宋体" w:hAnsi="宋体" w:cs="宋体" w:eastAsia="宋体" w:hint="default"/>
                <w:sz w:val="21"/>
                <w:szCs w:val="21"/>
              </w:rPr>
            </w:pPr>
            <w:r>
              <w:rPr>
                <w:rFonts w:ascii="宋体" w:hAnsi="宋体" w:cs="宋体" w:eastAsia="宋体" w:hint="default"/>
                <w:b/>
                <w:bCs/>
                <w:sz w:val="21"/>
                <w:szCs w:val="21"/>
              </w:rPr>
              <w:t>金 额</w:t>
            </w:r>
            <w:r>
              <w:rPr>
                <w:rFonts w:ascii="宋体" w:hAnsi="宋体" w:cs="宋体" w:eastAsia="宋体" w:hint="default"/>
                <w:sz w:val="21"/>
                <w:szCs w:val="21"/>
              </w:rPr>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31"/>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8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298"/>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29"/>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06"/>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05" w:hRule="exact"/>
        </w:trPr>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396"/>
              <w:jc w:val="right"/>
              <w:rPr>
                <w:rFonts w:ascii="Arial Narrow" w:hAnsi="Arial Narrow" w:cs="Arial Narrow" w:eastAsia="Arial Narrow" w:hint="default"/>
                <w:sz w:val="21"/>
                <w:szCs w:val="21"/>
              </w:rPr>
            </w:pPr>
            <w:r>
              <w:rPr>
                <w:rFonts w:ascii="Arial Narrow"/>
                <w:spacing w:val="-1"/>
                <w:sz w:val="21"/>
              </w:rPr>
              <w:t>108,530,953.38</w:t>
            </w:r>
            <w:r>
              <w:rPr>
                <w:rFonts w:ascii="Arial Narrow"/>
                <w:sz w:val="21"/>
              </w:rPr>
            </w:r>
          </w:p>
        </w:tc>
        <w:tc>
          <w:tcPr>
            <w:tcW w:w="1107"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33"/>
              <w:jc w:val="right"/>
              <w:rPr>
                <w:rFonts w:ascii="Arial Narrow" w:hAnsi="Arial Narrow" w:cs="Arial Narrow" w:eastAsia="Arial Narrow" w:hint="default"/>
                <w:sz w:val="21"/>
                <w:szCs w:val="21"/>
              </w:rPr>
            </w:pPr>
            <w:r>
              <w:rPr>
                <w:rFonts w:ascii="Arial Narrow"/>
                <w:spacing w:val="-1"/>
                <w:sz w:val="21"/>
              </w:rPr>
              <w:t>68.23</w:t>
            </w:r>
            <w:r>
              <w:rPr>
                <w:rFonts w:ascii="Arial Narrow"/>
                <w:sz w:val="21"/>
              </w:rPr>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83"/>
              <w:jc w:val="right"/>
              <w:rPr>
                <w:rFonts w:ascii="Arial Narrow" w:hAnsi="Arial Narrow" w:cs="Arial Narrow" w:eastAsia="Arial Narrow" w:hint="default"/>
                <w:sz w:val="21"/>
                <w:szCs w:val="21"/>
              </w:rPr>
            </w:pPr>
            <w:r>
              <w:rPr>
                <w:rFonts w:ascii="Arial Narrow"/>
                <w:spacing w:val="-1"/>
                <w:sz w:val="21"/>
              </w:rPr>
              <w:t>5,426,547.70</w:t>
            </w:r>
            <w:r>
              <w:rPr>
                <w:rFonts w:ascii="Arial Narrow"/>
                <w:sz w:val="21"/>
              </w:rPr>
            </w:r>
          </w:p>
        </w:tc>
        <w:tc>
          <w:tcPr>
            <w:tcW w:w="168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96"/>
              <w:jc w:val="right"/>
              <w:rPr>
                <w:rFonts w:ascii="Arial Narrow" w:hAnsi="Arial Narrow" w:cs="Arial Narrow" w:eastAsia="Arial Narrow" w:hint="default"/>
                <w:sz w:val="21"/>
                <w:szCs w:val="21"/>
              </w:rPr>
            </w:pPr>
            <w:r>
              <w:rPr>
                <w:rFonts w:ascii="Arial Narrow"/>
                <w:spacing w:val="-1"/>
                <w:sz w:val="21"/>
              </w:rPr>
              <w:t>65,690,103.96</w:t>
            </w:r>
            <w:r>
              <w:rPr>
                <w:rFonts w:ascii="Arial Narrow"/>
                <w:sz w:val="21"/>
              </w:rPr>
            </w:r>
          </w:p>
        </w:tc>
        <w:tc>
          <w:tcPr>
            <w:tcW w:w="100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32"/>
              <w:jc w:val="right"/>
              <w:rPr>
                <w:rFonts w:ascii="Arial Narrow" w:hAnsi="Arial Narrow" w:cs="Arial Narrow" w:eastAsia="Arial Narrow" w:hint="default"/>
                <w:sz w:val="21"/>
                <w:szCs w:val="21"/>
              </w:rPr>
            </w:pPr>
            <w:r>
              <w:rPr>
                <w:rFonts w:ascii="Arial Narrow"/>
                <w:spacing w:val="-1"/>
                <w:sz w:val="21"/>
              </w:rPr>
              <w:t>61.75</w:t>
            </w:r>
            <w:r>
              <w:rPr>
                <w:rFonts w:ascii="Arial Narrow"/>
                <w:sz w:val="21"/>
              </w:rPr>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1"/>
                <w:szCs w:val="21"/>
              </w:rPr>
            </w:pPr>
            <w:r>
              <w:rPr>
                <w:rFonts w:ascii="Arial Narrow"/>
                <w:spacing w:val="-1"/>
                <w:sz w:val="21"/>
              </w:rPr>
              <w:t>3,284,505.20</w:t>
            </w:r>
            <w:r>
              <w:rPr>
                <w:rFonts w:ascii="Arial Narrow"/>
                <w:sz w:val="21"/>
              </w:rPr>
            </w:r>
          </w:p>
        </w:tc>
      </w:tr>
      <w:tr>
        <w:trPr>
          <w:trHeight w:val="397"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5"/>
              <w:jc w:val="right"/>
              <w:rPr>
                <w:rFonts w:ascii="Arial Narrow" w:hAnsi="Arial Narrow" w:cs="Arial Narrow" w:eastAsia="Arial Narrow" w:hint="default"/>
                <w:sz w:val="21"/>
                <w:szCs w:val="21"/>
              </w:rPr>
            </w:pPr>
            <w:r>
              <w:rPr>
                <w:rFonts w:ascii="Arial Narrow"/>
                <w:spacing w:val="-2"/>
                <w:sz w:val="21"/>
              </w:rPr>
              <w:t>27,097,384.11</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3"/>
              <w:jc w:val="right"/>
              <w:rPr>
                <w:rFonts w:ascii="Arial Narrow" w:hAnsi="Arial Narrow" w:cs="Arial Narrow" w:eastAsia="Arial Narrow" w:hint="default"/>
                <w:sz w:val="21"/>
                <w:szCs w:val="21"/>
              </w:rPr>
            </w:pPr>
            <w:r>
              <w:rPr>
                <w:rFonts w:ascii="Arial Narrow"/>
                <w:spacing w:val="-1"/>
                <w:sz w:val="21"/>
              </w:rPr>
              <w:t>17.03</w:t>
            </w:r>
            <w:r>
              <w:rPr>
                <w:rFonts w:ascii="Arial Narrow"/>
                <w:sz w:val="21"/>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3"/>
              <w:jc w:val="right"/>
              <w:rPr>
                <w:rFonts w:ascii="Arial Narrow" w:hAnsi="Arial Narrow" w:cs="Arial Narrow" w:eastAsia="Arial Narrow" w:hint="default"/>
                <w:sz w:val="21"/>
                <w:szCs w:val="21"/>
              </w:rPr>
            </w:pPr>
            <w:r>
              <w:rPr>
                <w:rFonts w:ascii="Arial Narrow"/>
                <w:spacing w:val="-1"/>
                <w:sz w:val="21"/>
              </w:rPr>
              <w:t>5,419,476.82</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96"/>
              <w:jc w:val="right"/>
              <w:rPr>
                <w:rFonts w:ascii="Arial Narrow" w:hAnsi="Arial Narrow" w:cs="Arial Narrow" w:eastAsia="Arial Narrow" w:hint="default"/>
                <w:sz w:val="21"/>
                <w:szCs w:val="21"/>
              </w:rPr>
            </w:pPr>
            <w:r>
              <w:rPr>
                <w:rFonts w:ascii="Arial Narrow"/>
                <w:spacing w:val="-1"/>
                <w:sz w:val="21"/>
              </w:rPr>
              <w:t>21,899,304.00</w:t>
            </w:r>
            <w:r>
              <w:rPr>
                <w:rFonts w:ascii="Arial Narrow"/>
                <w:sz w:val="21"/>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2"/>
              <w:jc w:val="right"/>
              <w:rPr>
                <w:rFonts w:ascii="Arial Narrow" w:hAnsi="Arial Narrow" w:cs="Arial Narrow" w:eastAsia="Arial Narrow" w:hint="default"/>
                <w:sz w:val="21"/>
                <w:szCs w:val="21"/>
              </w:rPr>
            </w:pPr>
            <w:r>
              <w:rPr>
                <w:rFonts w:ascii="Arial Narrow"/>
                <w:spacing w:val="-1"/>
                <w:sz w:val="21"/>
              </w:rPr>
              <w:t>20.59</w:t>
            </w:r>
            <w:r>
              <w:rPr>
                <w:rFonts w:ascii="Arial Narrow"/>
                <w:sz w:val="21"/>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1"/>
                <w:szCs w:val="21"/>
              </w:rPr>
            </w:pPr>
            <w:r>
              <w:rPr>
                <w:rFonts w:ascii="Arial Narrow"/>
                <w:spacing w:val="-1"/>
                <w:sz w:val="21"/>
              </w:rPr>
              <w:t>4,379,860.80</w:t>
            </w:r>
            <w:r>
              <w:rPr>
                <w:rFonts w:ascii="Arial Narrow"/>
                <w:sz w:val="21"/>
              </w:rPr>
            </w:r>
          </w:p>
        </w:tc>
      </w:tr>
      <w:tr>
        <w:trPr>
          <w:trHeight w:val="397" w:hRule="exact"/>
        </w:trPr>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7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96"/>
              <w:jc w:val="right"/>
              <w:rPr>
                <w:rFonts w:ascii="Arial Narrow" w:hAnsi="Arial Narrow" w:cs="Arial Narrow" w:eastAsia="Arial Narrow" w:hint="default"/>
                <w:sz w:val="21"/>
                <w:szCs w:val="21"/>
              </w:rPr>
            </w:pPr>
            <w:r>
              <w:rPr>
                <w:rFonts w:ascii="Arial Narrow"/>
                <w:spacing w:val="-1"/>
                <w:sz w:val="21"/>
              </w:rPr>
              <w:t>12,753,502.65</w:t>
            </w:r>
            <w:r>
              <w:rPr>
                <w:rFonts w:ascii="Arial Narrow"/>
                <w:sz w:val="21"/>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3"/>
              <w:jc w:val="right"/>
              <w:rPr>
                <w:rFonts w:ascii="Arial Narrow" w:hAnsi="Arial Narrow" w:cs="Arial Narrow" w:eastAsia="Arial Narrow" w:hint="default"/>
                <w:sz w:val="21"/>
                <w:szCs w:val="21"/>
              </w:rPr>
            </w:pPr>
            <w:r>
              <w:rPr>
                <w:rFonts w:ascii="Arial Narrow"/>
                <w:spacing w:val="-1"/>
                <w:sz w:val="21"/>
              </w:rPr>
              <w:t>8.02</w:t>
            </w:r>
            <w:r>
              <w:rPr>
                <w:rFonts w:ascii="Arial Narrow"/>
                <w:sz w:val="21"/>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3"/>
              <w:jc w:val="right"/>
              <w:rPr>
                <w:rFonts w:ascii="Arial Narrow" w:hAnsi="Arial Narrow" w:cs="Arial Narrow" w:eastAsia="Arial Narrow" w:hint="default"/>
                <w:sz w:val="21"/>
                <w:szCs w:val="21"/>
              </w:rPr>
            </w:pPr>
            <w:r>
              <w:rPr>
                <w:rFonts w:ascii="Arial Narrow"/>
                <w:spacing w:val="-1"/>
                <w:sz w:val="21"/>
              </w:rPr>
              <w:t>6,376,751.32</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6"/>
              <w:jc w:val="right"/>
              <w:rPr>
                <w:rFonts w:ascii="Arial Narrow" w:hAnsi="Arial Narrow" w:cs="Arial Narrow" w:eastAsia="Arial Narrow" w:hint="default"/>
                <w:sz w:val="21"/>
                <w:szCs w:val="21"/>
              </w:rPr>
            </w:pPr>
            <w:r>
              <w:rPr>
                <w:rFonts w:ascii="Arial Narrow"/>
                <w:spacing w:val="-1"/>
                <w:sz w:val="21"/>
              </w:rPr>
              <w:t>12,617,856.80</w:t>
            </w:r>
            <w:r>
              <w:rPr>
                <w:rFonts w:ascii="Arial Narrow"/>
                <w:sz w:val="21"/>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9"/>
              <w:jc w:val="right"/>
              <w:rPr>
                <w:rFonts w:ascii="Arial Narrow" w:hAnsi="Arial Narrow" w:cs="Arial Narrow" w:eastAsia="Arial Narrow" w:hint="default"/>
                <w:sz w:val="21"/>
                <w:szCs w:val="21"/>
              </w:rPr>
            </w:pPr>
            <w:r>
              <w:rPr>
                <w:rFonts w:ascii="Arial Narrow"/>
                <w:spacing w:val="-3"/>
                <w:sz w:val="21"/>
              </w:rPr>
              <w:t>11.86</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1"/>
                <w:szCs w:val="21"/>
              </w:rPr>
            </w:pPr>
            <w:r>
              <w:rPr>
                <w:rFonts w:ascii="Arial Narrow"/>
                <w:spacing w:val="-1"/>
                <w:sz w:val="21"/>
              </w:rPr>
              <w:t>6,308,928.40</w:t>
            </w:r>
            <w:r>
              <w:rPr>
                <w:rFonts w:ascii="Arial Narrow"/>
                <w:sz w:val="21"/>
              </w:rPr>
            </w:r>
          </w:p>
        </w:tc>
      </w:tr>
      <w:tr>
        <w:trPr>
          <w:trHeight w:val="396" w:hRule="exact"/>
        </w:trPr>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95"/>
              <w:jc w:val="right"/>
              <w:rPr>
                <w:rFonts w:ascii="Arial Narrow" w:hAnsi="Arial Narrow" w:cs="Arial Narrow" w:eastAsia="Arial Narrow" w:hint="default"/>
                <w:sz w:val="21"/>
                <w:szCs w:val="21"/>
              </w:rPr>
            </w:pPr>
            <w:r>
              <w:rPr>
                <w:rFonts w:ascii="Arial Narrow"/>
                <w:spacing w:val="-1"/>
                <w:sz w:val="21"/>
              </w:rPr>
              <w:t>10,694,620.50</w:t>
            </w:r>
            <w:r>
              <w:rPr>
                <w:rFonts w:ascii="Arial Narrow"/>
                <w:sz w:val="21"/>
              </w:rPr>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3"/>
              <w:jc w:val="right"/>
              <w:rPr>
                <w:rFonts w:ascii="Arial Narrow" w:hAnsi="Arial Narrow" w:cs="Arial Narrow" w:eastAsia="Arial Narrow" w:hint="default"/>
                <w:sz w:val="21"/>
                <w:szCs w:val="21"/>
              </w:rPr>
            </w:pPr>
            <w:r>
              <w:rPr>
                <w:rFonts w:ascii="Arial Narrow"/>
                <w:spacing w:val="-1"/>
                <w:sz w:val="21"/>
              </w:rPr>
              <w:t>6.72</w:t>
            </w:r>
            <w:r>
              <w:rPr>
                <w:rFonts w:ascii="Arial Narrow"/>
                <w:sz w:val="21"/>
              </w:rPr>
            </w:r>
          </w:p>
        </w:tc>
        <w:tc>
          <w:tcPr>
            <w:tcW w:w="142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83"/>
              <w:jc w:val="right"/>
              <w:rPr>
                <w:rFonts w:ascii="Arial Narrow" w:hAnsi="Arial Narrow" w:cs="Arial Narrow" w:eastAsia="Arial Narrow" w:hint="default"/>
                <w:sz w:val="21"/>
                <w:szCs w:val="21"/>
              </w:rPr>
            </w:pPr>
            <w:r>
              <w:rPr>
                <w:rFonts w:ascii="Arial Narrow"/>
                <w:spacing w:val="-1"/>
                <w:sz w:val="21"/>
              </w:rPr>
              <w:t>10,694,620.50</w:t>
            </w:r>
            <w:r>
              <w:rPr>
                <w:rFonts w:ascii="Arial Narrow"/>
                <w:sz w:val="21"/>
              </w:rPr>
            </w:r>
          </w:p>
        </w:tc>
        <w:tc>
          <w:tcPr>
            <w:tcW w:w="168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96"/>
              <w:jc w:val="right"/>
              <w:rPr>
                <w:rFonts w:ascii="Arial Narrow" w:hAnsi="Arial Narrow" w:cs="Arial Narrow" w:eastAsia="Arial Narrow" w:hint="default"/>
                <w:sz w:val="21"/>
                <w:szCs w:val="21"/>
              </w:rPr>
            </w:pPr>
            <w:r>
              <w:rPr>
                <w:rFonts w:ascii="Arial Narrow"/>
                <w:spacing w:val="-1"/>
                <w:sz w:val="21"/>
              </w:rPr>
              <w:t>6,164,910.50</w:t>
            </w:r>
            <w:r>
              <w:rPr>
                <w:rFonts w:ascii="Arial Narrow"/>
                <w:sz w:val="21"/>
              </w:rPr>
            </w:r>
          </w:p>
        </w:tc>
        <w:tc>
          <w:tcPr>
            <w:tcW w:w="100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2"/>
              <w:jc w:val="right"/>
              <w:rPr>
                <w:rFonts w:ascii="Arial Narrow" w:hAnsi="Arial Narrow" w:cs="Arial Narrow" w:eastAsia="Arial Narrow" w:hint="default"/>
                <w:sz w:val="21"/>
                <w:szCs w:val="21"/>
              </w:rPr>
            </w:pPr>
            <w:r>
              <w:rPr>
                <w:rFonts w:ascii="Arial Narrow"/>
                <w:spacing w:val="-1"/>
                <w:sz w:val="21"/>
              </w:rPr>
              <w:t>5.80</w:t>
            </w:r>
            <w:r>
              <w:rPr>
                <w:rFonts w:ascii="Arial Narrow"/>
                <w:sz w:val="21"/>
              </w:rPr>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Arial Narrow" w:hAnsi="Arial Narrow" w:cs="Arial Narrow" w:eastAsia="Arial Narrow" w:hint="default"/>
                <w:sz w:val="21"/>
                <w:szCs w:val="21"/>
              </w:rPr>
            </w:pPr>
            <w:r>
              <w:rPr>
                <w:rFonts w:ascii="Arial Narrow"/>
                <w:spacing w:val="-1"/>
                <w:sz w:val="21"/>
              </w:rPr>
              <w:t>6,164,910.50</w:t>
            </w:r>
            <w:r>
              <w:rPr>
                <w:rFonts w:ascii="Arial Narrow"/>
                <w:sz w:val="21"/>
              </w:rPr>
            </w:r>
          </w:p>
        </w:tc>
      </w:tr>
      <w:tr>
        <w:trPr>
          <w:trHeight w:val="413" w:hRule="exact"/>
        </w:trPr>
        <w:tc>
          <w:tcPr>
            <w:tcW w:w="1006"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16"/>
              <w:ind w:left="10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715"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396"/>
              <w:jc w:val="right"/>
              <w:rPr>
                <w:rFonts w:ascii="Arial Narrow" w:hAnsi="Arial Narrow" w:cs="Arial Narrow" w:eastAsia="Arial Narrow" w:hint="default"/>
                <w:sz w:val="21"/>
                <w:szCs w:val="21"/>
              </w:rPr>
            </w:pPr>
            <w:r>
              <w:rPr>
                <w:rFonts w:ascii="Arial Narrow"/>
                <w:b/>
                <w:spacing w:val="-1"/>
                <w:sz w:val="21"/>
              </w:rPr>
              <w:t>159,076,460.64</w:t>
            </w:r>
            <w:r>
              <w:rPr>
                <w:rFonts w:ascii="Arial Narrow"/>
                <w:sz w:val="21"/>
              </w:rPr>
            </w:r>
          </w:p>
        </w:tc>
        <w:tc>
          <w:tcPr>
            <w:tcW w:w="110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31"/>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42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83"/>
              <w:jc w:val="right"/>
              <w:rPr>
                <w:rFonts w:ascii="Arial Narrow" w:hAnsi="Arial Narrow" w:cs="Arial Narrow" w:eastAsia="Arial Narrow" w:hint="default"/>
                <w:sz w:val="21"/>
                <w:szCs w:val="21"/>
              </w:rPr>
            </w:pPr>
            <w:r>
              <w:rPr>
                <w:rFonts w:ascii="Arial Narrow"/>
                <w:b/>
                <w:spacing w:val="-1"/>
                <w:sz w:val="21"/>
              </w:rPr>
              <w:t>27,917,396.34</w:t>
            </w:r>
            <w:r>
              <w:rPr>
                <w:rFonts w:ascii="Arial Narrow"/>
                <w:sz w:val="21"/>
              </w:rPr>
            </w:r>
          </w:p>
        </w:tc>
        <w:tc>
          <w:tcPr>
            <w:tcW w:w="1683"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296"/>
              <w:jc w:val="right"/>
              <w:rPr>
                <w:rFonts w:ascii="Arial Narrow" w:hAnsi="Arial Narrow" w:cs="Arial Narrow" w:eastAsia="Arial Narrow" w:hint="default"/>
                <w:sz w:val="21"/>
                <w:szCs w:val="21"/>
              </w:rPr>
            </w:pPr>
            <w:r>
              <w:rPr>
                <w:rFonts w:ascii="Arial Narrow"/>
                <w:b/>
                <w:spacing w:val="-1"/>
                <w:sz w:val="21"/>
              </w:rPr>
              <w:t>106,372,175.26</w:t>
            </w:r>
            <w:r>
              <w:rPr>
                <w:rFonts w:ascii="Arial Narrow"/>
                <w:sz w:val="21"/>
              </w:rPr>
            </w:r>
          </w:p>
        </w:tc>
        <w:tc>
          <w:tcPr>
            <w:tcW w:w="1006"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30"/>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344"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6"/>
              <w:jc w:val="right"/>
              <w:rPr>
                <w:rFonts w:ascii="Arial Narrow" w:hAnsi="Arial Narrow" w:cs="Arial Narrow" w:eastAsia="Arial Narrow" w:hint="default"/>
                <w:sz w:val="21"/>
                <w:szCs w:val="21"/>
              </w:rPr>
            </w:pPr>
            <w:r>
              <w:rPr>
                <w:rFonts w:ascii="Arial Narrow"/>
                <w:b/>
                <w:spacing w:val="-1"/>
                <w:sz w:val="21"/>
              </w:rPr>
              <w:t>20,138,204.90</w:t>
            </w:r>
            <w:r>
              <w:rPr>
                <w:rFonts w:ascii="Arial Narrow"/>
                <w:sz w:val="21"/>
              </w:rPr>
            </w:r>
          </w:p>
        </w:tc>
      </w:tr>
    </w:tbl>
    <w:p>
      <w:pPr>
        <w:pStyle w:val="BodyText"/>
        <w:spacing w:line="240" w:lineRule="auto" w:before="56"/>
        <w:ind w:left="502" w:right="0"/>
        <w:jc w:val="left"/>
      </w:pPr>
      <w:r>
        <w:rPr/>
        <w:t>（</w:t>
      </w:r>
      <w:r>
        <w:rPr>
          <w:rFonts w:ascii="Arial Narrow" w:hAnsi="Arial Narrow" w:cs="Arial Narrow" w:eastAsia="Arial Narrow" w:hint="default"/>
        </w:rPr>
        <w:t>2</w:t>
      </w:r>
      <w:r>
        <w:rPr/>
        <w:t>）本期应收账款中持本公司</w:t>
      </w:r>
      <w:r>
        <w:rPr>
          <w:spacing w:val="-62"/>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）以上表决权股份的股东单位情况</w:t>
      </w:r>
    </w:p>
    <w:p>
      <w:pPr>
        <w:spacing w:line="240" w:lineRule="auto" w:before="2"/>
        <w:rPr>
          <w:rFonts w:ascii="宋体" w:hAnsi="宋体" w:cs="宋体" w:eastAsia="宋体" w:hint="default"/>
          <w:sz w:val="18"/>
          <w:szCs w:val="18"/>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5.1pt;height:1pt;mso-position-horizontal-relative:char;mso-position-vertical-relative:line" coordorigin="0,0" coordsize="9302,20">
            <v:group style="position:absolute;left:10;top:10;width:2372;height:2" coordorigin="10,10" coordsize="2372,2">
              <v:shape style="position:absolute;left:10;top:10;width:2372;height:2" coordorigin="10,10" coordsize="2372,0" path="m10,10l2381,10e" filled="false" stroked="true" strokeweight=".96002pt" strokecolor="#000000">
                <v:path arrowok="t"/>
              </v:shape>
            </v:group>
            <v:group style="position:absolute;left:2381;top:10;width:20;height:2" coordorigin="2381,10" coordsize="20,2">
              <v:shape style="position:absolute;left:2381;top:10;width:20;height:2" coordorigin="2381,10" coordsize="20,0" path="m2381,10l2401,10e" filled="false" stroked="true" strokeweight=".96002pt" strokecolor="#000000">
                <v:path arrowok="t"/>
              </v:shape>
            </v:group>
            <v:group style="position:absolute;left:2401;top:10;width:3692;height:2" coordorigin="2401,10" coordsize="3692,2">
              <v:shape style="position:absolute;left:2401;top:10;width:3692;height:2" coordorigin="2401,10" coordsize="3692,0" path="m2401,10l6092,10e" filled="false" stroked="true" strokeweight=".96002pt" strokecolor="#000000">
                <v:path arrowok="t"/>
              </v:shape>
            </v:group>
            <v:group style="position:absolute;left:6092;top:10;width:20;height:2" coordorigin="6092,10" coordsize="20,2">
              <v:shape style="position:absolute;left:6092;top:10;width:20;height:2" coordorigin="6092,10" coordsize="20,0" path="m6092,10l6111,10e" filled="false" stroked="true" strokeweight=".96002pt" strokecolor="#000000">
                <v:path arrowok="t"/>
              </v:shape>
            </v:group>
            <v:group style="position:absolute;left:6111;top:10;width:3181;height:2" coordorigin="6111,10" coordsize="3181,2">
              <v:shape style="position:absolute;left:6111;top:10;width:3181;height:2" coordorigin="6111,10" coordsize="3181,0" path="m6111,10l9292,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50"/>
          <w:pgMar w:header="771" w:footer="919" w:top="1640" w:bottom="1100" w:left="1140" w:right="900"/>
        </w:sectPr>
      </w:pPr>
    </w:p>
    <w:p>
      <w:pPr>
        <w:spacing w:line="240" w:lineRule="auto" w:before="7"/>
        <w:rPr>
          <w:rFonts w:ascii="宋体" w:hAnsi="宋体" w:cs="宋体" w:eastAsia="宋体" w:hint="default"/>
          <w:sz w:val="16"/>
          <w:szCs w:val="16"/>
        </w:rPr>
      </w:pPr>
    </w:p>
    <w:p>
      <w:pPr>
        <w:pStyle w:val="Heading5"/>
        <w:spacing w:line="240" w:lineRule="auto"/>
        <w:ind w:left="562" w:right="-20"/>
        <w:jc w:val="left"/>
        <w:rPr>
          <w:b w:val="0"/>
          <w:bCs w:val="0"/>
        </w:rPr>
      </w:pPr>
      <w:r>
        <w:rPr/>
        <w:t>单位名称</w:t>
      </w:r>
      <w:r>
        <w:rPr>
          <w:b w:val="0"/>
          <w:bCs w:val="0"/>
        </w:rPr>
      </w:r>
    </w:p>
    <w:p>
      <w:pPr>
        <w:tabs>
          <w:tab w:pos="4383" w:val="left" w:leader="none"/>
        </w:tabs>
        <w:spacing w:before="16"/>
        <w:ind w:left="926" w:right="0" w:firstLine="0"/>
        <w:jc w:val="left"/>
        <w:rPr>
          <w:rFonts w:ascii="宋体" w:hAnsi="宋体" w:cs="宋体" w:eastAsia="宋体" w:hint="default"/>
          <w:sz w:val="24"/>
          <w:szCs w:val="24"/>
        </w:rPr>
      </w:pPr>
      <w:r>
        <w:rPr>
          <w:w w:val="95"/>
        </w:rPr>
        <w:br w:type="column"/>
      </w:r>
      <w:r>
        <w:rPr>
          <w:rFonts w:ascii="宋体" w:hAnsi="宋体" w:cs="宋体" w:eastAsia="宋体" w:hint="default"/>
          <w:b/>
          <w:bCs/>
          <w:w w:val="95"/>
          <w:sz w:val="24"/>
          <w:szCs w:val="24"/>
        </w:rPr>
        <w:t>期末数</w:t>
        <w:tab/>
      </w:r>
      <w:r>
        <w:rPr>
          <w:rFonts w:ascii="宋体" w:hAnsi="宋体" w:cs="宋体" w:eastAsia="宋体" w:hint="default"/>
          <w:b/>
          <w:bCs/>
          <w:sz w:val="24"/>
          <w:szCs w:val="24"/>
        </w:rPr>
        <w:t>期初数</w:t>
      </w:r>
      <w:r>
        <w:rPr>
          <w:rFonts w:ascii="宋体" w:hAnsi="宋体" w:cs="宋体" w:eastAsia="宋体" w:hint="default"/>
          <w:sz w:val="24"/>
          <w:szCs w:val="24"/>
        </w:rPr>
      </w:r>
    </w:p>
    <w:p>
      <w:pPr>
        <w:tabs>
          <w:tab w:pos="1592" w:val="left" w:leader="none"/>
          <w:tab w:pos="4057" w:val="left" w:leader="none"/>
          <w:tab w:pos="4791" w:val="left" w:leader="none"/>
        </w:tabs>
        <w:spacing w:before="99"/>
        <w:ind w:left="562" w:right="0" w:firstLine="0"/>
        <w:jc w:val="left"/>
        <w:rPr>
          <w:rFonts w:ascii="宋体" w:hAnsi="宋体" w:cs="宋体" w:eastAsia="宋体" w:hint="default"/>
          <w:sz w:val="24"/>
          <w:szCs w:val="24"/>
        </w:rPr>
      </w:pPr>
      <w:r>
        <w:rPr>
          <w:rFonts w:ascii="宋体" w:hAnsi="宋体" w:cs="宋体" w:eastAsia="宋体" w:hint="default"/>
          <w:b/>
          <w:bCs/>
          <w:sz w:val="24"/>
          <w:szCs w:val="24"/>
        </w:rPr>
        <w:t>金额</w:t>
        <w:tab/>
      </w:r>
      <w:r>
        <w:rPr>
          <w:rFonts w:ascii="宋体" w:hAnsi="宋体" w:cs="宋体" w:eastAsia="宋体" w:hint="default"/>
          <w:b/>
          <w:bCs/>
          <w:w w:val="95"/>
          <w:sz w:val="24"/>
          <w:szCs w:val="24"/>
        </w:rPr>
        <w:t>计提坏账金额</w:t>
        <w:tab/>
      </w:r>
      <w:r>
        <w:rPr>
          <w:rFonts w:ascii="宋体" w:hAnsi="宋体" w:cs="宋体" w:eastAsia="宋体" w:hint="default"/>
          <w:b/>
          <w:bCs/>
          <w:sz w:val="24"/>
          <w:szCs w:val="24"/>
        </w:rPr>
        <w:t>金额</w:t>
        <w:tab/>
        <w:t>计提坏账金额</w:t>
      </w:r>
      <w:r>
        <w:rPr>
          <w:rFonts w:ascii="宋体" w:hAnsi="宋体" w:cs="宋体" w:eastAsia="宋体" w:hint="default"/>
          <w:sz w:val="24"/>
          <w:szCs w:val="24"/>
        </w:rPr>
      </w:r>
    </w:p>
    <w:p>
      <w:pPr>
        <w:spacing w:after="0"/>
        <w:jc w:val="left"/>
        <w:rPr>
          <w:rFonts w:ascii="宋体" w:hAnsi="宋体" w:cs="宋体" w:eastAsia="宋体" w:hint="default"/>
          <w:sz w:val="24"/>
          <w:szCs w:val="24"/>
        </w:rPr>
        <w:sectPr>
          <w:type w:val="continuous"/>
          <w:pgSz w:w="11900" w:h="16850"/>
          <w:pgMar w:top="440" w:bottom="280" w:left="1140" w:right="900"/>
          <w:cols w:num="2" w:equalWidth="0">
            <w:col w:w="1527" w:space="1865"/>
            <w:col w:w="6468"/>
          </w:cols>
        </w:sectPr>
      </w:pPr>
    </w:p>
    <w:p>
      <w:pPr>
        <w:spacing w:line="240" w:lineRule="auto" w:before="3"/>
        <w:rPr>
          <w:rFonts w:ascii="宋体" w:hAnsi="宋体" w:cs="宋体" w:eastAsia="宋体" w:hint="default"/>
          <w:b/>
          <w:bCs/>
          <w:sz w:val="6"/>
          <w:szCs w:val="6"/>
        </w:rPr>
      </w:pPr>
    </w:p>
    <w:p>
      <w:pPr>
        <w:spacing w:line="20" w:lineRule="exact"/>
        <w:ind w:left="449" w:right="0" w:firstLine="0"/>
        <w:rPr>
          <w:rFonts w:ascii="宋体" w:hAnsi="宋体" w:cs="宋体" w:eastAsia="宋体" w:hint="default"/>
          <w:sz w:val="2"/>
          <w:szCs w:val="2"/>
        </w:rPr>
      </w:pPr>
      <w:r>
        <w:rPr>
          <w:rFonts w:ascii="宋体" w:hAnsi="宋体" w:cs="宋体" w:eastAsia="宋体" w:hint="default"/>
          <w:sz w:val="2"/>
          <w:szCs w:val="2"/>
        </w:rPr>
        <w:pict>
          <v:group style="width:464.65pt;height:.5pt;mso-position-horizontal-relative:char;mso-position-vertical-relative:line" coordorigin="0,0" coordsize="9293,10">
            <v:group style="position:absolute;left:5;top:5;width:2372;height:2" coordorigin="5,5" coordsize="2372,2">
              <v:shape style="position:absolute;left:5;top:5;width:2372;height:2" coordorigin="5,5" coordsize="2372,0" path="m5,5l2376,5e" filled="false" stroked="true" strokeweight=".48001pt" strokecolor="#000000">
                <v:path arrowok="t"/>
              </v:shape>
            </v:group>
            <v:group style="position:absolute;left:2377;top:5;width:10;height:2" coordorigin="2377,5" coordsize="10,2">
              <v:shape style="position:absolute;left:2377;top:5;width:10;height:2" coordorigin="2377,5" coordsize="10,0" path="m2377,5l2386,5e" filled="false" stroked="true" strokeweight=".48001pt" strokecolor="#000000">
                <v:path arrowok="t"/>
              </v:shape>
            </v:group>
            <v:group style="position:absolute;left:2386;top:5;width:1846;height:2" coordorigin="2386,5" coordsize="1846,2">
              <v:shape style="position:absolute;left:2386;top:5;width:1846;height:2" coordorigin="2386,5" coordsize="1846,0" path="m2386,5l4232,5e" filled="false" stroked="true" strokeweight=".48001pt" strokecolor="#000000">
                <v:path arrowok="t"/>
              </v:shape>
            </v:group>
            <v:group style="position:absolute;left:4232;top:5;width:10;height:2" coordorigin="4232,5" coordsize="10,2">
              <v:shape style="position:absolute;left:4232;top:5;width:10;height:2" coordorigin="4232,5" coordsize="10,0" path="m4232,5l4241,5e" filled="false" stroked="true" strokeweight=".48001pt" strokecolor="#000000">
                <v:path arrowok="t"/>
              </v:shape>
            </v:group>
            <v:group style="position:absolute;left:4241;top:5;width:1847;height:2" coordorigin="4241,5" coordsize="1847,2">
              <v:shape style="position:absolute;left:4241;top:5;width:1847;height:2" coordorigin="4241,5" coordsize="1847,0" path="m4241,5l6087,5e" filled="false" stroked="true" strokeweight=".48001pt" strokecolor="#000000">
                <v:path arrowok="t"/>
              </v:shape>
            </v:group>
            <v:group style="position:absolute;left:6087;top:5;width:10;height:2" coordorigin="6087,5" coordsize="10,2">
              <v:shape style="position:absolute;left:6087;top:5;width:10;height:2" coordorigin="6087,5" coordsize="10,0" path="m6087,5l6097,5e" filled="false" stroked="true" strokeweight=".48001pt" strokecolor="#000000">
                <v:path arrowok="t"/>
              </v:shape>
            </v:group>
            <v:group style="position:absolute;left:6097;top:5;width:1494;height:2" coordorigin="6097,5" coordsize="1494,2">
              <v:shape style="position:absolute;left:6097;top:5;width:1494;height:2" coordorigin="6097,5" coordsize="1494,0" path="m6097,5l7590,5e" filled="false" stroked="true" strokeweight=".48001pt" strokecolor="#000000">
                <v:path arrowok="t"/>
              </v:shape>
            </v:group>
            <v:group style="position:absolute;left:7590;top:5;width:10;height:2" coordorigin="7590,5" coordsize="10,2">
              <v:shape style="position:absolute;left:7590;top:5;width:10;height:2" coordorigin="7590,5" coordsize="10,0" path="m7590,5l7600,5e" filled="false" stroked="true" strokeweight=".48001pt" strokecolor="#000000">
                <v:path arrowok="t"/>
              </v:shape>
            </v:group>
            <v:group style="position:absolute;left:7600;top:5;width:1688;height:2" coordorigin="7600,5" coordsize="1688,2">
              <v:shape style="position:absolute;left:7600;top:5;width:1688;height:2" coordorigin="7600,5" coordsize="1688,0" path="m7600,5l9288,5e" filled="false" stroked="true" strokeweight=".48001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7"/>
          <w:szCs w:val="7"/>
        </w:rPr>
      </w:pPr>
    </w:p>
    <w:p>
      <w:pPr>
        <w:pStyle w:val="BodyText"/>
        <w:spacing w:line="260" w:lineRule="exact" w:before="26"/>
        <w:ind w:left="562" w:right="0"/>
        <w:jc w:val="left"/>
      </w:pPr>
      <w:r>
        <w:rPr>
          <w:spacing w:val="28"/>
        </w:rPr>
        <w:t>中国科学院地理科</w:t>
      </w:r>
      <w:r>
        <w:rPr>
          <w:spacing w:val="-87"/>
        </w:rPr>
        <w:t> </w:t>
      </w:r>
      <w:r>
        <w:rPr/>
      </w:r>
    </w:p>
    <w:p>
      <w:pPr>
        <w:pStyle w:val="BodyText"/>
        <w:tabs>
          <w:tab w:pos="3286" w:val="left" w:leader="none"/>
          <w:tab w:pos="5278" w:val="left" w:leader="none"/>
          <w:tab w:pos="6644" w:val="left" w:leader="none"/>
          <w:tab w:pos="8644" w:val="left" w:leader="none"/>
        </w:tabs>
        <w:spacing w:line="365" w:lineRule="exact"/>
        <w:ind w:left="562" w:right="0"/>
        <w:jc w:val="left"/>
        <w:rPr>
          <w:rFonts w:ascii="Arial Narrow" w:hAnsi="Arial Narrow" w:cs="Arial Narrow" w:eastAsia="Arial Narrow" w:hint="default"/>
        </w:rPr>
      </w:pPr>
      <w:r>
        <w:rPr>
          <w:position w:val="-15"/>
        </w:rPr>
        <w:t>学与资源研究所</w:t>
        <w:tab/>
      </w:r>
      <w:r>
        <w:rPr>
          <w:rFonts w:ascii="Arial Narrow" w:hAnsi="Arial Narrow" w:cs="Arial Narrow" w:eastAsia="Arial Narrow" w:hint="default"/>
          <w:spacing w:val="-1"/>
        </w:rPr>
        <w:t>1,791,253.15</w:t>
        <w:tab/>
        <w:t>1,167,041.35</w:t>
        <w:tab/>
        <w:t>1,864,103.00</w:t>
        <w:tab/>
        <w:t>601,140.45</w:t>
      </w:r>
    </w:p>
    <w:p>
      <w:pPr>
        <w:spacing w:line="240" w:lineRule="auto" w:before="1"/>
        <w:rPr>
          <w:rFonts w:ascii="Arial Narrow" w:hAnsi="Arial Narrow" w:cs="Arial Narrow" w:eastAsia="Arial Narrow" w:hint="default"/>
          <w:sz w:val="18"/>
          <w:szCs w:val="18"/>
        </w:rPr>
      </w:pPr>
    </w:p>
    <w:p>
      <w:pPr>
        <w:spacing w:line="20" w:lineRule="exact"/>
        <w:ind w:left="43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5.85pt;height:1pt;mso-position-horizontal-relative:char;mso-position-vertical-relative:line" coordorigin="0,0" coordsize="9317,20">
            <v:group style="position:absolute;left:10;top:10;width:2386;height:2" coordorigin="10,10" coordsize="2386,2">
              <v:shape style="position:absolute;left:10;top:10;width:2386;height:2" coordorigin="10,10" coordsize="2386,0" path="m10,10l2396,10e" filled="false" stroked="true" strokeweight=".95999pt" strokecolor="#000000">
                <v:path arrowok="t"/>
              </v:shape>
            </v:group>
            <v:group style="position:absolute;left:2381;top:10;width:20;height:2" coordorigin="2381,10" coordsize="20,2">
              <v:shape style="position:absolute;left:2381;top:10;width:20;height:2" coordorigin="2381,10" coordsize="20,0" path="m2381,10l2401,10e" filled="false" stroked="true" strokeweight=".95999pt" strokecolor="#000000">
                <v:path arrowok="t"/>
              </v:shape>
            </v:group>
            <v:group style="position:absolute;left:2401;top:10;width:1851;height:2" coordorigin="2401,10" coordsize="1851,2">
              <v:shape style="position:absolute;left:2401;top:10;width:1851;height:2" coordorigin="2401,10" coordsize="1851,0" path="m2401,10l4251,10e" filled="false" stroked="true" strokeweight=".95999pt" strokecolor="#000000">
                <v:path arrowok="t"/>
              </v:shape>
            </v:group>
            <v:group style="position:absolute;left:4237;top:10;width:20;height:2" coordorigin="4237,10" coordsize="20,2">
              <v:shape style="position:absolute;left:4237;top:10;width:20;height:2" coordorigin="4237,10" coordsize="20,0" path="m4237,10l4256,10e" filled="false" stroked="true" strokeweight=".95999pt" strokecolor="#000000">
                <v:path arrowok="t"/>
              </v:shape>
            </v:group>
            <v:group style="position:absolute;left:4256;top:10;width:1851;height:2" coordorigin="4256,10" coordsize="1851,2">
              <v:shape style="position:absolute;left:4256;top:10;width:1851;height:2" coordorigin="4256,10" coordsize="1851,0" path="m4256,10l6107,10e" filled="false" stroked="true" strokeweight=".95999pt" strokecolor="#000000">
                <v:path arrowok="t"/>
              </v:shape>
            </v:group>
            <v:group style="position:absolute;left:6092;top:10;width:20;height:2" coordorigin="6092,10" coordsize="20,2">
              <v:shape style="position:absolute;left:6092;top:10;width:20;height:2" coordorigin="6092,10" coordsize="20,0" path="m6092,10l6111,10e" filled="false" stroked="true" strokeweight=".95999pt" strokecolor="#000000">
                <v:path arrowok="t"/>
              </v:shape>
            </v:group>
            <v:group style="position:absolute;left:6111;top:10;width:1499;height:2" coordorigin="6111,10" coordsize="1499,2">
              <v:shape style="position:absolute;left:6111;top:10;width:1499;height:2" coordorigin="6111,10" coordsize="1499,0" path="m6111,10l7609,10e" filled="false" stroked="true" strokeweight=".95999pt" strokecolor="#000000">
                <v:path arrowok="t"/>
              </v:shape>
            </v:group>
            <v:group style="position:absolute;left:7595;top:10;width:20;height:2" coordorigin="7595,10" coordsize="20,2">
              <v:shape style="position:absolute;left:7595;top:10;width:20;height:2" coordorigin="7595,10" coordsize="20,0" path="m7595,10l7614,10e" filled="false" stroked="true" strokeweight=".95999pt" strokecolor="#000000">
                <v:path arrowok="t"/>
              </v:shape>
            </v:group>
            <v:group style="position:absolute;left:7614;top:10;width:1693;height:2" coordorigin="7614,10" coordsize="1693,2">
              <v:shape style="position:absolute;left:7614;top:10;width:1693;height:2" coordorigin="7614,10" coordsize="1693,0" path="m7614,10l9307,10e" filled="false" stroked="true" strokeweight=".95999pt" strokecolor="#000000">
                <v:path arrowok="t"/>
              </v:shape>
            </v:group>
          </v:group>
        </w:pict>
      </w:r>
      <w:r>
        <w:rPr>
          <w:rFonts w:ascii="Arial Narrow" w:hAnsi="Arial Narrow" w:cs="Arial Narrow" w:eastAsia="Arial Narrow" w:hint="default"/>
          <w:sz w:val="2"/>
          <w:szCs w:val="2"/>
        </w:rPr>
      </w:r>
    </w:p>
    <w:p>
      <w:pPr>
        <w:pStyle w:val="BodyText"/>
        <w:spacing w:line="240" w:lineRule="auto" w:before="79"/>
        <w:ind w:left="502" w:right="0"/>
        <w:jc w:val="left"/>
      </w:pPr>
      <w:r>
        <w:rPr/>
        <w:t>（</w:t>
      </w:r>
      <w:r>
        <w:rPr>
          <w:rFonts w:ascii="Arial Narrow" w:hAnsi="Arial Narrow" w:cs="Arial Narrow" w:eastAsia="Arial Narrow" w:hint="default"/>
        </w:rPr>
        <w:t>3</w:t>
      </w:r>
      <w:r>
        <w:rPr/>
        <w:t>）应收账款金额前五名单位情况</w:t>
      </w:r>
    </w:p>
    <w:p>
      <w:pPr>
        <w:spacing w:line="240" w:lineRule="auto" w:before="2"/>
        <w:rPr>
          <w:rFonts w:ascii="宋体" w:hAnsi="宋体" w:cs="宋体" w:eastAsia="宋体" w:hint="default"/>
          <w:sz w:val="18"/>
          <w:szCs w:val="18"/>
        </w:rPr>
      </w:pPr>
    </w:p>
    <w:tbl>
      <w:tblPr>
        <w:tblW w:w="0" w:type="auto"/>
        <w:jc w:val="left"/>
        <w:tblInd w:w="439" w:type="dxa"/>
        <w:tblLayout w:type="fixed"/>
        <w:tblCellMar>
          <w:top w:w="0" w:type="dxa"/>
          <w:left w:w="0" w:type="dxa"/>
          <w:bottom w:w="0" w:type="dxa"/>
          <w:right w:w="0" w:type="dxa"/>
        </w:tblCellMar>
        <w:tblLook w:val="01E0"/>
      </w:tblPr>
      <w:tblGrid>
        <w:gridCol w:w="3168"/>
        <w:gridCol w:w="1864"/>
        <w:gridCol w:w="1476"/>
        <w:gridCol w:w="1163"/>
        <w:gridCol w:w="1625"/>
      </w:tblGrid>
      <w:tr>
        <w:trPr>
          <w:trHeight w:val="644" w:hRule="exact"/>
        </w:trPr>
        <w:tc>
          <w:tcPr>
            <w:tcW w:w="3168"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left="122" w:right="0"/>
              <w:jc w:val="left"/>
              <w:rPr>
                <w:rFonts w:ascii="宋体" w:hAnsi="宋体" w:cs="宋体" w:eastAsia="宋体" w:hint="default"/>
                <w:sz w:val="24"/>
                <w:szCs w:val="24"/>
              </w:rPr>
            </w:pPr>
            <w:r>
              <w:rPr>
                <w:rFonts w:ascii="宋体" w:hAnsi="宋体" w:cs="宋体" w:eastAsia="宋体" w:hint="default"/>
                <w:b/>
                <w:bCs/>
                <w:sz w:val="24"/>
                <w:szCs w:val="24"/>
              </w:rPr>
              <w:t>单位名称</w:t>
            </w:r>
            <w:r>
              <w:rPr>
                <w:rFonts w:ascii="宋体" w:hAnsi="宋体" w:cs="宋体" w:eastAsia="宋体" w:hint="default"/>
                <w:sz w:val="24"/>
                <w:szCs w:val="24"/>
              </w:rPr>
            </w:r>
          </w:p>
        </w:tc>
        <w:tc>
          <w:tcPr>
            <w:tcW w:w="1864"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left="228" w:right="0"/>
              <w:jc w:val="left"/>
              <w:rPr>
                <w:rFonts w:ascii="宋体" w:hAnsi="宋体" w:cs="宋体" w:eastAsia="宋体" w:hint="default"/>
                <w:sz w:val="24"/>
                <w:szCs w:val="24"/>
              </w:rPr>
            </w:pPr>
            <w:r>
              <w:rPr>
                <w:rFonts w:ascii="宋体" w:hAnsi="宋体" w:cs="宋体" w:eastAsia="宋体" w:hint="default"/>
                <w:b/>
                <w:bCs/>
                <w:sz w:val="24"/>
                <w:szCs w:val="24"/>
              </w:rPr>
              <w:t>与本公司关系</w:t>
            </w:r>
            <w:r>
              <w:rPr>
                <w:rFonts w:ascii="宋体" w:hAnsi="宋体" w:cs="宋体" w:eastAsia="宋体" w:hint="default"/>
                <w:sz w:val="24"/>
                <w:szCs w:val="24"/>
              </w:rPr>
            </w:r>
          </w:p>
        </w:tc>
        <w:tc>
          <w:tcPr>
            <w:tcW w:w="1476"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131"/>
              <w:jc w:val="right"/>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163"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134"/>
              <w:jc w:val="right"/>
              <w:rPr>
                <w:rFonts w:ascii="宋体" w:hAnsi="宋体" w:cs="宋体" w:eastAsia="宋体" w:hint="default"/>
                <w:sz w:val="24"/>
                <w:szCs w:val="24"/>
              </w:rPr>
            </w:pPr>
            <w:r>
              <w:rPr>
                <w:rFonts w:ascii="宋体" w:hAnsi="宋体" w:cs="宋体" w:eastAsia="宋体" w:hint="default"/>
                <w:b/>
                <w:bCs/>
                <w:sz w:val="24"/>
                <w:szCs w:val="24"/>
              </w:rPr>
              <w:t>年限</w:t>
            </w:r>
            <w:r>
              <w:rPr>
                <w:rFonts w:ascii="宋体" w:hAnsi="宋体" w:cs="宋体" w:eastAsia="宋体" w:hint="default"/>
                <w:sz w:val="24"/>
                <w:szCs w:val="24"/>
              </w:rPr>
            </w:r>
          </w:p>
        </w:tc>
        <w:tc>
          <w:tcPr>
            <w:tcW w:w="1625" w:type="dxa"/>
            <w:tcBorders>
              <w:top w:val="single" w:sz="8" w:space="0" w:color="000000"/>
              <w:left w:val="nil" w:sz="6" w:space="0" w:color="auto"/>
              <w:bottom w:val="nil" w:sz="6" w:space="0" w:color="auto"/>
              <w:right w:val="nil" w:sz="6" w:space="0" w:color="auto"/>
            </w:tcBorders>
          </w:tcPr>
          <w:p>
            <w:pPr>
              <w:pStyle w:val="TableParagraph"/>
              <w:spacing w:line="273" w:lineRule="exact"/>
              <w:ind w:left="311" w:right="0"/>
              <w:jc w:val="left"/>
              <w:rPr>
                <w:rFonts w:ascii="宋体" w:hAnsi="宋体" w:cs="宋体" w:eastAsia="宋体" w:hint="default"/>
                <w:sz w:val="24"/>
                <w:szCs w:val="24"/>
              </w:rPr>
            </w:pPr>
            <w:r>
              <w:rPr>
                <w:rFonts w:ascii="宋体" w:hAnsi="宋体" w:cs="宋体" w:eastAsia="宋体" w:hint="default"/>
                <w:b/>
                <w:bCs/>
                <w:sz w:val="24"/>
                <w:szCs w:val="24"/>
              </w:rPr>
              <w:t>占应收账款</w:t>
            </w:r>
            <w:r>
              <w:rPr>
                <w:rFonts w:ascii="宋体" w:hAnsi="宋体" w:cs="宋体" w:eastAsia="宋体" w:hint="default"/>
                <w:sz w:val="24"/>
                <w:szCs w:val="24"/>
              </w:rPr>
            </w:r>
          </w:p>
          <w:p>
            <w:pPr>
              <w:pStyle w:val="TableParagraph"/>
              <w:tabs>
                <w:tab w:pos="136" w:val="left" w:leader="none"/>
                <w:tab w:pos="1625" w:val="left" w:leader="none"/>
              </w:tabs>
              <w:spacing w:line="330" w:lineRule="exact"/>
              <w:ind w:left="-7658" w:right="0"/>
              <w:jc w:val="left"/>
              <w:rPr>
                <w:rFonts w:ascii="Arial Narrow" w:hAnsi="Arial Narrow" w:cs="Arial Narrow" w:eastAsia="Arial Narrow"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宋体" w:hAnsi="宋体" w:cs="宋体" w:eastAsia="宋体" w:hint="default"/>
                <w:b/>
                <w:bCs/>
                <w:sz w:val="24"/>
                <w:szCs w:val="24"/>
                <w:u w:val="single" w:color="000000"/>
              </w:rPr>
              <w:t>总额的比例</w:t>
            </w:r>
            <w:r>
              <w:rPr>
                <w:rFonts w:ascii="Arial Narrow" w:hAnsi="Arial Narrow" w:cs="Arial Narrow" w:eastAsia="Arial Narrow" w:hint="default"/>
                <w:b/>
                <w:bCs/>
                <w:sz w:val="24"/>
                <w:szCs w:val="24"/>
                <w:u w:val="single" w:color="000000"/>
              </w:rPr>
              <w:t>%</w:t>
              <w:tab/>
            </w:r>
            <w:r>
              <w:rPr>
                <w:rFonts w:ascii="Arial Narrow" w:hAnsi="Arial Narrow" w:cs="Arial Narrow" w:eastAsia="Arial Narrow" w:hint="default"/>
                <w:b/>
                <w:bCs/>
                <w:sz w:val="24"/>
                <w:szCs w:val="24"/>
              </w:rPr>
            </w:r>
            <w:r>
              <w:rPr>
                <w:rFonts w:ascii="Arial Narrow" w:hAnsi="Arial Narrow" w:cs="Arial Narrow" w:eastAsia="Arial Narrow" w:hint="default"/>
                <w:sz w:val="24"/>
                <w:szCs w:val="24"/>
              </w:rPr>
            </w:r>
          </w:p>
        </w:tc>
      </w:tr>
      <w:tr>
        <w:trPr>
          <w:trHeight w:val="360"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278" w:lineRule="exact"/>
              <w:ind w:left="122" w:right="0"/>
              <w:jc w:val="left"/>
              <w:rPr>
                <w:rFonts w:ascii="宋体" w:hAnsi="宋体" w:cs="宋体" w:eastAsia="宋体" w:hint="default"/>
                <w:sz w:val="24"/>
                <w:szCs w:val="24"/>
              </w:rPr>
            </w:pPr>
            <w:r>
              <w:rPr>
                <w:rFonts w:ascii="宋体" w:hAnsi="宋体" w:cs="宋体" w:eastAsia="宋体" w:hint="default"/>
                <w:sz w:val="24"/>
                <w:szCs w:val="24"/>
              </w:rPr>
              <w:t>西安浐灞生态区管理委员会</w:t>
            </w:r>
          </w:p>
        </w:tc>
        <w:tc>
          <w:tcPr>
            <w:tcW w:w="1864" w:type="dxa"/>
            <w:tcBorders>
              <w:top w:val="nil" w:sz="6" w:space="0" w:color="auto"/>
              <w:left w:val="nil" w:sz="6" w:space="0" w:color="auto"/>
              <w:bottom w:val="nil" w:sz="6" w:space="0" w:color="auto"/>
              <w:right w:val="nil" w:sz="6" w:space="0" w:color="auto"/>
            </w:tcBorders>
          </w:tcPr>
          <w:p>
            <w:pPr>
              <w:pStyle w:val="TableParagraph"/>
              <w:spacing w:line="278" w:lineRule="exact"/>
              <w:ind w:left="16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3"/>
              <w:jc w:val="right"/>
              <w:rPr>
                <w:rFonts w:ascii="Arial Narrow" w:hAnsi="Arial Narrow" w:cs="Arial Narrow" w:eastAsia="Arial Narrow" w:hint="default"/>
                <w:sz w:val="24"/>
                <w:szCs w:val="24"/>
              </w:rPr>
            </w:pPr>
            <w:r>
              <w:rPr>
                <w:rFonts w:ascii="Arial Narrow"/>
                <w:spacing w:val="-1"/>
                <w:sz w:val="24"/>
              </w:rPr>
              <w:t>8,993,600.00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95" w:lineRule="exact"/>
              <w:ind w:right="137"/>
              <w:jc w:val="righ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5"/>
              <w:jc w:val="right"/>
              <w:rPr>
                <w:rFonts w:ascii="Arial Narrow" w:hAnsi="Arial Narrow" w:cs="Arial Narrow" w:eastAsia="Arial Narrow" w:hint="default"/>
                <w:sz w:val="24"/>
                <w:szCs w:val="24"/>
              </w:rPr>
            </w:pPr>
            <w:r>
              <w:rPr>
                <w:rFonts w:ascii="Arial Narrow"/>
                <w:sz w:val="24"/>
              </w:rPr>
              <w:t>5.65</w:t>
            </w:r>
          </w:p>
        </w:tc>
      </w:tr>
      <w:tr>
        <w:trPr>
          <w:trHeight w:val="395"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西安曲江新区土地储备中心</w:t>
            </w:r>
          </w:p>
        </w:tc>
        <w:tc>
          <w:tcPr>
            <w:tcW w:w="1864" w:type="dxa"/>
            <w:tcBorders>
              <w:top w:val="nil" w:sz="6" w:space="0" w:color="auto"/>
              <w:left w:val="nil" w:sz="6" w:space="0" w:color="auto"/>
              <w:bottom w:val="nil" w:sz="6" w:space="0" w:color="auto"/>
              <w:right w:val="nil" w:sz="6" w:space="0" w:color="auto"/>
            </w:tcBorders>
          </w:tcPr>
          <w:p>
            <w:pPr>
              <w:pStyle w:val="TableParagraph"/>
              <w:spacing w:line="312" w:lineRule="exact"/>
              <w:ind w:left="16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3"/>
              <w:jc w:val="right"/>
              <w:rPr>
                <w:rFonts w:ascii="Arial Narrow" w:hAnsi="Arial Narrow" w:cs="Arial Narrow" w:eastAsia="Arial Narrow" w:hint="default"/>
                <w:sz w:val="24"/>
                <w:szCs w:val="24"/>
              </w:rPr>
            </w:pPr>
            <w:r>
              <w:rPr>
                <w:rFonts w:ascii="Arial Narrow"/>
                <w:spacing w:val="-1"/>
                <w:sz w:val="24"/>
              </w:rPr>
              <w:t>6,605,800.00</w:t>
            </w:r>
          </w:p>
        </w:tc>
        <w:tc>
          <w:tcPr>
            <w:tcW w:w="1163" w:type="dxa"/>
            <w:tcBorders>
              <w:top w:val="nil" w:sz="6" w:space="0" w:color="auto"/>
              <w:left w:val="nil" w:sz="6" w:space="0" w:color="auto"/>
              <w:bottom w:val="nil" w:sz="6" w:space="0" w:color="auto"/>
              <w:right w:val="nil" w:sz="6" w:space="0" w:color="auto"/>
            </w:tcBorders>
          </w:tcPr>
          <w:p>
            <w:pPr>
              <w:pStyle w:val="TableParagraph"/>
              <w:spacing w:line="329" w:lineRule="exact"/>
              <w:ind w:right="137"/>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sz w:val="24"/>
              </w:rPr>
              <w:t>4.15</w:t>
            </w:r>
          </w:p>
        </w:tc>
      </w:tr>
      <w:tr>
        <w:trPr>
          <w:trHeight w:val="396"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中关村科技园区管理委员会</w:t>
            </w:r>
          </w:p>
        </w:tc>
        <w:tc>
          <w:tcPr>
            <w:tcW w:w="1864" w:type="dxa"/>
            <w:tcBorders>
              <w:top w:val="nil" w:sz="6" w:space="0" w:color="auto"/>
              <w:left w:val="nil" w:sz="6" w:space="0" w:color="auto"/>
              <w:bottom w:val="nil" w:sz="6" w:space="0" w:color="auto"/>
              <w:right w:val="nil" w:sz="6" w:space="0" w:color="auto"/>
            </w:tcBorders>
          </w:tcPr>
          <w:p>
            <w:pPr>
              <w:pStyle w:val="TableParagraph"/>
              <w:spacing w:line="313" w:lineRule="exact"/>
              <w:ind w:left="16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33"/>
              <w:jc w:val="right"/>
              <w:rPr>
                <w:rFonts w:ascii="Arial Narrow" w:hAnsi="Arial Narrow" w:cs="Arial Narrow" w:eastAsia="Arial Narrow" w:hint="default"/>
                <w:sz w:val="24"/>
                <w:szCs w:val="24"/>
              </w:rPr>
            </w:pPr>
            <w:r>
              <w:rPr>
                <w:rFonts w:ascii="Arial Narrow"/>
                <w:spacing w:val="-1"/>
                <w:sz w:val="24"/>
              </w:rPr>
              <w:t>5,066,400.00</w:t>
            </w:r>
          </w:p>
        </w:tc>
        <w:tc>
          <w:tcPr>
            <w:tcW w:w="1163" w:type="dxa"/>
            <w:tcBorders>
              <w:top w:val="nil" w:sz="6" w:space="0" w:color="auto"/>
              <w:left w:val="nil" w:sz="6" w:space="0" w:color="auto"/>
              <w:bottom w:val="nil" w:sz="6" w:space="0" w:color="auto"/>
              <w:right w:val="nil" w:sz="6" w:space="0" w:color="auto"/>
            </w:tcBorders>
          </w:tcPr>
          <w:p>
            <w:pPr>
              <w:pStyle w:val="TableParagraph"/>
              <w:spacing w:line="329" w:lineRule="exact"/>
              <w:ind w:right="137"/>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Arial Narrow" w:hAnsi="Arial Narrow" w:cs="Arial Narrow" w:eastAsia="Arial Narrow" w:hint="default"/>
                <w:sz w:val="24"/>
                <w:szCs w:val="24"/>
              </w:rPr>
            </w:pPr>
            <w:r>
              <w:rPr>
                <w:rFonts w:ascii="Arial Narrow"/>
                <w:sz w:val="24"/>
              </w:rPr>
              <w:t>3.18</w:t>
            </w:r>
          </w:p>
        </w:tc>
      </w:tr>
      <w:tr>
        <w:trPr>
          <w:trHeight w:val="397" w:hRule="exact"/>
        </w:trPr>
        <w:tc>
          <w:tcPr>
            <w:tcW w:w="3168"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广西柳州市国土资源局</w:t>
            </w:r>
          </w:p>
        </w:tc>
        <w:tc>
          <w:tcPr>
            <w:tcW w:w="1864" w:type="dxa"/>
            <w:tcBorders>
              <w:top w:val="nil" w:sz="6" w:space="0" w:color="auto"/>
              <w:left w:val="nil" w:sz="6" w:space="0" w:color="auto"/>
              <w:bottom w:val="nil" w:sz="6" w:space="0" w:color="auto"/>
              <w:right w:val="nil" w:sz="6" w:space="0" w:color="auto"/>
            </w:tcBorders>
          </w:tcPr>
          <w:p>
            <w:pPr>
              <w:pStyle w:val="TableParagraph"/>
              <w:spacing w:line="313" w:lineRule="exact"/>
              <w:ind w:left="16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3"/>
              <w:jc w:val="right"/>
              <w:rPr>
                <w:rFonts w:ascii="Arial Narrow" w:hAnsi="Arial Narrow" w:cs="Arial Narrow" w:eastAsia="Arial Narrow" w:hint="default"/>
                <w:sz w:val="24"/>
                <w:szCs w:val="24"/>
              </w:rPr>
            </w:pPr>
            <w:r>
              <w:rPr>
                <w:rFonts w:ascii="Arial Narrow"/>
                <w:spacing w:val="-1"/>
                <w:sz w:val="24"/>
              </w:rPr>
              <w:t>4,732,420.00</w:t>
            </w:r>
          </w:p>
        </w:tc>
        <w:tc>
          <w:tcPr>
            <w:tcW w:w="1163" w:type="dxa"/>
            <w:tcBorders>
              <w:top w:val="nil" w:sz="6" w:space="0" w:color="auto"/>
              <w:left w:val="nil" w:sz="6" w:space="0" w:color="auto"/>
              <w:bottom w:val="nil" w:sz="6" w:space="0" w:color="auto"/>
              <w:right w:val="nil" w:sz="6" w:space="0" w:color="auto"/>
            </w:tcBorders>
          </w:tcPr>
          <w:p>
            <w:pPr>
              <w:pStyle w:val="TableParagraph"/>
              <w:spacing w:line="329" w:lineRule="exact"/>
              <w:ind w:right="137"/>
              <w:jc w:val="righ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z w:val="24"/>
              </w:rPr>
              <w:t>2.97</w:t>
            </w:r>
          </w:p>
        </w:tc>
      </w:tr>
      <w:tr>
        <w:trPr>
          <w:trHeight w:val="398" w:hRule="exact"/>
        </w:trPr>
        <w:tc>
          <w:tcPr>
            <w:tcW w:w="3168" w:type="dxa"/>
            <w:tcBorders>
              <w:top w:val="nil" w:sz="6" w:space="0" w:color="auto"/>
              <w:left w:val="nil" w:sz="6" w:space="0" w:color="auto"/>
              <w:bottom w:val="single" w:sz="4" w:space="0" w:color="000000"/>
              <w:right w:val="nil" w:sz="6" w:space="0" w:color="auto"/>
            </w:tcBorders>
          </w:tcPr>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贵州省贵阳市信息中心</w:t>
            </w:r>
          </w:p>
        </w:tc>
        <w:tc>
          <w:tcPr>
            <w:tcW w:w="1864" w:type="dxa"/>
            <w:tcBorders>
              <w:top w:val="nil" w:sz="6" w:space="0" w:color="auto"/>
              <w:left w:val="nil" w:sz="6" w:space="0" w:color="auto"/>
              <w:bottom w:val="single" w:sz="4" w:space="0" w:color="000000"/>
              <w:right w:val="nil" w:sz="6" w:space="0" w:color="auto"/>
            </w:tcBorders>
          </w:tcPr>
          <w:p>
            <w:pPr>
              <w:pStyle w:val="TableParagraph"/>
              <w:spacing w:line="240" w:lineRule="auto"/>
              <w:ind w:left="16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31"/>
              <w:jc w:val="right"/>
              <w:rPr>
                <w:rFonts w:ascii="Arial Narrow" w:hAnsi="Arial Narrow" w:cs="Arial Narrow" w:eastAsia="Arial Narrow" w:hint="default"/>
                <w:sz w:val="24"/>
                <w:szCs w:val="24"/>
              </w:rPr>
            </w:pPr>
            <w:r>
              <w:rPr>
                <w:rFonts w:ascii="Arial Narrow"/>
                <w:spacing w:val="-1"/>
                <w:sz w:val="24"/>
              </w:rPr>
              <w:t>3,808,000.00</w:t>
            </w:r>
          </w:p>
        </w:tc>
        <w:tc>
          <w:tcPr>
            <w:tcW w:w="1163" w:type="dxa"/>
            <w:tcBorders>
              <w:top w:val="nil" w:sz="6" w:space="0" w:color="auto"/>
              <w:left w:val="nil" w:sz="6" w:space="0" w:color="auto"/>
              <w:bottom w:val="single" w:sz="4" w:space="0" w:color="000000"/>
              <w:right w:val="nil" w:sz="6" w:space="0" w:color="auto"/>
            </w:tcBorders>
          </w:tcPr>
          <w:p>
            <w:pPr>
              <w:pStyle w:val="TableParagraph"/>
              <w:spacing w:line="240" w:lineRule="auto"/>
              <w:ind w:right="137"/>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62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4"/>
                <w:szCs w:val="24"/>
              </w:rPr>
            </w:pPr>
            <w:r>
              <w:rPr>
                <w:rFonts w:ascii="Arial Narrow"/>
                <w:sz w:val="24"/>
              </w:rPr>
              <w:t>2.39</w:t>
            </w:r>
          </w:p>
        </w:tc>
      </w:tr>
      <w:tr>
        <w:trPr>
          <w:trHeight w:val="403" w:hRule="exact"/>
        </w:trPr>
        <w:tc>
          <w:tcPr>
            <w:tcW w:w="3168"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864" w:type="dxa"/>
            <w:tcBorders>
              <w:top w:val="single" w:sz="4" w:space="0" w:color="000000"/>
              <w:left w:val="nil" w:sz="6" w:space="0" w:color="auto"/>
              <w:bottom w:val="single" w:sz="8" w:space="0" w:color="000000"/>
              <w:right w:val="nil" w:sz="6" w:space="0" w:color="auto"/>
            </w:tcBorders>
          </w:tcPr>
          <w:p>
            <w:pPr/>
          </w:p>
        </w:tc>
        <w:tc>
          <w:tcPr>
            <w:tcW w:w="147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33"/>
              <w:jc w:val="right"/>
              <w:rPr>
                <w:rFonts w:ascii="Arial Narrow" w:hAnsi="Arial Narrow" w:cs="Arial Narrow" w:eastAsia="Arial Narrow" w:hint="default"/>
                <w:sz w:val="24"/>
                <w:szCs w:val="24"/>
              </w:rPr>
            </w:pPr>
            <w:r>
              <w:rPr>
                <w:rFonts w:ascii="Arial Narrow"/>
                <w:b/>
                <w:spacing w:val="-1"/>
                <w:sz w:val="24"/>
              </w:rPr>
              <w:t>29,206,220.00</w:t>
            </w:r>
            <w:r>
              <w:rPr>
                <w:rFonts w:ascii="Arial Narrow"/>
                <w:spacing w:val="-1"/>
                <w:sz w:val="24"/>
              </w:rPr>
            </w:r>
          </w:p>
        </w:tc>
        <w:tc>
          <w:tcPr>
            <w:tcW w:w="1163" w:type="dxa"/>
            <w:tcBorders>
              <w:top w:val="single" w:sz="4" w:space="0" w:color="000000"/>
              <w:left w:val="nil" w:sz="6" w:space="0" w:color="auto"/>
              <w:bottom w:val="single" w:sz="8" w:space="0" w:color="000000"/>
              <w:right w:val="nil" w:sz="6" w:space="0" w:color="auto"/>
            </w:tcBorders>
          </w:tcPr>
          <w:p>
            <w:pPr/>
          </w:p>
        </w:tc>
        <w:tc>
          <w:tcPr>
            <w:tcW w:w="162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b/>
                <w:spacing w:val="-1"/>
                <w:sz w:val="24"/>
              </w:rPr>
              <w:t>18.34</w:t>
            </w:r>
            <w:r>
              <w:rPr>
                <w:rFonts w:ascii="Arial Narrow"/>
                <w:spacing w:val="-1"/>
                <w:sz w:val="24"/>
              </w:rPr>
            </w:r>
          </w:p>
        </w:tc>
      </w:tr>
    </w:tbl>
    <w:p>
      <w:pPr>
        <w:pStyle w:val="BodyText"/>
        <w:spacing w:line="240" w:lineRule="auto" w:before="79"/>
        <w:ind w:left="142" w:right="0"/>
        <w:jc w:val="left"/>
      </w:pPr>
      <w:r>
        <w:rPr>
          <w:rFonts w:ascii="Arial Narrow" w:hAnsi="Arial Narrow" w:cs="Arial Narrow" w:eastAsia="Arial Narrow" w:hint="default"/>
        </w:rPr>
        <w:t>4</w:t>
      </w:r>
      <w:r>
        <w:rPr/>
        <w:t>、预付款项</w:t>
      </w:r>
    </w:p>
    <w:p>
      <w:pPr>
        <w:pStyle w:val="BodyText"/>
        <w:spacing w:line="240" w:lineRule="auto" w:before="197"/>
        <w:ind w:left="502" w:right="0"/>
        <w:jc w:val="left"/>
      </w:pPr>
      <w:r>
        <w:rPr/>
        <w:t>（</w:t>
      </w:r>
      <w:r>
        <w:rPr>
          <w:rFonts w:ascii="Arial Narrow" w:hAnsi="Arial Narrow" w:cs="Arial Narrow" w:eastAsia="Arial Narrow" w:hint="default"/>
        </w:rPr>
        <w:t>1</w:t>
      </w:r>
      <w:r>
        <w:rPr/>
        <w:t>）预付款项按账龄披露</w:t>
      </w:r>
    </w:p>
    <w:p>
      <w:pPr>
        <w:spacing w:line="240" w:lineRule="auto" w:before="13"/>
        <w:rPr>
          <w:rFonts w:ascii="宋体" w:hAnsi="宋体" w:cs="宋体" w:eastAsia="宋体" w:hint="default"/>
          <w:sz w:val="17"/>
          <w:szCs w:val="17"/>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63.1pt;height:1pt;mso-position-horizontal-relative:char;mso-position-vertical-relative:line" coordorigin="0,0" coordsize="9262,20">
            <v:group style="position:absolute;left:10;top:10;width:1472;height:2" coordorigin="10,10" coordsize="1472,2">
              <v:shape style="position:absolute;left:10;top:10;width:1472;height:2" coordorigin="10,10" coordsize="1472,0" path="m10,10l1481,10e" filled="false" stroked="true" strokeweight=".95996pt" strokecolor="#000000">
                <v:path arrowok="t"/>
              </v:shape>
            </v:group>
            <v:group style="position:absolute;left:1481;top:10;width:20;height:2" coordorigin="1481,10" coordsize="20,2">
              <v:shape style="position:absolute;left:1481;top:10;width:20;height:2" coordorigin="1481,10" coordsize="20,0" path="m1481,10l1500,10e" filled="false" stroked="true" strokeweight=".95996pt" strokecolor="#000000">
                <v:path arrowok="t"/>
              </v:shape>
            </v:group>
            <v:group style="position:absolute;left:1500;top:10;width:3918;height:2" coordorigin="1500,10" coordsize="3918,2">
              <v:shape style="position:absolute;left:1500;top:10;width:3918;height:2" coordorigin="1500,10" coordsize="3918,0" path="m1500,10l5418,10e" filled="false" stroked="true" strokeweight=".95996pt" strokecolor="#000000">
                <v:path arrowok="t"/>
              </v:shape>
            </v:group>
            <v:group style="position:absolute;left:5418;top:10;width:20;height:2" coordorigin="5418,10" coordsize="20,2">
              <v:shape style="position:absolute;left:5418;top:10;width:20;height:2" coordorigin="5418,10" coordsize="20,0" path="m5418,10l5437,10e" filled="false" stroked="true" strokeweight=".95996pt" strokecolor="#000000">
                <v:path arrowok="t"/>
              </v:shape>
            </v:group>
            <v:group style="position:absolute;left:5437;top:10;width:3815;height:2" coordorigin="5437,10" coordsize="3815,2">
              <v:shape style="position:absolute;left:5437;top:10;width:3815;height:2" coordorigin="5437,10" coordsize="3815,0" path="m5437,10l9252,10e" filled="false" stroked="true" strokeweight=".95996pt" strokecolor="#000000">
                <v:path arrowok="t"/>
              </v:shape>
            </v:group>
          </v:group>
        </w:pict>
      </w:r>
      <w:r>
        <w:rPr>
          <w:rFonts w:ascii="宋体" w:hAnsi="宋体" w:cs="宋体" w:eastAsia="宋体" w:hint="default"/>
          <w:sz w:val="2"/>
          <w:szCs w:val="2"/>
        </w:rPr>
      </w:r>
    </w:p>
    <w:p>
      <w:pPr>
        <w:pStyle w:val="Heading5"/>
        <w:tabs>
          <w:tab w:pos="7420" w:val="left" w:leader="none"/>
        </w:tabs>
        <w:spacing w:line="255" w:lineRule="exact" w:before="4"/>
        <w:ind w:left="3531" w:right="0"/>
        <w:jc w:val="left"/>
        <w:rPr>
          <w:b w:val="0"/>
          <w:bCs w:val="0"/>
        </w:rPr>
      </w:pPr>
      <w:r>
        <w:rPr>
          <w:w w:val="95"/>
        </w:rPr>
        <w:t>期末数</w:t>
        <w:tab/>
      </w:r>
      <w:r>
        <w:rPr/>
        <w:t>期初数</w:t>
      </w:r>
      <w:r>
        <w:rPr>
          <w:b w:val="0"/>
          <w:bCs w:val="0"/>
        </w:rPr>
      </w:r>
    </w:p>
    <w:p>
      <w:pPr>
        <w:tabs>
          <w:tab w:pos="1046" w:val="left" w:leader="none"/>
        </w:tabs>
        <w:spacing w:line="198" w:lineRule="exact" w:before="0"/>
        <w:ind w:left="564" w:right="0" w:firstLine="0"/>
        <w:jc w:val="left"/>
        <w:rPr>
          <w:rFonts w:ascii="宋体" w:hAnsi="宋体" w:cs="宋体" w:eastAsia="宋体" w:hint="default"/>
          <w:sz w:val="24"/>
          <w:szCs w:val="24"/>
        </w:rPr>
      </w:pPr>
      <w:r>
        <w:rPr>
          <w:rFonts w:ascii="宋体" w:hAnsi="宋体" w:cs="宋体" w:eastAsia="宋体" w:hint="default"/>
          <w:b/>
          <w:bCs/>
          <w:w w:val="95"/>
          <w:sz w:val="24"/>
          <w:szCs w:val="24"/>
        </w:rPr>
        <w:t>账</w:t>
        <w:tab/>
      </w:r>
      <w:r>
        <w:rPr>
          <w:rFonts w:ascii="宋体" w:hAnsi="宋体" w:cs="宋体" w:eastAsia="宋体" w:hint="default"/>
          <w:b/>
          <w:bCs/>
          <w:sz w:val="24"/>
          <w:szCs w:val="24"/>
        </w:rPr>
        <w:t>龄</w:t>
      </w:r>
      <w:r>
        <w:rPr>
          <w:rFonts w:ascii="宋体" w:hAnsi="宋体" w:cs="宋体" w:eastAsia="宋体" w:hint="default"/>
          <w:sz w:val="24"/>
          <w:szCs w:val="24"/>
        </w:rPr>
      </w:r>
    </w:p>
    <w:p>
      <w:pPr>
        <w:tabs>
          <w:tab w:pos="3545" w:val="left" w:leader="none"/>
          <w:tab w:pos="5096" w:val="left" w:leader="none"/>
          <w:tab w:pos="7002" w:val="left" w:leader="none"/>
          <w:tab w:pos="7485" w:val="left" w:leader="none"/>
          <w:tab w:pos="8932" w:val="left" w:leader="none"/>
        </w:tabs>
        <w:spacing w:line="273" w:lineRule="exact" w:before="0"/>
        <w:ind w:left="3063" w:right="0" w:firstLine="0"/>
        <w:jc w:val="left"/>
        <w:rPr>
          <w:rFonts w:ascii="Arial Narrow" w:hAnsi="Arial Narrow" w:cs="Arial Narrow" w:eastAsia="Arial Narrow" w:hint="default"/>
          <w:sz w:val="24"/>
          <w:szCs w:val="24"/>
        </w:rPr>
      </w:pPr>
      <w:r>
        <w:rPr>
          <w:rFonts w:ascii="宋体" w:hAnsi="宋体" w:cs="宋体" w:eastAsia="宋体" w:hint="default"/>
          <w:b/>
          <w:bCs/>
          <w:w w:val="95"/>
          <w:sz w:val="24"/>
          <w:szCs w:val="24"/>
        </w:rPr>
        <w:t>金</w:t>
        <w:tab/>
        <w:t>额</w:t>
        <w:tab/>
      </w:r>
      <w:r>
        <w:rPr>
          <w:rFonts w:ascii="宋体" w:hAnsi="宋体" w:cs="宋体" w:eastAsia="宋体" w:hint="default"/>
          <w:b/>
          <w:bCs/>
          <w:sz w:val="24"/>
          <w:szCs w:val="24"/>
        </w:rPr>
        <w:t>比例</w:t>
      </w:r>
      <w:r>
        <w:rPr>
          <w:rFonts w:ascii="Arial Narrow" w:hAnsi="Arial Narrow" w:cs="Arial Narrow" w:eastAsia="Arial Narrow" w:hint="default"/>
          <w:b/>
          <w:bCs/>
          <w:sz w:val="24"/>
          <w:szCs w:val="24"/>
        </w:rPr>
        <w:t>%</w:t>
        <w:tab/>
      </w:r>
      <w:r>
        <w:rPr>
          <w:rFonts w:ascii="宋体" w:hAnsi="宋体" w:cs="宋体" w:eastAsia="宋体" w:hint="default"/>
          <w:b/>
          <w:bCs/>
          <w:w w:val="95"/>
          <w:sz w:val="24"/>
          <w:szCs w:val="24"/>
        </w:rPr>
        <w:t>金</w:t>
        <w:tab/>
        <w:t>额</w:t>
        <w:tab/>
      </w:r>
      <w:r>
        <w:rPr>
          <w:rFonts w:ascii="宋体" w:hAnsi="宋体" w:cs="宋体" w:eastAsia="宋体"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p>
      <w:pPr>
        <w:spacing w:line="240" w:lineRule="auto" w:before="1"/>
        <w:rPr>
          <w:rFonts w:ascii="Arial Narrow" w:hAnsi="Arial Narrow" w:cs="Arial Narrow" w:eastAsia="Arial Narrow" w:hint="default"/>
          <w:b/>
          <w:bCs/>
          <w:sz w:val="6"/>
          <w:szCs w:val="6"/>
        </w:rPr>
      </w:pPr>
    </w:p>
    <w:tbl>
      <w:tblPr>
        <w:tblW w:w="0" w:type="auto"/>
        <w:jc w:val="left"/>
        <w:tblInd w:w="529" w:type="dxa"/>
        <w:tblLayout w:type="fixed"/>
        <w:tblCellMar>
          <w:top w:w="0" w:type="dxa"/>
          <w:left w:w="0" w:type="dxa"/>
          <w:bottom w:w="0" w:type="dxa"/>
          <w:right w:w="0" w:type="dxa"/>
        </w:tblCellMar>
        <w:tblLook w:val="01E0"/>
      </w:tblPr>
      <w:tblGrid>
        <w:gridCol w:w="1469"/>
        <w:gridCol w:w="2525"/>
        <w:gridCol w:w="1586"/>
        <w:gridCol w:w="2301"/>
        <w:gridCol w:w="1215"/>
      </w:tblGrid>
      <w:tr>
        <w:trPr>
          <w:trHeight w:val="405" w:hRule="exact"/>
        </w:trPr>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252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736"/>
              <w:jc w:val="right"/>
              <w:rPr>
                <w:rFonts w:ascii="Arial Narrow" w:hAnsi="Arial Narrow" w:cs="Arial Narrow" w:eastAsia="Arial Narrow" w:hint="default"/>
                <w:sz w:val="24"/>
                <w:szCs w:val="24"/>
              </w:rPr>
            </w:pPr>
            <w:r>
              <w:rPr>
                <w:rFonts w:ascii="Arial Narrow"/>
                <w:spacing w:val="-2"/>
                <w:sz w:val="24"/>
              </w:rPr>
              <w:t>43,579,773.11</w:t>
            </w:r>
          </w:p>
        </w:tc>
        <w:tc>
          <w:tcPr>
            <w:tcW w:w="158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52"/>
              <w:jc w:val="right"/>
              <w:rPr>
                <w:rFonts w:ascii="Arial Narrow" w:hAnsi="Arial Narrow" w:cs="Arial Narrow" w:eastAsia="Arial Narrow" w:hint="default"/>
                <w:sz w:val="24"/>
                <w:szCs w:val="24"/>
              </w:rPr>
            </w:pPr>
            <w:r>
              <w:rPr>
                <w:rFonts w:ascii="Arial Narrow"/>
                <w:spacing w:val="-1"/>
                <w:sz w:val="24"/>
              </w:rPr>
              <w:t>78.49</w:t>
            </w:r>
          </w:p>
        </w:tc>
        <w:tc>
          <w:tcPr>
            <w:tcW w:w="230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354" w:right="0"/>
              <w:jc w:val="left"/>
              <w:rPr>
                <w:rFonts w:ascii="Arial Narrow" w:hAnsi="Arial Narrow" w:cs="Arial Narrow" w:eastAsia="Arial Narrow" w:hint="default"/>
                <w:sz w:val="24"/>
                <w:szCs w:val="24"/>
              </w:rPr>
            </w:pPr>
            <w:r>
              <w:rPr>
                <w:rFonts w:ascii="Arial Narrow"/>
                <w:sz w:val="24"/>
              </w:rPr>
              <w:t>14,555,309.80</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3"/>
              <w:jc w:val="right"/>
              <w:rPr>
                <w:rFonts w:ascii="Arial Narrow" w:hAnsi="Arial Narrow" w:cs="Arial Narrow" w:eastAsia="Arial Narrow" w:hint="default"/>
                <w:sz w:val="24"/>
                <w:szCs w:val="24"/>
              </w:rPr>
            </w:pPr>
            <w:r>
              <w:rPr>
                <w:rFonts w:ascii="Arial Narrow"/>
                <w:spacing w:val="-1"/>
                <w:sz w:val="24"/>
              </w:rPr>
              <w:t>40.92</w:t>
            </w:r>
          </w:p>
        </w:tc>
      </w:tr>
      <w:tr>
        <w:trPr>
          <w:trHeight w:val="399" w:hRule="exact"/>
        </w:trPr>
        <w:tc>
          <w:tcPr>
            <w:tcW w:w="1469" w:type="dxa"/>
            <w:tcBorders>
              <w:top w:val="nil" w:sz="6" w:space="0" w:color="auto"/>
              <w:left w:val="nil" w:sz="6" w:space="0" w:color="auto"/>
              <w:bottom w:val="nil" w:sz="6" w:space="0" w:color="auto"/>
              <w:right w:val="nil" w:sz="6" w:space="0" w:color="auto"/>
            </w:tcBorders>
          </w:tcPr>
          <w:p>
            <w:pPr>
              <w:pStyle w:val="TableParagraph"/>
              <w:spacing w:line="329" w:lineRule="exact"/>
              <w:ind w:left="35"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36"/>
              <w:jc w:val="right"/>
              <w:rPr>
                <w:rFonts w:ascii="Arial Narrow" w:hAnsi="Arial Narrow" w:cs="Arial Narrow" w:eastAsia="Arial Narrow" w:hint="default"/>
                <w:sz w:val="24"/>
                <w:szCs w:val="24"/>
              </w:rPr>
            </w:pPr>
            <w:r>
              <w:rPr>
                <w:rFonts w:ascii="Arial Narrow"/>
                <w:spacing w:val="-1"/>
                <w:sz w:val="24"/>
              </w:rPr>
              <w:t>6,122,614.31</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52"/>
              <w:jc w:val="right"/>
              <w:rPr>
                <w:rFonts w:ascii="Arial Narrow" w:hAnsi="Arial Narrow" w:cs="Arial Narrow" w:eastAsia="Arial Narrow" w:hint="default"/>
                <w:sz w:val="24"/>
                <w:szCs w:val="24"/>
              </w:rPr>
            </w:pPr>
            <w:r>
              <w:rPr>
                <w:rFonts w:ascii="Arial Narrow"/>
                <w:spacing w:val="-3"/>
                <w:w w:val="95"/>
                <w:sz w:val="24"/>
              </w:rPr>
              <w:t>11.03</w:t>
            </w:r>
          </w:p>
        </w:tc>
        <w:tc>
          <w:tcPr>
            <w:tcW w:w="230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4" w:right="0"/>
              <w:jc w:val="left"/>
              <w:rPr>
                <w:rFonts w:ascii="Arial Narrow" w:hAnsi="Arial Narrow" w:cs="Arial Narrow" w:eastAsia="Arial Narrow" w:hint="default"/>
                <w:sz w:val="24"/>
                <w:szCs w:val="24"/>
              </w:rPr>
            </w:pPr>
            <w:r>
              <w:rPr>
                <w:rFonts w:ascii="Arial Narrow"/>
                <w:sz w:val="24"/>
              </w:rPr>
              <w:t>18,509,638.07</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Arial Narrow" w:hAnsi="Arial Narrow" w:cs="Arial Narrow" w:eastAsia="Arial Narrow" w:hint="default"/>
                <w:sz w:val="24"/>
                <w:szCs w:val="24"/>
              </w:rPr>
            </w:pPr>
            <w:r>
              <w:rPr>
                <w:rFonts w:ascii="Arial Narrow"/>
                <w:spacing w:val="-1"/>
                <w:sz w:val="24"/>
              </w:rPr>
              <w:t>52.05</w:t>
            </w:r>
          </w:p>
        </w:tc>
      </w:tr>
    </w:tbl>
    <w:p>
      <w:pPr>
        <w:spacing w:after="0" w:line="240" w:lineRule="auto"/>
        <w:jc w:val="right"/>
        <w:rPr>
          <w:rFonts w:ascii="Arial Narrow" w:hAnsi="Arial Narrow" w:cs="Arial Narrow" w:eastAsia="Arial Narrow" w:hint="default"/>
          <w:sz w:val="24"/>
          <w:szCs w:val="24"/>
        </w:rPr>
        <w:sectPr>
          <w:type w:val="continuous"/>
          <w:pgSz w:w="11900" w:h="16850"/>
          <w:pgMar w:top="440" w:bottom="280" w:left="1140" w:right="900"/>
        </w:sectPr>
      </w:pPr>
    </w:p>
    <w:p>
      <w:pPr>
        <w:spacing w:line="240" w:lineRule="auto" w:before="9"/>
        <w:rPr>
          <w:rFonts w:ascii="Arial Narrow" w:hAnsi="Arial Narrow" w:cs="Arial Narrow" w:eastAsia="Arial Narrow"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336"/>
        <w:gridCol w:w="1541"/>
        <w:gridCol w:w="2478"/>
        <w:gridCol w:w="1641"/>
        <w:gridCol w:w="2247"/>
        <w:gridCol w:w="1301"/>
      </w:tblGrid>
      <w:tr>
        <w:trPr>
          <w:trHeight w:val="667" w:hRule="exact"/>
        </w:trPr>
        <w:tc>
          <w:tcPr>
            <w:tcW w:w="336" w:type="dxa"/>
            <w:tcBorders>
              <w:top w:val="single" w:sz="6" w:space="0" w:color="000000"/>
              <w:left w:val="nil" w:sz="6" w:space="0" w:color="auto"/>
              <w:bottom w:val="nil" w:sz="6" w:space="0" w:color="auto"/>
              <w:right w:val="nil" w:sz="6" w:space="0" w:color="auto"/>
            </w:tcBorders>
          </w:tcPr>
          <w:p>
            <w:pPr/>
          </w:p>
        </w:tc>
        <w:tc>
          <w:tcPr>
            <w:tcW w:w="1541"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Arial Narrow" w:hAnsi="Arial Narrow" w:cs="Arial Narrow" w:eastAsia="Arial Narrow" w:hint="default"/>
                <w:b/>
                <w:bCs/>
                <w:sz w:val="22"/>
                <w:szCs w:val="22"/>
              </w:rPr>
            </w:pPr>
          </w:p>
          <w:p>
            <w:pPr>
              <w:pStyle w:val="TableParagraph"/>
              <w:spacing w:line="240" w:lineRule="auto"/>
              <w:ind w:left="115"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2478"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b/>
                <w:bCs/>
                <w:sz w:val="27"/>
                <w:szCs w:val="27"/>
              </w:rPr>
            </w:pPr>
          </w:p>
          <w:p>
            <w:pPr>
              <w:pStyle w:val="TableParagraph"/>
              <w:spacing w:line="240" w:lineRule="auto"/>
              <w:ind w:right="682"/>
              <w:jc w:val="right"/>
              <w:rPr>
                <w:rFonts w:ascii="Arial Narrow" w:hAnsi="Arial Narrow" w:cs="Arial Narrow" w:eastAsia="Arial Narrow" w:hint="default"/>
                <w:sz w:val="24"/>
                <w:szCs w:val="24"/>
              </w:rPr>
            </w:pPr>
            <w:r>
              <w:rPr>
                <w:rFonts w:ascii="Arial Narrow"/>
                <w:spacing w:val="-1"/>
                <w:sz w:val="24"/>
              </w:rPr>
              <w:t>3,398,793.90</w:t>
            </w:r>
          </w:p>
        </w:tc>
        <w:tc>
          <w:tcPr>
            <w:tcW w:w="164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b/>
                <w:bCs/>
                <w:sz w:val="27"/>
                <w:szCs w:val="27"/>
              </w:rPr>
            </w:pPr>
          </w:p>
          <w:p>
            <w:pPr>
              <w:pStyle w:val="TableParagraph"/>
              <w:spacing w:line="240" w:lineRule="auto"/>
              <w:ind w:right="352"/>
              <w:jc w:val="right"/>
              <w:rPr>
                <w:rFonts w:ascii="Arial Narrow" w:hAnsi="Arial Narrow" w:cs="Arial Narrow" w:eastAsia="Arial Narrow" w:hint="default"/>
                <w:sz w:val="24"/>
                <w:szCs w:val="24"/>
              </w:rPr>
            </w:pPr>
            <w:r>
              <w:rPr>
                <w:rFonts w:ascii="Arial Narrow"/>
                <w:sz w:val="24"/>
              </w:rPr>
              <w:t>6.12</w:t>
            </w:r>
          </w:p>
        </w:tc>
        <w:tc>
          <w:tcPr>
            <w:tcW w:w="2247"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b/>
                <w:bCs/>
                <w:sz w:val="27"/>
                <w:szCs w:val="27"/>
              </w:rPr>
            </w:pPr>
          </w:p>
          <w:p>
            <w:pPr>
              <w:pStyle w:val="TableParagraph"/>
              <w:spacing w:line="240" w:lineRule="auto"/>
              <w:ind w:right="629"/>
              <w:jc w:val="right"/>
              <w:rPr>
                <w:rFonts w:ascii="Arial Narrow" w:hAnsi="Arial Narrow" w:cs="Arial Narrow" w:eastAsia="Arial Narrow" w:hint="default"/>
                <w:sz w:val="24"/>
                <w:szCs w:val="24"/>
              </w:rPr>
            </w:pPr>
            <w:r>
              <w:rPr>
                <w:rFonts w:ascii="Arial Narrow"/>
                <w:spacing w:val="-1"/>
                <w:sz w:val="24"/>
              </w:rPr>
              <w:t>1,966,350.00</w:t>
            </w:r>
          </w:p>
        </w:tc>
        <w:tc>
          <w:tcPr>
            <w:tcW w:w="1301"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Narrow" w:hAnsi="Arial Narrow" w:cs="Arial Narrow" w:eastAsia="Arial Narrow" w:hint="default"/>
                <w:b/>
                <w:bCs/>
                <w:sz w:val="27"/>
                <w:szCs w:val="27"/>
              </w:rPr>
            </w:pPr>
          </w:p>
          <w:p>
            <w:pPr>
              <w:pStyle w:val="TableParagraph"/>
              <w:spacing w:line="240" w:lineRule="auto"/>
              <w:ind w:right="64"/>
              <w:jc w:val="right"/>
              <w:rPr>
                <w:rFonts w:ascii="Arial Narrow" w:hAnsi="Arial Narrow" w:cs="Arial Narrow" w:eastAsia="Arial Narrow" w:hint="default"/>
                <w:sz w:val="24"/>
                <w:szCs w:val="24"/>
              </w:rPr>
            </w:pPr>
            <w:r>
              <w:rPr>
                <w:rFonts w:ascii="Arial Narrow"/>
                <w:sz w:val="24"/>
              </w:rPr>
              <w:t>5.53</w:t>
            </w:r>
          </w:p>
        </w:tc>
      </w:tr>
      <w:tr>
        <w:trPr>
          <w:trHeight w:val="399" w:hRule="exact"/>
        </w:trPr>
        <w:tc>
          <w:tcPr>
            <w:tcW w:w="336"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329" w:lineRule="exact"/>
              <w:ind w:left="115"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247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682"/>
              <w:jc w:val="right"/>
              <w:rPr>
                <w:rFonts w:ascii="Arial Narrow" w:hAnsi="Arial Narrow" w:cs="Arial Narrow" w:eastAsia="Arial Narrow" w:hint="default"/>
                <w:sz w:val="24"/>
                <w:szCs w:val="24"/>
              </w:rPr>
            </w:pPr>
            <w:r>
              <w:rPr>
                <w:rFonts w:ascii="Arial Narrow"/>
                <w:spacing w:val="-1"/>
                <w:sz w:val="24"/>
              </w:rPr>
              <w:t>2,422,388.60</w:t>
            </w:r>
          </w:p>
        </w:tc>
        <w:tc>
          <w:tcPr>
            <w:tcW w:w="164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352"/>
              <w:jc w:val="right"/>
              <w:rPr>
                <w:rFonts w:ascii="Arial Narrow" w:hAnsi="Arial Narrow" w:cs="Arial Narrow" w:eastAsia="Arial Narrow" w:hint="default"/>
                <w:sz w:val="24"/>
                <w:szCs w:val="24"/>
              </w:rPr>
            </w:pPr>
            <w:r>
              <w:rPr>
                <w:rFonts w:ascii="Arial Narrow"/>
                <w:sz w:val="24"/>
              </w:rPr>
              <w:t>4.36</w:t>
            </w:r>
          </w:p>
        </w:tc>
        <w:tc>
          <w:tcPr>
            <w:tcW w:w="224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629"/>
              <w:jc w:val="right"/>
              <w:rPr>
                <w:rFonts w:ascii="Arial Narrow" w:hAnsi="Arial Narrow" w:cs="Arial Narrow" w:eastAsia="Arial Narrow" w:hint="default"/>
                <w:sz w:val="24"/>
                <w:szCs w:val="24"/>
              </w:rPr>
            </w:pPr>
            <w:r>
              <w:rPr>
                <w:rFonts w:ascii="Arial Narrow"/>
                <w:spacing w:val="-1"/>
                <w:sz w:val="24"/>
              </w:rPr>
              <w:t>533,000.00</w:t>
            </w:r>
          </w:p>
        </w:tc>
        <w:tc>
          <w:tcPr>
            <w:tcW w:w="130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64"/>
              <w:jc w:val="right"/>
              <w:rPr>
                <w:rFonts w:ascii="Arial Narrow" w:hAnsi="Arial Narrow" w:cs="Arial Narrow" w:eastAsia="Arial Narrow" w:hint="default"/>
                <w:sz w:val="24"/>
                <w:szCs w:val="24"/>
              </w:rPr>
            </w:pPr>
            <w:r>
              <w:rPr>
                <w:rFonts w:ascii="Arial Narrow"/>
                <w:sz w:val="24"/>
              </w:rPr>
              <w:t>1.50</w:t>
            </w:r>
          </w:p>
        </w:tc>
      </w:tr>
      <w:tr>
        <w:trPr>
          <w:trHeight w:val="413" w:hRule="exact"/>
        </w:trPr>
        <w:tc>
          <w:tcPr>
            <w:tcW w:w="336" w:type="dxa"/>
            <w:tcBorders>
              <w:top w:val="nil" w:sz="6" w:space="0" w:color="auto"/>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8" w:space="0" w:color="000000"/>
              <w:right w:val="nil" w:sz="6" w:space="0" w:color="auto"/>
            </w:tcBorders>
          </w:tcPr>
          <w:p>
            <w:pPr>
              <w:pStyle w:val="TableParagraph"/>
              <w:tabs>
                <w:tab w:pos="597" w:val="left" w:leader="none"/>
              </w:tabs>
              <w:spacing w:line="240" w:lineRule="auto" w:before="3"/>
              <w:ind w:left="115"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478"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681"/>
              <w:jc w:val="right"/>
              <w:rPr>
                <w:rFonts w:ascii="Arial Narrow" w:hAnsi="Arial Narrow" w:cs="Arial Narrow" w:eastAsia="Arial Narrow" w:hint="default"/>
                <w:sz w:val="24"/>
                <w:szCs w:val="24"/>
              </w:rPr>
            </w:pPr>
            <w:r>
              <w:rPr>
                <w:rFonts w:ascii="Arial Narrow"/>
                <w:b/>
                <w:spacing w:val="-1"/>
                <w:sz w:val="24"/>
              </w:rPr>
              <w:t>55,523,569.92</w:t>
            </w:r>
            <w:r>
              <w:rPr>
                <w:rFonts w:ascii="Arial Narrow"/>
                <w:spacing w:val="-1"/>
                <w:sz w:val="24"/>
              </w:rPr>
            </w:r>
          </w:p>
        </w:tc>
        <w:tc>
          <w:tcPr>
            <w:tcW w:w="1641"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353"/>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2247"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630"/>
              <w:jc w:val="right"/>
              <w:rPr>
                <w:rFonts w:ascii="Arial Narrow" w:hAnsi="Arial Narrow" w:cs="Arial Narrow" w:eastAsia="Arial Narrow" w:hint="default"/>
                <w:sz w:val="24"/>
                <w:szCs w:val="24"/>
              </w:rPr>
            </w:pPr>
            <w:r>
              <w:rPr>
                <w:rFonts w:ascii="Arial Narrow"/>
                <w:b/>
                <w:spacing w:val="-1"/>
                <w:sz w:val="24"/>
              </w:rPr>
              <w:t>35,564,297.87</w:t>
            </w:r>
            <w:r>
              <w:rPr>
                <w:rFonts w:ascii="Arial Narrow"/>
                <w:spacing w:val="-1"/>
                <w:sz w:val="24"/>
              </w:rPr>
            </w:r>
          </w:p>
        </w:tc>
        <w:tc>
          <w:tcPr>
            <w:tcW w:w="1301"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65"/>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r>
    </w:tbl>
    <w:p>
      <w:pPr>
        <w:pStyle w:val="BodyText"/>
        <w:spacing w:line="240" w:lineRule="auto" w:before="79"/>
        <w:ind w:left="562" w:right="0"/>
        <w:jc w:val="left"/>
      </w:pPr>
      <w:r>
        <w:rPr/>
        <w:t>说明：账龄超过一年的预付款项主要为未完工的定制软件外包费。</w:t>
      </w:r>
    </w:p>
    <w:p>
      <w:pPr>
        <w:pStyle w:val="BodyText"/>
        <w:spacing w:line="240" w:lineRule="auto" w:before="214"/>
        <w:ind w:left="502" w:right="0"/>
        <w:jc w:val="left"/>
      </w:pPr>
      <w:r>
        <w:rPr/>
        <w:t>（</w:t>
      </w:r>
      <w:r>
        <w:rPr>
          <w:rFonts w:ascii="Arial Narrow" w:hAnsi="Arial Narrow" w:cs="Arial Narrow" w:eastAsia="Arial Narrow" w:hint="default"/>
        </w:rPr>
        <w:t>2</w:t>
      </w:r>
      <w:r>
        <w:rPr/>
        <w:t>）预付款项金额前五名单位情况</w:t>
      </w:r>
    </w:p>
    <w:p>
      <w:pPr>
        <w:spacing w:line="240" w:lineRule="auto" w:before="13"/>
        <w:rPr>
          <w:rFonts w:ascii="宋体" w:hAnsi="宋体" w:cs="宋体" w:eastAsia="宋体" w:hint="default"/>
          <w:sz w:val="17"/>
          <w:szCs w:val="17"/>
        </w:rPr>
      </w:pPr>
    </w:p>
    <w:tbl>
      <w:tblPr>
        <w:tblW w:w="0" w:type="auto"/>
        <w:jc w:val="left"/>
        <w:tblInd w:w="454" w:type="dxa"/>
        <w:tblLayout w:type="fixed"/>
        <w:tblCellMar>
          <w:top w:w="0" w:type="dxa"/>
          <w:left w:w="0" w:type="dxa"/>
          <w:bottom w:w="0" w:type="dxa"/>
          <w:right w:w="0" w:type="dxa"/>
        </w:tblCellMar>
        <w:tblLook w:val="01E0"/>
      </w:tblPr>
      <w:tblGrid>
        <w:gridCol w:w="3364"/>
        <w:gridCol w:w="1728"/>
        <w:gridCol w:w="1509"/>
        <w:gridCol w:w="1250"/>
        <w:gridCol w:w="1432"/>
      </w:tblGrid>
      <w:tr>
        <w:trPr>
          <w:trHeight w:val="608" w:hRule="exact"/>
        </w:trPr>
        <w:tc>
          <w:tcPr>
            <w:tcW w:w="3364"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108" w:right="0"/>
              <w:jc w:val="left"/>
              <w:rPr>
                <w:rFonts w:ascii="宋体" w:hAnsi="宋体" w:cs="宋体" w:eastAsia="宋体" w:hint="default"/>
                <w:sz w:val="24"/>
                <w:szCs w:val="24"/>
              </w:rPr>
            </w:pPr>
            <w:r>
              <w:rPr>
                <w:rFonts w:ascii="宋体" w:hAnsi="宋体" w:cs="宋体" w:eastAsia="宋体" w:hint="default"/>
                <w:b/>
                <w:bCs/>
                <w:sz w:val="24"/>
                <w:szCs w:val="24"/>
              </w:rPr>
              <w:t>单位名称</w:t>
            </w:r>
            <w:r>
              <w:rPr>
                <w:rFonts w:ascii="宋体" w:hAnsi="宋体" w:cs="宋体" w:eastAsia="宋体" w:hint="default"/>
                <w:sz w:val="24"/>
                <w:szCs w:val="24"/>
              </w:rPr>
            </w:r>
          </w:p>
        </w:tc>
        <w:tc>
          <w:tcPr>
            <w:tcW w:w="1728"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164" w:right="0"/>
              <w:jc w:val="left"/>
              <w:rPr>
                <w:rFonts w:ascii="宋体" w:hAnsi="宋体" w:cs="宋体" w:eastAsia="宋体" w:hint="default"/>
                <w:sz w:val="24"/>
                <w:szCs w:val="24"/>
              </w:rPr>
            </w:pPr>
            <w:r>
              <w:rPr>
                <w:rFonts w:ascii="宋体" w:hAnsi="宋体" w:cs="宋体" w:eastAsia="宋体" w:hint="default"/>
                <w:b/>
                <w:bCs/>
                <w:sz w:val="24"/>
                <w:szCs w:val="24"/>
              </w:rPr>
              <w:t>与本公司关系</w:t>
            </w:r>
            <w:r>
              <w:rPr>
                <w:rFonts w:ascii="宋体" w:hAnsi="宋体" w:cs="宋体" w:eastAsia="宋体" w:hint="default"/>
                <w:sz w:val="24"/>
                <w:szCs w:val="24"/>
              </w:rPr>
            </w:r>
          </w:p>
        </w:tc>
        <w:tc>
          <w:tcPr>
            <w:tcW w:w="1509"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235"/>
              <w:jc w:val="right"/>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250"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116"/>
              <w:jc w:val="right"/>
              <w:rPr>
                <w:rFonts w:ascii="宋体" w:hAnsi="宋体" w:cs="宋体" w:eastAsia="宋体" w:hint="default"/>
                <w:sz w:val="24"/>
                <w:szCs w:val="24"/>
              </w:rPr>
            </w:pPr>
            <w:r>
              <w:rPr>
                <w:rFonts w:ascii="宋体" w:hAnsi="宋体" w:cs="宋体" w:eastAsia="宋体" w:hint="default"/>
                <w:b/>
                <w:bCs/>
                <w:sz w:val="24"/>
                <w:szCs w:val="24"/>
              </w:rPr>
              <w:t>年限</w:t>
            </w:r>
            <w:r>
              <w:rPr>
                <w:rFonts w:ascii="宋体" w:hAnsi="宋体" w:cs="宋体" w:eastAsia="宋体" w:hint="default"/>
                <w:sz w:val="24"/>
                <w:szCs w:val="24"/>
              </w:rPr>
            </w:r>
          </w:p>
        </w:tc>
        <w:tc>
          <w:tcPr>
            <w:tcW w:w="1432"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106"/>
              <w:jc w:val="right"/>
              <w:rPr>
                <w:rFonts w:ascii="宋体" w:hAnsi="宋体" w:cs="宋体" w:eastAsia="宋体" w:hint="default"/>
                <w:sz w:val="24"/>
                <w:szCs w:val="24"/>
              </w:rPr>
            </w:pPr>
            <w:r>
              <w:rPr>
                <w:rFonts w:ascii="宋体" w:hAnsi="宋体" w:cs="宋体" w:eastAsia="宋体" w:hint="default"/>
                <w:b/>
                <w:bCs/>
                <w:w w:val="95"/>
                <w:sz w:val="24"/>
                <w:szCs w:val="24"/>
              </w:rPr>
              <w:t>未结算原因</w:t>
            </w:r>
            <w:r>
              <w:rPr>
                <w:rFonts w:ascii="宋体" w:hAnsi="宋体" w:cs="宋体" w:eastAsia="宋体" w:hint="default"/>
                <w:sz w:val="24"/>
                <w:szCs w:val="24"/>
              </w:rPr>
            </w:r>
          </w:p>
        </w:tc>
      </w:tr>
      <w:tr>
        <w:trPr>
          <w:trHeight w:val="417" w:hRule="exact"/>
        </w:trPr>
        <w:tc>
          <w:tcPr>
            <w:tcW w:w="3364"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北京中天博地科技有限公司</w:t>
            </w:r>
          </w:p>
        </w:tc>
        <w:tc>
          <w:tcPr>
            <w:tcW w:w="1728" w:type="dxa"/>
            <w:tcBorders>
              <w:top w:val="single" w:sz="4" w:space="0" w:color="000000"/>
              <w:left w:val="nil" w:sz="6" w:space="0" w:color="auto"/>
              <w:bottom w:val="nil" w:sz="6" w:space="0" w:color="auto"/>
              <w:right w:val="nil" w:sz="6" w:space="0" w:color="auto"/>
            </w:tcBorders>
          </w:tcPr>
          <w:p>
            <w:pPr>
              <w:pStyle w:val="TableParagraph"/>
              <w:spacing w:line="312" w:lineRule="exact"/>
              <w:ind w:left="13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50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8"/>
              <w:jc w:val="right"/>
              <w:rPr>
                <w:rFonts w:ascii="Arial Narrow" w:hAnsi="Arial Narrow" w:cs="Arial Narrow" w:eastAsia="Arial Narrow" w:hint="default"/>
                <w:sz w:val="24"/>
                <w:szCs w:val="24"/>
              </w:rPr>
            </w:pPr>
            <w:r>
              <w:rPr>
                <w:rFonts w:ascii="Arial Narrow"/>
                <w:spacing w:val="-1"/>
                <w:sz w:val="24"/>
              </w:rPr>
              <w:t>1,643,465.72</w:t>
            </w:r>
          </w:p>
        </w:tc>
        <w:tc>
          <w:tcPr>
            <w:tcW w:w="125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19"/>
              <w:jc w:val="righ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106"/>
              <w:jc w:val="right"/>
              <w:rPr>
                <w:rFonts w:ascii="宋体" w:hAnsi="宋体" w:cs="宋体" w:eastAsia="宋体" w:hint="default"/>
                <w:sz w:val="24"/>
                <w:szCs w:val="24"/>
              </w:rPr>
            </w:pPr>
            <w:r>
              <w:rPr>
                <w:rFonts w:ascii="宋体" w:hAnsi="宋体" w:cs="宋体" w:eastAsia="宋体" w:hint="default"/>
                <w:sz w:val="24"/>
                <w:szCs w:val="24"/>
              </w:rPr>
              <w:t>见说明</w:t>
            </w:r>
          </w:p>
        </w:tc>
      </w:tr>
      <w:tr>
        <w:trPr>
          <w:trHeight w:val="396"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91" w:lineRule="exact"/>
              <w:ind w:left="108" w:right="0"/>
              <w:jc w:val="left"/>
              <w:rPr>
                <w:rFonts w:ascii="宋体" w:hAnsi="宋体" w:cs="宋体" w:eastAsia="宋体" w:hint="default"/>
                <w:sz w:val="24"/>
                <w:szCs w:val="24"/>
              </w:rPr>
            </w:pPr>
            <w:r>
              <w:rPr>
                <w:rFonts w:ascii="宋体" w:hAnsi="宋体" w:cs="宋体" w:eastAsia="宋体" w:hint="default"/>
                <w:sz w:val="24"/>
                <w:szCs w:val="24"/>
              </w:rPr>
              <w:t>山西迪奥普科技有限公司</w:t>
            </w:r>
          </w:p>
        </w:tc>
        <w:tc>
          <w:tcPr>
            <w:tcW w:w="1728" w:type="dxa"/>
            <w:tcBorders>
              <w:top w:val="nil" w:sz="6" w:space="0" w:color="auto"/>
              <w:left w:val="nil" w:sz="6" w:space="0" w:color="auto"/>
              <w:bottom w:val="nil" w:sz="6" w:space="0" w:color="auto"/>
              <w:right w:val="nil" w:sz="6" w:space="0" w:color="auto"/>
            </w:tcBorders>
          </w:tcPr>
          <w:p>
            <w:pPr>
              <w:pStyle w:val="TableParagraph"/>
              <w:spacing w:line="291" w:lineRule="exact"/>
              <w:ind w:left="13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8"/>
              <w:jc w:val="right"/>
              <w:rPr>
                <w:rFonts w:ascii="Arial Narrow" w:hAnsi="Arial Narrow" w:cs="Arial Narrow" w:eastAsia="Arial Narrow" w:hint="default"/>
                <w:sz w:val="24"/>
                <w:szCs w:val="24"/>
              </w:rPr>
            </w:pPr>
            <w:r>
              <w:rPr>
                <w:rFonts w:ascii="Arial Narrow"/>
                <w:spacing w:val="-1"/>
                <w:sz w:val="24"/>
              </w:rPr>
              <w:t>1,272,000.00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24"/>
                <w:szCs w:val="24"/>
              </w:rPr>
            </w:pPr>
            <w:r>
              <w:rPr>
                <w:rFonts w:ascii="宋体" w:hAnsi="宋体" w:cs="宋体" w:eastAsia="宋体" w:hint="default"/>
                <w:sz w:val="24"/>
                <w:szCs w:val="24"/>
              </w:rPr>
              <w:t>见说明</w:t>
            </w:r>
          </w:p>
        </w:tc>
      </w:tr>
      <w:tr>
        <w:trPr>
          <w:trHeight w:val="397"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91" w:lineRule="exact"/>
              <w:ind w:left="108" w:right="0"/>
              <w:jc w:val="left"/>
              <w:rPr>
                <w:rFonts w:ascii="宋体" w:hAnsi="宋体" w:cs="宋体" w:eastAsia="宋体" w:hint="default"/>
                <w:sz w:val="24"/>
                <w:szCs w:val="24"/>
              </w:rPr>
            </w:pPr>
            <w:r>
              <w:rPr>
                <w:rFonts w:ascii="宋体" w:hAnsi="宋体" w:cs="宋体" w:eastAsia="宋体" w:hint="default"/>
                <w:sz w:val="24"/>
                <w:szCs w:val="24"/>
              </w:rPr>
              <w:t>山西五维测绘有限公司</w:t>
            </w:r>
          </w:p>
        </w:tc>
        <w:tc>
          <w:tcPr>
            <w:tcW w:w="1728" w:type="dxa"/>
            <w:tcBorders>
              <w:top w:val="nil" w:sz="6" w:space="0" w:color="auto"/>
              <w:left w:val="nil" w:sz="6" w:space="0" w:color="auto"/>
              <w:bottom w:val="nil" w:sz="6" w:space="0" w:color="auto"/>
              <w:right w:val="nil" w:sz="6" w:space="0" w:color="auto"/>
            </w:tcBorders>
          </w:tcPr>
          <w:p>
            <w:pPr>
              <w:pStyle w:val="TableParagraph"/>
              <w:spacing w:line="291" w:lineRule="exact"/>
              <w:ind w:left="13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8"/>
              <w:jc w:val="right"/>
              <w:rPr>
                <w:rFonts w:ascii="Arial Narrow" w:hAnsi="Arial Narrow" w:cs="Arial Narrow" w:eastAsia="Arial Narrow" w:hint="default"/>
                <w:sz w:val="24"/>
                <w:szCs w:val="24"/>
              </w:rPr>
            </w:pPr>
            <w:r>
              <w:rPr>
                <w:rFonts w:ascii="Arial Narrow"/>
                <w:spacing w:val="-1"/>
                <w:sz w:val="24"/>
              </w:rPr>
              <w:t>1,173,140.00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24"/>
                <w:szCs w:val="24"/>
              </w:rPr>
            </w:pPr>
            <w:r>
              <w:rPr>
                <w:rFonts w:ascii="宋体" w:hAnsi="宋体" w:cs="宋体" w:eastAsia="宋体" w:hint="default"/>
                <w:sz w:val="24"/>
                <w:szCs w:val="24"/>
              </w:rPr>
              <w:t>见说明</w:t>
            </w:r>
          </w:p>
        </w:tc>
      </w:tr>
      <w:tr>
        <w:trPr>
          <w:trHeight w:val="397" w:hRule="exact"/>
        </w:trPr>
        <w:tc>
          <w:tcPr>
            <w:tcW w:w="3364" w:type="dxa"/>
            <w:tcBorders>
              <w:top w:val="nil" w:sz="6" w:space="0" w:color="auto"/>
              <w:left w:val="nil" w:sz="6" w:space="0" w:color="auto"/>
              <w:bottom w:val="nil" w:sz="6" w:space="0" w:color="auto"/>
              <w:right w:val="nil" w:sz="6" w:space="0" w:color="auto"/>
            </w:tcBorders>
          </w:tcPr>
          <w:p>
            <w:pPr>
              <w:pStyle w:val="TableParagraph"/>
              <w:spacing w:line="292" w:lineRule="exact"/>
              <w:ind w:left="108" w:right="0"/>
              <w:jc w:val="left"/>
              <w:rPr>
                <w:rFonts w:ascii="宋体" w:hAnsi="宋体" w:cs="宋体" w:eastAsia="宋体" w:hint="default"/>
                <w:sz w:val="24"/>
                <w:szCs w:val="24"/>
              </w:rPr>
            </w:pPr>
            <w:r>
              <w:rPr>
                <w:rFonts w:ascii="宋体" w:hAnsi="宋体" w:cs="宋体" w:eastAsia="宋体" w:hint="default"/>
                <w:sz w:val="24"/>
                <w:szCs w:val="24"/>
              </w:rPr>
              <w:t>北京数环世纪科技有限公司</w:t>
            </w:r>
          </w:p>
        </w:tc>
        <w:tc>
          <w:tcPr>
            <w:tcW w:w="1728" w:type="dxa"/>
            <w:tcBorders>
              <w:top w:val="nil" w:sz="6" w:space="0" w:color="auto"/>
              <w:left w:val="nil" w:sz="6" w:space="0" w:color="auto"/>
              <w:bottom w:val="nil" w:sz="6" w:space="0" w:color="auto"/>
              <w:right w:val="nil" w:sz="6" w:space="0" w:color="auto"/>
            </w:tcBorders>
          </w:tcPr>
          <w:p>
            <w:pPr>
              <w:pStyle w:val="TableParagraph"/>
              <w:spacing w:line="292" w:lineRule="exact"/>
              <w:ind w:left="13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8"/>
              <w:jc w:val="right"/>
              <w:rPr>
                <w:rFonts w:ascii="Arial Narrow" w:hAnsi="Arial Narrow" w:cs="Arial Narrow" w:eastAsia="Arial Narrow" w:hint="default"/>
                <w:sz w:val="24"/>
                <w:szCs w:val="24"/>
              </w:rPr>
            </w:pPr>
            <w:r>
              <w:rPr>
                <w:rFonts w:ascii="Arial Narrow"/>
                <w:spacing w:val="-1"/>
                <w:sz w:val="24"/>
              </w:rPr>
              <w:t>1,032,318.45</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9"/>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宋体" w:hAnsi="宋体" w:cs="宋体" w:eastAsia="宋体" w:hint="default"/>
                <w:sz w:val="24"/>
                <w:szCs w:val="24"/>
              </w:rPr>
            </w:pPr>
            <w:r>
              <w:rPr>
                <w:rFonts w:ascii="宋体" w:hAnsi="宋体" w:cs="宋体" w:eastAsia="宋体" w:hint="default"/>
                <w:sz w:val="24"/>
                <w:szCs w:val="24"/>
              </w:rPr>
              <w:t>见说明</w:t>
            </w:r>
          </w:p>
        </w:tc>
      </w:tr>
      <w:tr>
        <w:trPr>
          <w:trHeight w:val="377" w:hRule="exact"/>
        </w:trPr>
        <w:tc>
          <w:tcPr>
            <w:tcW w:w="3364" w:type="dxa"/>
            <w:tcBorders>
              <w:top w:val="nil" w:sz="6" w:space="0" w:color="auto"/>
              <w:left w:val="nil" w:sz="6" w:space="0" w:color="auto"/>
              <w:bottom w:val="single" w:sz="4" w:space="0" w:color="000000"/>
              <w:right w:val="nil" w:sz="6" w:space="0" w:color="auto"/>
            </w:tcBorders>
          </w:tcPr>
          <w:p>
            <w:pPr>
              <w:pStyle w:val="TableParagraph"/>
              <w:spacing w:line="291" w:lineRule="exact"/>
              <w:ind w:left="108" w:right="0"/>
              <w:jc w:val="left"/>
              <w:rPr>
                <w:rFonts w:ascii="宋体" w:hAnsi="宋体" w:cs="宋体" w:eastAsia="宋体" w:hint="default"/>
                <w:sz w:val="24"/>
                <w:szCs w:val="24"/>
              </w:rPr>
            </w:pPr>
            <w:r>
              <w:rPr>
                <w:rFonts w:ascii="宋体" w:hAnsi="宋体" w:cs="宋体" w:eastAsia="宋体" w:hint="default"/>
                <w:sz w:val="24"/>
                <w:szCs w:val="24"/>
              </w:rPr>
              <w:t>广西自治区南宁市国土资源局</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91" w:lineRule="exact"/>
              <w:ind w:left="135"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509"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238"/>
              <w:jc w:val="right"/>
              <w:rPr>
                <w:rFonts w:ascii="Arial Narrow" w:hAnsi="Arial Narrow" w:cs="Arial Narrow" w:eastAsia="Arial Narrow" w:hint="default"/>
                <w:sz w:val="24"/>
                <w:szCs w:val="24"/>
              </w:rPr>
            </w:pPr>
            <w:r>
              <w:rPr>
                <w:rFonts w:ascii="Arial Narrow"/>
                <w:spacing w:val="-1"/>
                <w:sz w:val="24"/>
              </w:rPr>
              <w:t>961,500.00</w:t>
            </w: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19"/>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106"/>
              <w:jc w:val="right"/>
              <w:rPr>
                <w:rFonts w:ascii="宋体" w:hAnsi="宋体" w:cs="宋体" w:eastAsia="宋体" w:hint="default"/>
                <w:sz w:val="24"/>
                <w:szCs w:val="24"/>
              </w:rPr>
            </w:pPr>
            <w:r>
              <w:rPr>
                <w:rFonts w:ascii="宋体" w:hAnsi="宋体" w:cs="宋体" w:eastAsia="宋体" w:hint="default"/>
                <w:sz w:val="24"/>
                <w:szCs w:val="24"/>
              </w:rPr>
              <w:t>见说明</w:t>
            </w:r>
          </w:p>
        </w:tc>
      </w:tr>
      <w:tr>
        <w:trPr>
          <w:trHeight w:val="323" w:hRule="exact"/>
        </w:trPr>
        <w:tc>
          <w:tcPr>
            <w:tcW w:w="3364" w:type="dxa"/>
            <w:tcBorders>
              <w:top w:val="single" w:sz="4" w:space="0" w:color="000000"/>
              <w:left w:val="nil" w:sz="6" w:space="0" w:color="auto"/>
              <w:bottom w:val="nil" w:sz="6" w:space="0" w:color="auto"/>
              <w:right w:val="nil" w:sz="6" w:space="0" w:color="auto"/>
            </w:tcBorders>
          </w:tcPr>
          <w:p>
            <w:pPr>
              <w:pStyle w:val="TableParagraph"/>
              <w:tabs>
                <w:tab w:pos="590" w:val="left" w:leader="none"/>
              </w:tabs>
              <w:spacing w:line="312"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728" w:type="dxa"/>
            <w:tcBorders>
              <w:top w:val="single" w:sz="4" w:space="0" w:color="000000"/>
              <w:left w:val="nil" w:sz="6" w:space="0" w:color="auto"/>
              <w:bottom w:val="nil" w:sz="6" w:space="0" w:color="auto"/>
              <w:right w:val="nil" w:sz="6" w:space="0" w:color="auto"/>
            </w:tcBorders>
          </w:tcPr>
          <w:p>
            <w:pPr/>
          </w:p>
        </w:tc>
        <w:tc>
          <w:tcPr>
            <w:tcW w:w="150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8"/>
              <w:jc w:val="right"/>
              <w:rPr>
                <w:rFonts w:ascii="Arial Narrow" w:hAnsi="Arial Narrow" w:cs="Arial Narrow" w:eastAsia="Arial Narrow" w:hint="default"/>
                <w:sz w:val="24"/>
                <w:szCs w:val="24"/>
              </w:rPr>
            </w:pPr>
            <w:r>
              <w:rPr>
                <w:rFonts w:ascii="Arial Narrow"/>
                <w:b/>
                <w:spacing w:val="-1"/>
                <w:sz w:val="24"/>
              </w:rPr>
              <w:t>6,082,424.17</w:t>
            </w:r>
            <w:r>
              <w:rPr>
                <w:rFonts w:ascii="Arial Narrow"/>
                <w:spacing w:val="-1"/>
                <w:sz w:val="24"/>
              </w:rPr>
            </w:r>
          </w:p>
        </w:tc>
        <w:tc>
          <w:tcPr>
            <w:tcW w:w="1250" w:type="dxa"/>
            <w:tcBorders>
              <w:top w:val="single" w:sz="4" w:space="0" w:color="000000"/>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5"/>
          <w:szCs w:val="5"/>
        </w:rPr>
      </w:pPr>
    </w:p>
    <w:p>
      <w:pPr>
        <w:spacing w:line="20" w:lineRule="exact"/>
        <w:ind w:left="430" w:right="0" w:firstLine="0"/>
        <w:rPr>
          <w:rFonts w:ascii="宋体" w:hAnsi="宋体" w:cs="宋体" w:eastAsia="宋体" w:hint="default"/>
          <w:sz w:val="2"/>
          <w:szCs w:val="2"/>
        </w:rPr>
      </w:pPr>
      <w:r>
        <w:rPr>
          <w:rFonts w:ascii="宋体" w:hAnsi="宋体" w:cs="宋体" w:eastAsia="宋体" w:hint="default"/>
          <w:sz w:val="2"/>
          <w:szCs w:val="2"/>
        </w:rPr>
        <w:pict>
          <v:group style="width:465.85pt;height:1pt;mso-position-horizontal-relative:char;mso-position-vertical-relative:line" coordorigin="0,0" coordsize="9317,20">
            <v:group style="position:absolute;left:10;top:10;width:3406;height:2" coordorigin="10,10" coordsize="3406,2">
              <v:shape style="position:absolute;left:10;top:10;width:3406;height:2" coordorigin="10,10" coordsize="3406,0" path="m10,10l3416,10e" filled="false" stroked="true" strokeweight=".95999pt" strokecolor="#000000">
                <v:path arrowok="t"/>
              </v:shape>
            </v:group>
            <v:group style="position:absolute;left:3401;top:10;width:20;height:2" coordorigin="3401,10" coordsize="20,2">
              <v:shape style="position:absolute;left:3401;top:10;width:20;height:2" coordorigin="3401,10" coordsize="20,0" path="m3401,10l3421,10e" filled="false" stroked="true" strokeweight=".95999pt" strokecolor="#000000">
                <v:path arrowok="t"/>
              </v:shape>
            </v:group>
            <v:group style="position:absolute;left:3421;top:10;width:1686;height:2" coordorigin="3421,10" coordsize="1686,2">
              <v:shape style="position:absolute;left:3421;top:10;width:1686;height:2" coordorigin="3421,10" coordsize="1686,0" path="m3421,10l5106,10e" filled="false" stroked="true" strokeweight=".95999pt" strokecolor="#000000">
                <v:path arrowok="t"/>
              </v:shape>
            </v:group>
            <v:group style="position:absolute;left:5091;top:10;width:20;height:2" coordorigin="5091,10" coordsize="20,2">
              <v:shape style="position:absolute;left:5091;top:10;width:20;height:2" coordorigin="5091,10" coordsize="20,0" path="m5091,10l5111,10e" filled="false" stroked="true" strokeweight=".95999pt" strokecolor="#000000">
                <v:path arrowok="t"/>
              </v:shape>
            </v:group>
            <v:group style="position:absolute;left:5111;top:10;width:1383;height:2" coordorigin="5111,10" coordsize="1383,2">
              <v:shape style="position:absolute;left:5111;top:10;width:1383;height:2" coordorigin="5111,10" coordsize="1383,0" path="m5111,10l6493,10e" filled="false" stroked="true" strokeweight=".95999pt" strokecolor="#000000">
                <v:path arrowok="t"/>
              </v:shape>
            </v:group>
            <v:group style="position:absolute;left:6479;top:10;width:20;height:2" coordorigin="6479,10" coordsize="20,2">
              <v:shape style="position:absolute;left:6479;top:10;width:20;height:2" coordorigin="6479,10" coordsize="20,0" path="m6479,10l6498,10e" filled="false" stroked="true" strokeweight=".95999pt" strokecolor="#000000">
                <v:path arrowok="t"/>
              </v:shape>
            </v:group>
            <v:group style="position:absolute;left:6498;top:10;width:1364;height:2" coordorigin="6498,10" coordsize="1364,2">
              <v:shape style="position:absolute;left:6498;top:10;width:1364;height:2" coordorigin="6498,10" coordsize="1364,0" path="m6498,10l7861,10e" filled="false" stroked="true" strokeweight=".95999pt" strokecolor="#000000">
                <v:path arrowok="t"/>
              </v:shape>
            </v:group>
            <v:group style="position:absolute;left:7847;top:10;width:20;height:2" coordorigin="7847,10" coordsize="20,2">
              <v:shape style="position:absolute;left:7847;top:10;width:20;height:2" coordorigin="7847,10" coordsize="20,0" path="m7847,10l7866,10e" filled="false" stroked="true" strokeweight=".95999pt" strokecolor="#000000">
                <v:path arrowok="t"/>
              </v:shape>
            </v:group>
            <v:group style="position:absolute;left:7866;top:10;width:1441;height:2" coordorigin="7866,10" coordsize="1441,2">
              <v:shape style="position:absolute;left:7866;top:10;width:1441;height:2" coordorigin="7866,10" coordsize="1441,0" path="m7866,10l9307,10e" filled="false" stroked="true" strokeweight=".95999pt" strokecolor="#000000">
                <v:path arrowok="t"/>
              </v:shape>
            </v:group>
          </v:group>
        </w:pict>
      </w:r>
      <w:r>
        <w:rPr>
          <w:rFonts w:ascii="宋体" w:hAnsi="宋体" w:cs="宋体" w:eastAsia="宋体" w:hint="default"/>
          <w:sz w:val="2"/>
          <w:szCs w:val="2"/>
        </w:rPr>
      </w:r>
    </w:p>
    <w:p>
      <w:pPr>
        <w:pStyle w:val="BodyText"/>
        <w:spacing w:line="240" w:lineRule="auto" w:before="79"/>
        <w:ind w:left="502" w:right="0"/>
        <w:jc w:val="left"/>
      </w:pPr>
      <w:r>
        <w:rPr/>
        <w:t>说明：上述预付款项均为预付的外包费。</w:t>
      </w:r>
    </w:p>
    <w:p>
      <w:pPr>
        <w:pStyle w:val="BodyText"/>
        <w:spacing w:line="384" w:lineRule="auto" w:before="211"/>
        <w:ind w:left="142" w:right="382" w:firstLine="360"/>
        <w:jc w:val="left"/>
      </w:pPr>
      <w:r>
        <w:rPr/>
        <w:t>（</w:t>
      </w:r>
      <w:r>
        <w:rPr>
          <w:rFonts w:ascii="Arial Narrow" w:hAnsi="Arial Narrow" w:cs="Arial Narrow" w:eastAsia="Arial Narrow" w:hint="default"/>
        </w:rPr>
        <w:t>3</w:t>
      </w:r>
      <w:r>
        <w:rPr/>
        <w:t>）期末预付款项中不存在预付持本公司</w:t>
      </w:r>
      <w:r>
        <w:rPr>
          <w:spacing w:val="-62"/>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）以上表决权股份股东的款项。 </w:t>
      </w:r>
      <w:r>
        <w:rPr>
          <w:rFonts w:ascii="Arial Narrow" w:hAnsi="Arial Narrow" w:cs="Arial Narrow" w:eastAsia="Arial Narrow" w:hint="default"/>
        </w:rPr>
        <w:t>5</w:t>
      </w:r>
      <w:r>
        <w:rPr/>
        <w:t>、应收利息</w:t>
      </w:r>
    </w:p>
    <w:p>
      <w:pPr>
        <w:spacing w:line="240" w:lineRule="auto" w:before="9"/>
        <w:rPr>
          <w:rFonts w:ascii="宋体" w:hAnsi="宋体" w:cs="宋体" w:eastAsia="宋体" w:hint="default"/>
          <w:sz w:val="5"/>
          <w:szCs w:val="5"/>
        </w:rPr>
      </w:pPr>
    </w:p>
    <w:tbl>
      <w:tblPr>
        <w:tblW w:w="0" w:type="auto"/>
        <w:jc w:val="left"/>
        <w:tblInd w:w="454" w:type="dxa"/>
        <w:tblLayout w:type="fixed"/>
        <w:tblCellMar>
          <w:top w:w="0" w:type="dxa"/>
          <w:left w:w="0" w:type="dxa"/>
          <w:bottom w:w="0" w:type="dxa"/>
          <w:right w:w="0" w:type="dxa"/>
        </w:tblCellMar>
        <w:tblLook w:val="01E0"/>
      </w:tblPr>
      <w:tblGrid>
        <w:gridCol w:w="2772"/>
        <w:gridCol w:w="1671"/>
        <w:gridCol w:w="1663"/>
        <w:gridCol w:w="1662"/>
        <w:gridCol w:w="1514"/>
      </w:tblGrid>
      <w:tr>
        <w:trPr>
          <w:trHeight w:val="442" w:hRule="exact"/>
        </w:trPr>
        <w:tc>
          <w:tcPr>
            <w:tcW w:w="2772"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240" w:lineRule="auto" w:before="17"/>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671"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55"/>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166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55"/>
              <w:jc w:val="righ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662"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54"/>
              <w:jc w:val="righ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51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06"/>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r>
      <w:tr>
        <w:trPr>
          <w:trHeight w:val="395" w:hRule="exact"/>
        </w:trPr>
        <w:tc>
          <w:tcPr>
            <w:tcW w:w="2772"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北京银行定期存款利息</w:t>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6"/>
              <w:jc w:val="right"/>
              <w:rPr>
                <w:rFonts w:ascii="Arial Narrow" w:hAnsi="Arial Narrow" w:cs="Arial Narrow" w:eastAsia="Arial Narrow" w:hint="default"/>
                <w:sz w:val="24"/>
                <w:szCs w:val="24"/>
              </w:rPr>
            </w:pPr>
            <w:r>
              <w:rPr>
                <w:rFonts w:ascii="Arial Narrow"/>
                <w:spacing w:val="-1"/>
                <w:sz w:val="24"/>
              </w:rPr>
              <w:t>4,425,000.00</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4"/>
              <w:jc w:val="right"/>
              <w:rPr>
                <w:rFonts w:ascii="Arial Narrow" w:hAnsi="Arial Narrow" w:cs="Arial Narrow" w:eastAsia="Arial Narrow" w:hint="default"/>
                <w:sz w:val="24"/>
                <w:szCs w:val="24"/>
              </w:rPr>
            </w:pPr>
            <w:r>
              <w:rPr>
                <w:rFonts w:ascii="Arial Narrow"/>
                <w:spacing w:val="-1"/>
                <w:sz w:val="24"/>
              </w:rPr>
              <w:t>4,381,531.23</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3"/>
              <w:jc w:val="right"/>
              <w:rPr>
                <w:rFonts w:ascii="Arial Narrow" w:hAnsi="Arial Narrow" w:cs="Arial Narrow" w:eastAsia="Arial Narrow" w:hint="default"/>
                <w:sz w:val="24"/>
                <w:szCs w:val="24"/>
              </w:rPr>
            </w:pPr>
            <w:r>
              <w:rPr>
                <w:rFonts w:ascii="Arial Narrow"/>
                <w:spacing w:val="-1"/>
                <w:sz w:val="24"/>
              </w:rPr>
              <w:t>4,425,000.00</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spacing w:val="-1"/>
                <w:sz w:val="24"/>
              </w:rPr>
              <w:t>4,381,531.23</w:t>
            </w:r>
          </w:p>
        </w:tc>
      </w:tr>
      <w:tr>
        <w:trPr>
          <w:trHeight w:val="399" w:hRule="exact"/>
        </w:trPr>
        <w:tc>
          <w:tcPr>
            <w:tcW w:w="2772"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招商银行定期存款利息</w:t>
            </w: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56"/>
              <w:jc w:val="right"/>
              <w:rPr>
                <w:rFonts w:ascii="Arial Narrow" w:hAnsi="Arial Narrow" w:cs="Arial Narrow" w:eastAsia="Arial Narrow" w:hint="default"/>
                <w:sz w:val="24"/>
                <w:szCs w:val="24"/>
              </w:rPr>
            </w:pPr>
            <w:r>
              <w:rPr>
                <w:rFonts w:ascii="Arial Narrow"/>
                <w:spacing w:val="-1"/>
                <w:sz w:val="24"/>
              </w:rPr>
              <w:t>1,127,666.98</w:t>
            </w:r>
          </w:p>
        </w:tc>
        <w:tc>
          <w:tcPr>
            <w:tcW w:w="166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54"/>
              <w:jc w:val="right"/>
              <w:rPr>
                <w:rFonts w:ascii="Arial Narrow" w:hAnsi="Arial Narrow" w:cs="Arial Narrow" w:eastAsia="Arial Narrow" w:hint="default"/>
                <w:sz w:val="24"/>
                <w:szCs w:val="24"/>
              </w:rPr>
            </w:pPr>
            <w:r>
              <w:rPr>
                <w:rFonts w:ascii="Arial Narrow"/>
                <w:spacing w:val="-1"/>
                <w:sz w:val="24"/>
              </w:rPr>
              <w:t>1,005,880.87</w:t>
            </w:r>
          </w:p>
        </w:tc>
        <w:tc>
          <w:tcPr>
            <w:tcW w:w="166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53"/>
              <w:jc w:val="right"/>
              <w:rPr>
                <w:rFonts w:ascii="Arial Narrow" w:hAnsi="Arial Narrow" w:cs="Arial Narrow" w:eastAsia="Arial Narrow" w:hint="default"/>
                <w:sz w:val="24"/>
                <w:szCs w:val="24"/>
              </w:rPr>
            </w:pPr>
            <w:r>
              <w:rPr>
                <w:rFonts w:ascii="Arial Narrow"/>
                <w:spacing w:val="-1"/>
                <w:sz w:val="24"/>
              </w:rPr>
              <w:t>1,127,666.98</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1,005,880.87</w:t>
            </w:r>
          </w:p>
        </w:tc>
      </w:tr>
      <w:tr>
        <w:trPr>
          <w:trHeight w:val="403" w:hRule="exact"/>
        </w:trPr>
        <w:tc>
          <w:tcPr>
            <w:tcW w:w="2772"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2"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671"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56"/>
              <w:jc w:val="right"/>
              <w:rPr>
                <w:rFonts w:ascii="Arial Narrow" w:hAnsi="Arial Narrow" w:cs="Arial Narrow" w:eastAsia="Arial Narrow" w:hint="default"/>
                <w:sz w:val="24"/>
                <w:szCs w:val="24"/>
              </w:rPr>
            </w:pPr>
            <w:r>
              <w:rPr>
                <w:rFonts w:ascii="Arial Narrow"/>
                <w:b/>
                <w:spacing w:val="-1"/>
                <w:sz w:val="24"/>
              </w:rPr>
              <w:t>5,552,666.98</w:t>
            </w:r>
            <w:r>
              <w:rPr>
                <w:rFonts w:ascii="Arial Narrow"/>
                <w:spacing w:val="-1"/>
                <w:sz w:val="24"/>
              </w:rPr>
            </w:r>
          </w:p>
        </w:tc>
        <w:tc>
          <w:tcPr>
            <w:tcW w:w="166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54"/>
              <w:jc w:val="right"/>
              <w:rPr>
                <w:rFonts w:ascii="Arial Narrow" w:hAnsi="Arial Narrow" w:cs="Arial Narrow" w:eastAsia="Arial Narrow" w:hint="default"/>
                <w:sz w:val="24"/>
                <w:szCs w:val="24"/>
              </w:rPr>
            </w:pPr>
            <w:r>
              <w:rPr>
                <w:rFonts w:ascii="Arial Narrow"/>
                <w:b/>
                <w:spacing w:val="-1"/>
                <w:sz w:val="24"/>
              </w:rPr>
              <w:t>5,387,412.10</w:t>
            </w:r>
            <w:r>
              <w:rPr>
                <w:rFonts w:ascii="Arial Narrow"/>
                <w:spacing w:val="-1"/>
                <w:sz w:val="24"/>
              </w:rPr>
            </w:r>
          </w:p>
        </w:tc>
        <w:tc>
          <w:tcPr>
            <w:tcW w:w="1662"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53"/>
              <w:jc w:val="right"/>
              <w:rPr>
                <w:rFonts w:ascii="Arial Narrow" w:hAnsi="Arial Narrow" w:cs="Arial Narrow" w:eastAsia="Arial Narrow" w:hint="default"/>
                <w:sz w:val="24"/>
                <w:szCs w:val="24"/>
              </w:rPr>
            </w:pPr>
            <w:r>
              <w:rPr>
                <w:rFonts w:ascii="Arial Narrow"/>
                <w:b/>
                <w:spacing w:val="-1"/>
                <w:sz w:val="24"/>
              </w:rPr>
              <w:t>5,552,666.98</w:t>
            </w:r>
            <w:r>
              <w:rPr>
                <w:rFonts w:ascii="Arial Narrow"/>
                <w:spacing w:val="-1"/>
                <w:sz w:val="24"/>
              </w:rPr>
            </w:r>
          </w:p>
        </w:tc>
        <w:tc>
          <w:tcPr>
            <w:tcW w:w="1514"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b/>
                <w:spacing w:val="-1"/>
                <w:sz w:val="24"/>
              </w:rPr>
              <w:t>5,387,412.10</w:t>
            </w:r>
            <w:r>
              <w:rPr>
                <w:rFonts w:ascii="Arial Narrow"/>
                <w:spacing w:val="-1"/>
                <w:sz w:val="24"/>
              </w:rPr>
            </w:r>
          </w:p>
        </w:tc>
      </w:tr>
    </w:tbl>
    <w:p>
      <w:pPr>
        <w:pStyle w:val="BodyText"/>
        <w:spacing w:line="240" w:lineRule="auto" w:before="80"/>
        <w:ind w:left="142" w:right="0"/>
        <w:jc w:val="left"/>
      </w:pPr>
      <w:r>
        <w:rPr>
          <w:rFonts w:ascii="Arial Narrow" w:hAnsi="Arial Narrow" w:cs="Arial Narrow" w:eastAsia="Arial Narrow" w:hint="default"/>
        </w:rPr>
        <w:t>6</w:t>
      </w:r>
      <w:r>
        <w:rPr/>
        <w:t>、其他应收款</w:t>
      </w:r>
    </w:p>
    <w:p>
      <w:pPr>
        <w:pStyle w:val="BodyText"/>
        <w:spacing w:line="240" w:lineRule="auto" w:before="194"/>
        <w:ind w:left="502" w:right="0"/>
        <w:jc w:val="left"/>
      </w:pPr>
      <w:r>
        <w:rPr/>
        <w:t>（</w:t>
      </w:r>
      <w:r>
        <w:rPr>
          <w:rFonts w:ascii="Arial Narrow" w:hAnsi="Arial Narrow" w:cs="Arial Narrow" w:eastAsia="Arial Narrow" w:hint="default"/>
        </w:rPr>
        <w:t>1</w:t>
      </w:r>
      <w:r>
        <w:rPr/>
        <w:t>）其他应收款按种类披露</w:t>
      </w:r>
    </w:p>
    <w:p>
      <w:pPr>
        <w:spacing w:line="240" w:lineRule="auto" w:before="2"/>
        <w:rPr>
          <w:rFonts w:ascii="宋体" w:hAnsi="宋体" w:cs="宋体" w:eastAsia="宋体" w:hint="default"/>
          <w:sz w:val="18"/>
          <w:szCs w:val="18"/>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0.1pt;height:1pt;mso-position-horizontal-relative:char;mso-position-vertical-relative:line" coordorigin="0,0" coordsize="9202,20">
            <v:group style="position:absolute;left:10;top:10;width:2787;height:2" coordorigin="10,10" coordsize="2787,2">
              <v:shape style="position:absolute;left:10;top:10;width:2787;height:2" coordorigin="10,10" coordsize="2787,0" path="m10,10l2796,10e" filled="false" stroked="true" strokeweight=".95996pt" strokecolor="#000000">
                <v:path arrowok="t"/>
              </v:shape>
            </v:group>
            <v:group style="position:absolute;left:2797;top:10;width:20;height:2" coordorigin="2797,10" coordsize="20,2">
              <v:shape style="position:absolute;left:2797;top:10;width:20;height:2" coordorigin="2797,10" coordsize="20,0" path="m2797,10l2816,10e" filled="false" stroked="true" strokeweight=".95996pt" strokecolor="#000000">
                <v:path arrowok="t"/>
              </v:shape>
            </v:group>
            <v:group style="position:absolute;left:2816;top:10;width:6376;height:2" coordorigin="2816,10" coordsize="6376,2">
              <v:shape style="position:absolute;left:2816;top:10;width:6376;height:2" coordorigin="2816,10" coordsize="6376,0" path="m2816,10l9192,10e" filled="false" stroked="true" strokeweight=".95996pt" strokecolor="#000000">
                <v:path arrowok="t"/>
              </v:shape>
            </v:group>
          </v:group>
        </w:pict>
      </w:r>
      <w:r>
        <w:rPr>
          <w:rFonts w:ascii="宋体" w:hAnsi="宋体" w:cs="宋体" w:eastAsia="宋体" w:hint="default"/>
          <w:sz w:val="2"/>
          <w:szCs w:val="2"/>
        </w:rPr>
      </w:r>
    </w:p>
    <w:p>
      <w:pPr>
        <w:spacing w:line="237" w:lineRule="exact" w:before="18"/>
        <w:ind w:left="6121" w:right="0" w:firstLine="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tabs>
          <w:tab w:pos="984" w:val="left" w:leader="none"/>
        </w:tabs>
        <w:spacing w:line="237" w:lineRule="exact" w:before="0"/>
        <w:ind w:left="562" w:right="0" w:firstLine="0"/>
        <w:jc w:val="left"/>
        <w:rPr>
          <w:rFonts w:ascii="宋体" w:hAnsi="宋体" w:cs="宋体" w:eastAsia="宋体" w:hint="default"/>
          <w:sz w:val="21"/>
          <w:szCs w:val="21"/>
        </w:rPr>
      </w:pPr>
      <w:r>
        <w:rPr/>
        <w:pict>
          <v:shape style="position:absolute;margin-left:79.704002pt;margin-top:10.658556pt;width:459.1pt;height:148.550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65"/>
                    <w:gridCol w:w="1432"/>
                    <w:gridCol w:w="1766"/>
                    <w:gridCol w:w="1119"/>
                  </w:tblGrid>
                  <w:tr>
                    <w:trPr>
                      <w:trHeight w:val="311" w:hRule="exact"/>
                    </w:trPr>
                    <w:tc>
                      <w:tcPr>
                        <w:tcW w:w="4865" w:type="dxa"/>
                        <w:tcBorders>
                          <w:top w:val="nil" w:sz="6" w:space="0" w:color="auto"/>
                          <w:left w:val="nil" w:sz="6" w:space="0" w:color="auto"/>
                          <w:bottom w:val="single" w:sz="4" w:space="0" w:color="000000"/>
                          <w:right w:val="nil" w:sz="6" w:space="0" w:color="auto"/>
                        </w:tcBorders>
                      </w:tcPr>
                      <w:p>
                        <w:pPr>
                          <w:pStyle w:val="TableParagraph"/>
                          <w:spacing w:line="211" w:lineRule="exact"/>
                          <w:ind w:right="535"/>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432" w:type="dxa"/>
                        <w:tcBorders>
                          <w:top w:val="nil" w:sz="6" w:space="0" w:color="auto"/>
                          <w:left w:val="nil" w:sz="6" w:space="0" w:color="auto"/>
                          <w:bottom w:val="single" w:sz="4" w:space="0" w:color="000000"/>
                          <w:right w:val="nil" w:sz="6" w:space="0" w:color="auto"/>
                        </w:tcBorders>
                      </w:tcPr>
                      <w:p>
                        <w:pPr>
                          <w:pStyle w:val="TableParagraph"/>
                          <w:spacing w:line="226" w:lineRule="exact"/>
                          <w:ind w:right="318"/>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66" w:type="dxa"/>
                        <w:tcBorders>
                          <w:top w:val="nil" w:sz="6" w:space="0" w:color="auto"/>
                          <w:left w:val="nil" w:sz="6" w:space="0" w:color="auto"/>
                          <w:bottom w:val="single" w:sz="4" w:space="0" w:color="000000"/>
                          <w:right w:val="nil" w:sz="6" w:space="0" w:color="auto"/>
                        </w:tcBorders>
                      </w:tcPr>
                      <w:p>
                        <w:pPr>
                          <w:pStyle w:val="TableParagraph"/>
                          <w:spacing w:line="211" w:lineRule="exact"/>
                          <w:ind w:right="43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19" w:type="dxa"/>
                        <w:tcBorders>
                          <w:top w:val="nil" w:sz="6" w:space="0" w:color="auto"/>
                          <w:left w:val="nil" w:sz="6" w:space="0" w:color="auto"/>
                          <w:bottom w:val="single" w:sz="4" w:space="0" w:color="000000"/>
                          <w:right w:val="nil" w:sz="6" w:space="0" w:color="auto"/>
                        </w:tcBorders>
                      </w:tcPr>
                      <w:p>
                        <w:pPr>
                          <w:pStyle w:val="TableParagraph"/>
                          <w:spacing w:line="226" w:lineRule="exact"/>
                          <w:ind w:right="103"/>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614" w:hRule="exact"/>
                    </w:trPr>
                    <w:tc>
                      <w:tcPr>
                        <w:tcW w:w="4865" w:type="dxa"/>
                        <w:tcBorders>
                          <w:top w:val="single" w:sz="4" w:space="0" w:color="000000"/>
                          <w:left w:val="nil" w:sz="6" w:space="0" w:color="auto"/>
                          <w:bottom w:val="nil" w:sz="6" w:space="0" w:color="auto"/>
                          <w:right w:val="nil" w:sz="6" w:space="0" w:color="auto"/>
                        </w:tcBorders>
                      </w:tcPr>
                      <w:p>
                        <w:pPr>
                          <w:pStyle w:val="TableParagraph"/>
                          <w:tabs>
                            <w:tab w:pos="4270" w:val="left" w:leader="none"/>
                          </w:tabs>
                          <w:spacing w:line="156" w:lineRule="auto" w:before="80"/>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单项金额重大并单项计提坏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账准备的其他应收款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320"/>
                          <w:jc w:val="right"/>
                          <w:rPr>
                            <w:rFonts w:ascii="Arial Narrow" w:hAnsi="Arial Narrow" w:cs="Arial Narrow" w:eastAsia="Arial Narrow" w:hint="default"/>
                            <w:sz w:val="21"/>
                            <w:szCs w:val="21"/>
                          </w:rPr>
                        </w:pPr>
                        <w:r>
                          <w:rPr>
                            <w:rFonts w:ascii="Arial Narrow"/>
                            <w:w w:val="100"/>
                            <w:sz w:val="21"/>
                          </w:rPr>
                          <w:t>-</w:t>
                        </w:r>
                      </w:p>
                    </w:tc>
                    <w:tc>
                      <w:tcPr>
                        <w:tcW w:w="1766"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437"/>
                          <w:jc w:val="right"/>
                          <w:rPr>
                            <w:rFonts w:ascii="Arial Narrow" w:hAnsi="Arial Narrow" w:cs="Arial Narrow" w:eastAsia="Arial Narrow" w:hint="default"/>
                            <w:sz w:val="21"/>
                            <w:szCs w:val="21"/>
                          </w:rPr>
                        </w:pPr>
                        <w:r>
                          <w:rPr>
                            <w:rFonts w:ascii="Arial Narrow"/>
                            <w:w w:val="100"/>
                            <w:sz w:val="21"/>
                          </w:rPr>
                          <w:t>-</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106"/>
                          <w:jc w:val="right"/>
                          <w:rPr>
                            <w:rFonts w:ascii="Arial Narrow" w:hAnsi="Arial Narrow" w:cs="Arial Narrow" w:eastAsia="Arial Narrow" w:hint="default"/>
                            <w:sz w:val="21"/>
                            <w:szCs w:val="21"/>
                          </w:rPr>
                        </w:pPr>
                        <w:r>
                          <w:rPr>
                            <w:rFonts w:ascii="Arial Narrow"/>
                            <w:w w:val="100"/>
                            <w:sz w:val="21"/>
                          </w:rPr>
                          <w:t>-</w:t>
                        </w:r>
                      </w:p>
                    </w:tc>
                  </w:tr>
                  <w:tr>
                    <w:trPr>
                      <w:trHeight w:val="556" w:hRule="exact"/>
                    </w:trPr>
                    <w:tc>
                      <w:tcPr>
                        <w:tcW w:w="4865" w:type="dxa"/>
                        <w:tcBorders>
                          <w:top w:val="nil" w:sz="6" w:space="0" w:color="auto"/>
                          <w:left w:val="nil" w:sz="6" w:space="0" w:color="auto"/>
                          <w:bottom w:val="nil" w:sz="6" w:space="0" w:color="auto"/>
                          <w:right w:val="nil" w:sz="6" w:space="0" w:color="auto"/>
                        </w:tcBorders>
                      </w:tcPr>
                      <w:p>
                        <w:pPr>
                          <w:pStyle w:val="TableParagraph"/>
                          <w:spacing w:line="221"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w:t>
                        </w:r>
                      </w:p>
                      <w:p>
                        <w:pPr>
                          <w:pStyle w:val="TableParagraph"/>
                          <w:tabs>
                            <w:tab w:pos="3226" w:val="left" w:leader="none"/>
                          </w:tabs>
                          <w:spacing w:line="319"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应收款</w:t>
                          <w:tab/>
                        </w:r>
                        <w:r>
                          <w:rPr>
                            <w:rFonts w:ascii="Arial Narrow" w:hAnsi="Arial Narrow" w:cs="Arial Narrow" w:eastAsia="Arial Narrow" w:hint="default"/>
                            <w:sz w:val="21"/>
                            <w:szCs w:val="21"/>
                          </w:rPr>
                          <w:t>17,108,912.91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1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434"/>
                          <w:jc w:val="right"/>
                          <w:rPr>
                            <w:rFonts w:ascii="Arial Narrow" w:hAnsi="Arial Narrow" w:cs="Arial Narrow" w:eastAsia="Arial Narrow" w:hint="default"/>
                            <w:sz w:val="21"/>
                            <w:szCs w:val="21"/>
                          </w:rPr>
                        </w:pPr>
                        <w:r>
                          <w:rPr>
                            <w:rFonts w:ascii="Arial Narrow"/>
                            <w:spacing w:val="-1"/>
                            <w:sz w:val="21"/>
                          </w:rPr>
                          <w:t>4,882,406.36</w:t>
                        </w:r>
                        <w:r>
                          <w:rPr>
                            <w:rFonts w:ascii="Arial Narrow"/>
                            <w:sz w:val="21"/>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6"/>
                          <w:jc w:val="right"/>
                          <w:rPr>
                            <w:rFonts w:ascii="Arial Narrow" w:hAnsi="Arial Narrow" w:cs="Arial Narrow" w:eastAsia="Arial Narrow" w:hint="default"/>
                            <w:sz w:val="21"/>
                            <w:szCs w:val="21"/>
                          </w:rPr>
                        </w:pPr>
                        <w:r>
                          <w:rPr>
                            <w:rFonts w:ascii="Arial Narrow"/>
                            <w:spacing w:val="-1"/>
                            <w:sz w:val="21"/>
                          </w:rPr>
                          <w:t>28.54</w:t>
                        </w:r>
                        <w:r>
                          <w:rPr>
                            <w:rFonts w:ascii="Arial Narrow"/>
                            <w:sz w:val="21"/>
                          </w:rPr>
                        </w:r>
                      </w:p>
                    </w:tc>
                  </w:tr>
                  <w:tr>
                    <w:trPr>
                      <w:trHeight w:val="507" w:hRule="exact"/>
                    </w:trPr>
                    <w:tc>
                      <w:tcPr>
                        <w:tcW w:w="4865" w:type="dxa"/>
                        <w:tcBorders>
                          <w:top w:val="nil" w:sz="6" w:space="0" w:color="auto"/>
                          <w:left w:val="nil" w:sz="6" w:space="0" w:color="auto"/>
                          <w:bottom w:val="nil" w:sz="6" w:space="0" w:color="auto"/>
                          <w:right w:val="nil" w:sz="6" w:space="0" w:color="auto"/>
                        </w:tcBorders>
                      </w:tcPr>
                      <w:p>
                        <w:pPr>
                          <w:pStyle w:val="TableParagraph"/>
                          <w:tabs>
                            <w:tab w:pos="3118" w:val="left" w:leader="none"/>
                          </w:tabs>
                          <w:spacing w:line="240" w:lineRule="auto" w:before="78"/>
                          <w:ind w:right="533"/>
                          <w:jc w:val="right"/>
                          <w:rPr>
                            <w:rFonts w:ascii="Arial Narrow" w:hAnsi="Arial Narrow" w:cs="Arial Narrow" w:eastAsia="Arial Narrow" w:hint="default"/>
                            <w:sz w:val="21"/>
                            <w:szCs w:val="21"/>
                          </w:rPr>
                        </w:pPr>
                        <w:r>
                          <w:rPr>
                            <w:rFonts w:ascii="宋体" w:hAnsi="宋体" w:cs="宋体" w:eastAsia="宋体" w:hint="default"/>
                            <w:spacing w:val="-1"/>
                            <w:sz w:val="21"/>
                            <w:szCs w:val="21"/>
                          </w:rPr>
                          <w:t>其中：账龄组合</w:t>
                          <w:tab/>
                        </w:r>
                        <w:r>
                          <w:rPr>
                            <w:rFonts w:ascii="Arial Narrow" w:hAnsi="Arial Narrow" w:cs="Arial Narrow" w:eastAsia="Arial Narrow" w:hint="default"/>
                            <w:spacing w:val="-1"/>
                            <w:sz w:val="21"/>
                            <w:szCs w:val="21"/>
                          </w:rPr>
                          <w:t>17,108,912.91</w:t>
                        </w:r>
                        <w:r>
                          <w:rPr>
                            <w:rFonts w:ascii="Arial Narrow" w:hAnsi="Arial Narrow" w:cs="Arial Narrow" w:eastAsia="Arial Narrow" w:hint="default"/>
                            <w:sz w:val="21"/>
                            <w:szCs w:val="21"/>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6"/>
                          <w:jc w:val="right"/>
                          <w:rPr>
                            <w:rFonts w:ascii="Arial Narrow" w:hAnsi="Arial Narrow" w:cs="Arial Narrow" w:eastAsia="Arial Narrow" w:hint="default"/>
                            <w:sz w:val="21"/>
                            <w:szCs w:val="21"/>
                          </w:rPr>
                        </w:pPr>
                        <w:r>
                          <w:rPr>
                            <w:rFonts w:ascii="Arial Narrow"/>
                            <w:spacing w:val="-1"/>
                            <w:sz w:val="21"/>
                          </w:rPr>
                          <w:t>4,882,406.36</w:t>
                        </w:r>
                        <w:r>
                          <w:rPr>
                            <w:rFonts w:ascii="Arial Narrow"/>
                            <w:sz w:val="21"/>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spacing w:val="-1"/>
                            <w:sz w:val="21"/>
                          </w:rPr>
                          <w:t>28.54</w:t>
                        </w:r>
                        <w:r>
                          <w:rPr>
                            <w:rFonts w:ascii="Arial Narrow"/>
                            <w:sz w:val="21"/>
                          </w:rPr>
                        </w:r>
                      </w:p>
                    </w:tc>
                  </w:tr>
                  <w:tr>
                    <w:trPr>
                      <w:trHeight w:val="563" w:hRule="exact"/>
                    </w:trPr>
                    <w:tc>
                      <w:tcPr>
                        <w:tcW w:w="4865" w:type="dxa"/>
                        <w:tcBorders>
                          <w:top w:val="nil" w:sz="6" w:space="0" w:color="auto"/>
                          <w:left w:val="nil" w:sz="6" w:space="0" w:color="auto"/>
                          <w:bottom w:val="single" w:sz="4" w:space="0" w:color="000000"/>
                          <w:right w:val="nil" w:sz="6" w:space="0" w:color="auto"/>
                        </w:tcBorders>
                      </w:tcPr>
                      <w:p>
                        <w:pPr>
                          <w:pStyle w:val="TableParagraph"/>
                          <w:tabs>
                            <w:tab w:pos="4270" w:val="left" w:leader="none"/>
                          </w:tabs>
                          <w:spacing w:line="158" w:lineRule="auto" w:before="24"/>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提坏账准备的其他应收款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320"/>
                          <w:jc w:val="right"/>
                          <w:rPr>
                            <w:rFonts w:ascii="Arial Narrow" w:hAnsi="Arial Narrow" w:cs="Arial Narrow" w:eastAsia="Arial Narrow" w:hint="default"/>
                            <w:sz w:val="21"/>
                            <w:szCs w:val="21"/>
                          </w:rPr>
                        </w:pPr>
                        <w:r>
                          <w:rPr>
                            <w:rFonts w:ascii="Arial Narrow"/>
                            <w:w w:val="100"/>
                            <w:sz w:val="21"/>
                          </w:rPr>
                          <w:t>-</w:t>
                        </w:r>
                      </w:p>
                    </w:tc>
                    <w:tc>
                      <w:tcPr>
                        <w:tcW w:w="176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437"/>
                          <w:jc w:val="right"/>
                          <w:rPr>
                            <w:rFonts w:ascii="Arial Narrow" w:hAnsi="Arial Narrow" w:cs="Arial Narrow" w:eastAsia="Arial Narrow" w:hint="default"/>
                            <w:sz w:val="21"/>
                            <w:szCs w:val="21"/>
                          </w:rPr>
                        </w:pPr>
                        <w:r>
                          <w:rPr>
                            <w:rFonts w:ascii="Arial Narrow"/>
                            <w:w w:val="100"/>
                            <w:sz w:val="21"/>
                          </w:rPr>
                          <w:t>-</w:t>
                        </w:r>
                      </w:p>
                    </w:tc>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06"/>
                          <w:jc w:val="right"/>
                          <w:rPr>
                            <w:rFonts w:ascii="Arial Narrow" w:hAnsi="Arial Narrow" w:cs="Arial Narrow" w:eastAsia="Arial Narrow" w:hint="default"/>
                            <w:sz w:val="21"/>
                            <w:szCs w:val="21"/>
                          </w:rPr>
                        </w:pPr>
                        <w:r>
                          <w:rPr>
                            <w:rFonts w:ascii="Arial Narrow"/>
                            <w:w w:val="100"/>
                            <w:sz w:val="21"/>
                          </w:rPr>
                          <w:t>-</w:t>
                        </w:r>
                      </w:p>
                    </w:tc>
                  </w:tr>
                  <w:tr>
                    <w:trPr>
                      <w:trHeight w:val="401" w:hRule="exact"/>
                    </w:trPr>
                    <w:tc>
                      <w:tcPr>
                        <w:tcW w:w="4865"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3118" w:val="left" w:leader="none"/>
                          </w:tabs>
                          <w:spacing w:line="240" w:lineRule="auto" w:before="23"/>
                          <w:ind w:right="533"/>
                          <w:jc w:val="right"/>
                          <w:rPr>
                            <w:rFonts w:ascii="Arial Narrow" w:hAnsi="Arial Narrow" w:cs="Arial Narrow" w:eastAsia="Arial Narrow" w:hint="default"/>
                            <w:sz w:val="21"/>
                            <w:szCs w:val="21"/>
                          </w:rPr>
                        </w:pPr>
                        <w:r>
                          <w:rPr>
                            <w:rFonts w:ascii="宋体" w:hAnsi="宋体" w:cs="宋体" w:eastAsia="宋体" w:hint="default"/>
                            <w:b/>
                            <w:bCs/>
                            <w:sz w:val="21"/>
                            <w:szCs w:val="21"/>
                          </w:rPr>
                          <w:t>合</w:t>
                          <w:tab/>
                          <w:t>计</w:t>
                          <w:tab/>
                        </w:r>
                        <w:r>
                          <w:rPr>
                            <w:rFonts w:ascii="Arial Narrow" w:hAnsi="Arial Narrow" w:cs="Arial Narrow" w:eastAsia="Arial Narrow" w:hint="default"/>
                            <w:b/>
                            <w:bCs/>
                            <w:spacing w:val="-1"/>
                            <w:sz w:val="21"/>
                            <w:szCs w:val="21"/>
                          </w:rPr>
                          <w:t>17,108,912.91</w:t>
                        </w:r>
                        <w:r>
                          <w:rPr>
                            <w:rFonts w:ascii="Arial Narrow" w:hAnsi="Arial Narrow" w:cs="Arial Narrow" w:eastAsia="Arial Narrow" w:hint="default"/>
                            <w:sz w:val="21"/>
                            <w:szCs w:val="21"/>
                          </w:rPr>
                        </w:r>
                      </w:p>
                    </w:tc>
                    <w:tc>
                      <w:tcPr>
                        <w:tcW w:w="1432"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318"/>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766"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436"/>
                          <w:jc w:val="right"/>
                          <w:rPr>
                            <w:rFonts w:ascii="Arial Narrow" w:hAnsi="Arial Narrow" w:cs="Arial Narrow" w:eastAsia="Arial Narrow" w:hint="default"/>
                            <w:sz w:val="21"/>
                            <w:szCs w:val="21"/>
                          </w:rPr>
                        </w:pPr>
                        <w:r>
                          <w:rPr>
                            <w:rFonts w:ascii="Arial Narrow"/>
                            <w:b/>
                            <w:spacing w:val="-1"/>
                            <w:sz w:val="21"/>
                          </w:rPr>
                          <w:t>4,882,406.36</w:t>
                        </w:r>
                        <w:r>
                          <w:rPr>
                            <w:rFonts w:ascii="Arial Narrow"/>
                            <w:sz w:val="21"/>
                          </w:rPr>
                        </w:r>
                      </w:p>
                    </w:tc>
                    <w:tc>
                      <w:tcPr>
                        <w:tcW w:w="1119"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06"/>
                          <w:jc w:val="right"/>
                          <w:rPr>
                            <w:rFonts w:ascii="Arial Narrow" w:hAnsi="Arial Narrow" w:cs="Arial Narrow" w:eastAsia="Arial Narrow" w:hint="default"/>
                            <w:sz w:val="21"/>
                            <w:szCs w:val="21"/>
                          </w:rPr>
                        </w:pPr>
                        <w:r>
                          <w:rPr>
                            <w:rFonts w:ascii="Arial Narrow"/>
                            <w:b/>
                            <w:spacing w:val="-1"/>
                            <w:sz w:val="21"/>
                          </w:rPr>
                          <w:t>28.54</w:t>
                        </w:r>
                        <w:r>
                          <w:rPr>
                            <w:rFonts w:ascii="Arial Narrow"/>
                            <w:sz w:val="21"/>
                          </w:rPr>
                        </w:r>
                      </w:p>
                    </w:tc>
                  </w:tr>
                </w:tbl>
                <w:p>
                  <w:pPr/>
                </w:p>
              </w:txbxContent>
            </v:textbox>
            <w10:wrap type="none"/>
          </v:shape>
        </w:pict>
      </w:r>
      <w:r>
        <w:rPr>
          <w:rFonts w:ascii="宋体" w:hAnsi="宋体" w:cs="宋体" w:eastAsia="宋体" w:hint="default"/>
          <w:b/>
          <w:bCs/>
          <w:sz w:val="21"/>
          <w:szCs w:val="21"/>
        </w:rPr>
        <w:t>种</w:t>
        <w:tab/>
        <w:t>类</w:t>
      </w:r>
      <w:r>
        <w:rPr>
          <w:rFonts w:ascii="宋体" w:hAnsi="宋体" w:cs="宋体" w:eastAsia="宋体" w:hint="default"/>
          <w:sz w:val="21"/>
          <w:szCs w:val="21"/>
        </w:rPr>
      </w:r>
    </w:p>
    <w:p>
      <w:pPr>
        <w:spacing w:after="0" w:line="237" w:lineRule="exact"/>
        <w:jc w:val="left"/>
        <w:rPr>
          <w:rFonts w:ascii="宋体" w:hAnsi="宋体" w:cs="宋体" w:eastAsia="宋体" w:hint="default"/>
          <w:sz w:val="21"/>
          <w:szCs w:val="21"/>
        </w:rPr>
        <w:sectPr>
          <w:pgSz w:w="11900" w:h="16850"/>
          <w:pgMar w:header="771" w:footer="919" w:top="1640" w:bottom="1100" w:left="1140" w:right="900"/>
        </w:sectPr>
      </w:pPr>
    </w:p>
    <w:p>
      <w:pPr>
        <w:spacing w:line="240" w:lineRule="auto" w:before="1"/>
        <w:rPr>
          <w:rFonts w:ascii="宋体" w:hAnsi="宋体" w:cs="宋体" w:eastAsia="宋体" w:hint="default"/>
          <w:b/>
          <w:bCs/>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7.95pt;height:.75pt;mso-position-horizontal-relative:char;mso-position-vertical-relative:line" coordorigin="0,0" coordsize="9559,15">
            <v:group style="position:absolute;left:7;top:7;width:9545;height:2" coordorigin="7,7" coordsize="9545,2">
              <v:shape style="position:absolute;left:7;top:7;width:9545;height:2" coordorigin="7,7" coordsize="9545,0" path="m7,7l9552,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4"/>
          <w:szCs w:val="14"/>
        </w:rPr>
      </w:pPr>
    </w:p>
    <w:p>
      <w:pPr>
        <w:pStyle w:val="BodyText"/>
        <w:spacing w:line="240" w:lineRule="auto" w:before="26"/>
        <w:ind w:left="562" w:right="0"/>
        <w:jc w:val="left"/>
      </w:pPr>
      <w:r>
        <w:rPr/>
        <w:t>其他应收款按种类披露（续）</w:t>
      </w:r>
    </w:p>
    <w:p>
      <w:pPr>
        <w:spacing w:line="240" w:lineRule="auto" w:before="6"/>
        <w:rPr>
          <w:rFonts w:ascii="宋体" w:hAnsi="宋体" w:cs="宋体" w:eastAsia="宋体" w:hint="default"/>
          <w:sz w:val="19"/>
          <w:szCs w:val="19"/>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0.1pt;height:1pt;mso-position-horizontal-relative:char;mso-position-vertical-relative:line" coordorigin="0,0" coordsize="9202,20">
            <v:group style="position:absolute;left:10;top:10;width:2787;height:2" coordorigin="10,10" coordsize="2787,2">
              <v:shape style="position:absolute;left:10;top:10;width:2787;height:2" coordorigin="10,10" coordsize="2787,0" path="m10,10l2796,10e" filled="false" stroked="true" strokeweight=".96pt" strokecolor="#000000">
                <v:path arrowok="t"/>
              </v:shape>
            </v:group>
            <v:group style="position:absolute;left:2797;top:10;width:20;height:2" coordorigin="2797,10" coordsize="20,2">
              <v:shape style="position:absolute;left:2797;top:10;width:20;height:2" coordorigin="2797,10" coordsize="20,0" path="m2797,10l2816,10e" filled="false" stroked="true" strokeweight=".96pt" strokecolor="#000000">
                <v:path arrowok="t"/>
              </v:shape>
            </v:group>
            <v:group style="position:absolute;left:2816;top:10;width:6376;height:2" coordorigin="2816,10" coordsize="6376,2">
              <v:shape style="position:absolute;left:2816;top:10;width:6376;height:2" coordorigin="2816,10" coordsize="6376,0" path="m2816,10l9192,10e" filled="false" stroked="true" strokeweight=".96pt" strokecolor="#000000">
                <v:path arrowok="t"/>
              </v:shape>
            </v:group>
          </v:group>
        </w:pict>
      </w:r>
      <w:r>
        <w:rPr>
          <w:rFonts w:ascii="宋体" w:hAnsi="宋体" w:cs="宋体" w:eastAsia="宋体" w:hint="default"/>
          <w:sz w:val="2"/>
          <w:szCs w:val="2"/>
        </w:rPr>
      </w:r>
    </w:p>
    <w:p>
      <w:pPr>
        <w:spacing w:line="237" w:lineRule="exact" w:before="18"/>
        <w:ind w:left="6121" w:right="0" w:firstLine="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p>
      <w:pPr>
        <w:tabs>
          <w:tab w:pos="984" w:val="left" w:leader="none"/>
        </w:tabs>
        <w:spacing w:line="237" w:lineRule="exact" w:before="0"/>
        <w:ind w:left="562" w:right="0" w:firstLine="0"/>
        <w:jc w:val="left"/>
        <w:rPr>
          <w:rFonts w:ascii="宋体" w:hAnsi="宋体" w:cs="宋体" w:eastAsia="宋体" w:hint="default"/>
          <w:sz w:val="21"/>
          <w:szCs w:val="21"/>
        </w:rPr>
      </w:pPr>
      <w:r>
        <w:rPr/>
        <w:pict>
          <v:shape style="position:absolute;margin-left:79.704002pt;margin-top:10.658545pt;width:459.1pt;height:150.2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66"/>
                    <w:gridCol w:w="1432"/>
                    <w:gridCol w:w="1766"/>
                    <w:gridCol w:w="1119"/>
                  </w:tblGrid>
                  <w:tr>
                    <w:trPr>
                      <w:trHeight w:val="311" w:hRule="exact"/>
                    </w:trPr>
                    <w:tc>
                      <w:tcPr>
                        <w:tcW w:w="4866" w:type="dxa"/>
                        <w:tcBorders>
                          <w:top w:val="nil" w:sz="6" w:space="0" w:color="auto"/>
                          <w:left w:val="nil" w:sz="6" w:space="0" w:color="auto"/>
                          <w:bottom w:val="single" w:sz="4" w:space="0" w:color="000000"/>
                          <w:right w:val="nil" w:sz="6" w:space="0" w:color="auto"/>
                        </w:tcBorders>
                      </w:tcPr>
                      <w:p>
                        <w:pPr>
                          <w:pStyle w:val="TableParagraph"/>
                          <w:spacing w:line="211" w:lineRule="exact"/>
                          <w:ind w:right="535"/>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432" w:type="dxa"/>
                        <w:tcBorders>
                          <w:top w:val="nil" w:sz="6" w:space="0" w:color="auto"/>
                          <w:left w:val="nil" w:sz="6" w:space="0" w:color="auto"/>
                          <w:bottom w:val="single" w:sz="4" w:space="0" w:color="000000"/>
                          <w:right w:val="nil" w:sz="6" w:space="0" w:color="auto"/>
                        </w:tcBorders>
                      </w:tcPr>
                      <w:p>
                        <w:pPr>
                          <w:pStyle w:val="TableParagraph"/>
                          <w:spacing w:line="226" w:lineRule="exact"/>
                          <w:ind w:right="318"/>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66" w:type="dxa"/>
                        <w:tcBorders>
                          <w:top w:val="nil" w:sz="6" w:space="0" w:color="auto"/>
                          <w:left w:val="nil" w:sz="6" w:space="0" w:color="auto"/>
                          <w:bottom w:val="single" w:sz="4" w:space="0" w:color="000000"/>
                          <w:right w:val="nil" w:sz="6" w:space="0" w:color="auto"/>
                        </w:tcBorders>
                      </w:tcPr>
                      <w:p>
                        <w:pPr>
                          <w:pStyle w:val="TableParagraph"/>
                          <w:spacing w:line="211" w:lineRule="exact"/>
                          <w:ind w:right="43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19" w:type="dxa"/>
                        <w:tcBorders>
                          <w:top w:val="nil" w:sz="6" w:space="0" w:color="auto"/>
                          <w:left w:val="nil" w:sz="6" w:space="0" w:color="auto"/>
                          <w:bottom w:val="single" w:sz="4" w:space="0" w:color="000000"/>
                          <w:right w:val="nil" w:sz="6" w:space="0" w:color="auto"/>
                        </w:tcBorders>
                      </w:tcPr>
                      <w:p>
                        <w:pPr>
                          <w:pStyle w:val="TableParagraph"/>
                          <w:spacing w:line="226" w:lineRule="exact"/>
                          <w:ind w:right="103"/>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614" w:hRule="exact"/>
                    </w:trPr>
                    <w:tc>
                      <w:tcPr>
                        <w:tcW w:w="4866" w:type="dxa"/>
                        <w:tcBorders>
                          <w:top w:val="single" w:sz="4" w:space="0" w:color="000000"/>
                          <w:left w:val="nil" w:sz="6" w:space="0" w:color="auto"/>
                          <w:bottom w:val="nil" w:sz="6" w:space="0" w:color="auto"/>
                          <w:right w:val="nil" w:sz="6" w:space="0" w:color="auto"/>
                        </w:tcBorders>
                      </w:tcPr>
                      <w:p>
                        <w:pPr>
                          <w:pStyle w:val="TableParagraph"/>
                          <w:tabs>
                            <w:tab w:pos="4270" w:val="left" w:leader="none"/>
                          </w:tabs>
                          <w:spacing w:line="156" w:lineRule="auto" w:before="80"/>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单项金额重大并单项计提坏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账准备的其他应收款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320"/>
                          <w:jc w:val="right"/>
                          <w:rPr>
                            <w:rFonts w:ascii="Arial Narrow" w:hAnsi="Arial Narrow" w:cs="Arial Narrow" w:eastAsia="Arial Narrow" w:hint="default"/>
                            <w:sz w:val="21"/>
                            <w:szCs w:val="21"/>
                          </w:rPr>
                        </w:pPr>
                        <w:r>
                          <w:rPr>
                            <w:rFonts w:ascii="Arial Narrow"/>
                            <w:w w:val="100"/>
                            <w:sz w:val="21"/>
                          </w:rPr>
                          <w:t>-</w:t>
                        </w:r>
                      </w:p>
                    </w:tc>
                    <w:tc>
                      <w:tcPr>
                        <w:tcW w:w="1766"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437"/>
                          <w:jc w:val="right"/>
                          <w:rPr>
                            <w:rFonts w:ascii="Arial Narrow" w:hAnsi="Arial Narrow" w:cs="Arial Narrow" w:eastAsia="Arial Narrow" w:hint="default"/>
                            <w:sz w:val="21"/>
                            <w:szCs w:val="21"/>
                          </w:rPr>
                        </w:pPr>
                        <w:r>
                          <w:rPr>
                            <w:rFonts w:ascii="Arial Narrow"/>
                            <w:w w:val="100"/>
                            <w:sz w:val="21"/>
                          </w:rPr>
                          <w:t>-</w:t>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106"/>
                          <w:jc w:val="right"/>
                          <w:rPr>
                            <w:rFonts w:ascii="Arial Narrow" w:hAnsi="Arial Narrow" w:cs="Arial Narrow" w:eastAsia="Arial Narrow" w:hint="default"/>
                            <w:sz w:val="21"/>
                            <w:szCs w:val="21"/>
                          </w:rPr>
                        </w:pPr>
                        <w:r>
                          <w:rPr>
                            <w:rFonts w:ascii="Arial Narrow"/>
                            <w:w w:val="100"/>
                            <w:sz w:val="21"/>
                          </w:rPr>
                          <w:t>-</w:t>
                        </w:r>
                      </w:p>
                    </w:tc>
                  </w:tr>
                  <w:tr>
                    <w:trPr>
                      <w:trHeight w:val="556" w:hRule="exact"/>
                    </w:trPr>
                    <w:tc>
                      <w:tcPr>
                        <w:tcW w:w="4866" w:type="dxa"/>
                        <w:tcBorders>
                          <w:top w:val="nil" w:sz="6" w:space="0" w:color="auto"/>
                          <w:left w:val="nil" w:sz="6" w:space="0" w:color="auto"/>
                          <w:bottom w:val="nil" w:sz="6" w:space="0" w:color="auto"/>
                          <w:right w:val="nil" w:sz="6" w:space="0" w:color="auto"/>
                        </w:tcBorders>
                      </w:tcPr>
                      <w:p>
                        <w:pPr>
                          <w:pStyle w:val="TableParagraph"/>
                          <w:spacing w:line="221"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w:t>
                        </w:r>
                      </w:p>
                      <w:p>
                        <w:pPr>
                          <w:pStyle w:val="TableParagraph"/>
                          <w:tabs>
                            <w:tab w:pos="3238" w:val="left" w:leader="none"/>
                          </w:tabs>
                          <w:spacing w:line="319"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应收款</w:t>
                          <w:tab/>
                        </w:r>
                        <w:r>
                          <w:rPr>
                            <w:rFonts w:ascii="Arial Narrow" w:hAnsi="Arial Narrow" w:cs="Arial Narrow" w:eastAsia="Arial Narrow" w:hint="default"/>
                            <w:sz w:val="21"/>
                            <w:szCs w:val="21"/>
                          </w:rPr>
                          <w:t>15,365,616.11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1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434"/>
                          <w:jc w:val="right"/>
                          <w:rPr>
                            <w:rFonts w:ascii="Arial Narrow" w:hAnsi="Arial Narrow" w:cs="Arial Narrow" w:eastAsia="Arial Narrow" w:hint="default"/>
                            <w:sz w:val="21"/>
                            <w:szCs w:val="21"/>
                          </w:rPr>
                        </w:pPr>
                        <w:r>
                          <w:rPr>
                            <w:rFonts w:ascii="Arial Narrow"/>
                            <w:spacing w:val="-1"/>
                            <w:sz w:val="21"/>
                          </w:rPr>
                          <w:t>3,868,350.94</w:t>
                        </w:r>
                        <w:r>
                          <w:rPr>
                            <w:rFonts w:ascii="Arial Narrow"/>
                            <w:sz w:val="21"/>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6"/>
                          <w:jc w:val="right"/>
                          <w:rPr>
                            <w:rFonts w:ascii="Arial Narrow" w:hAnsi="Arial Narrow" w:cs="Arial Narrow" w:eastAsia="Arial Narrow" w:hint="default"/>
                            <w:sz w:val="21"/>
                            <w:szCs w:val="21"/>
                          </w:rPr>
                        </w:pPr>
                        <w:r>
                          <w:rPr>
                            <w:rFonts w:ascii="Arial Narrow"/>
                            <w:spacing w:val="-1"/>
                            <w:sz w:val="21"/>
                          </w:rPr>
                          <w:t>25.18</w:t>
                        </w:r>
                        <w:r>
                          <w:rPr>
                            <w:rFonts w:ascii="Arial Narrow"/>
                            <w:sz w:val="21"/>
                          </w:rPr>
                        </w:r>
                      </w:p>
                    </w:tc>
                  </w:tr>
                  <w:tr>
                    <w:trPr>
                      <w:trHeight w:val="507" w:hRule="exact"/>
                    </w:trPr>
                    <w:tc>
                      <w:tcPr>
                        <w:tcW w:w="4866" w:type="dxa"/>
                        <w:tcBorders>
                          <w:top w:val="nil" w:sz="6" w:space="0" w:color="auto"/>
                          <w:left w:val="nil" w:sz="6" w:space="0" w:color="auto"/>
                          <w:bottom w:val="nil" w:sz="6" w:space="0" w:color="auto"/>
                          <w:right w:val="nil" w:sz="6" w:space="0" w:color="auto"/>
                        </w:tcBorders>
                      </w:tcPr>
                      <w:p>
                        <w:pPr>
                          <w:pStyle w:val="TableParagraph"/>
                          <w:tabs>
                            <w:tab w:pos="3130" w:val="left" w:leader="none"/>
                          </w:tabs>
                          <w:spacing w:line="240" w:lineRule="auto" w:before="78"/>
                          <w:ind w:right="533"/>
                          <w:jc w:val="right"/>
                          <w:rPr>
                            <w:rFonts w:ascii="Arial Narrow" w:hAnsi="Arial Narrow" w:cs="Arial Narrow" w:eastAsia="Arial Narrow" w:hint="default"/>
                            <w:sz w:val="21"/>
                            <w:szCs w:val="21"/>
                          </w:rPr>
                        </w:pPr>
                        <w:r>
                          <w:rPr>
                            <w:rFonts w:ascii="宋体" w:hAnsi="宋体" w:cs="宋体" w:eastAsia="宋体" w:hint="default"/>
                            <w:spacing w:val="-1"/>
                            <w:sz w:val="21"/>
                            <w:szCs w:val="21"/>
                          </w:rPr>
                          <w:t>其中：账龄组合</w:t>
                          <w:tab/>
                        </w:r>
                        <w:r>
                          <w:rPr>
                            <w:rFonts w:ascii="Arial Narrow" w:hAnsi="Arial Narrow" w:cs="Arial Narrow" w:eastAsia="Arial Narrow" w:hint="default"/>
                            <w:spacing w:val="-2"/>
                            <w:sz w:val="21"/>
                            <w:szCs w:val="21"/>
                          </w:rPr>
                          <w:t>15,365,616.11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5"/>
                          <w:jc w:val="right"/>
                          <w:rPr>
                            <w:rFonts w:ascii="Arial Narrow" w:hAnsi="Arial Narrow" w:cs="Arial Narrow" w:eastAsia="Arial Narrow" w:hint="default"/>
                            <w:sz w:val="21"/>
                            <w:szCs w:val="21"/>
                          </w:rPr>
                        </w:pPr>
                        <w:r>
                          <w:rPr>
                            <w:rFonts w:ascii="Arial Narrow"/>
                            <w:spacing w:val="-1"/>
                            <w:sz w:val="21"/>
                          </w:rPr>
                          <w:t>3,868,350.94</w:t>
                        </w:r>
                        <w:r>
                          <w:rPr>
                            <w:rFonts w:ascii="Arial Narrow"/>
                            <w:sz w:val="21"/>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spacing w:val="-1"/>
                            <w:sz w:val="21"/>
                          </w:rPr>
                          <w:t>25.18</w:t>
                        </w:r>
                        <w:r>
                          <w:rPr>
                            <w:rFonts w:ascii="Arial Narrow"/>
                            <w:sz w:val="21"/>
                          </w:rPr>
                        </w:r>
                      </w:p>
                    </w:tc>
                  </w:tr>
                  <w:tr>
                    <w:trPr>
                      <w:trHeight w:val="563" w:hRule="exact"/>
                    </w:trPr>
                    <w:tc>
                      <w:tcPr>
                        <w:tcW w:w="4866" w:type="dxa"/>
                        <w:tcBorders>
                          <w:top w:val="nil" w:sz="6" w:space="0" w:color="auto"/>
                          <w:left w:val="nil" w:sz="6" w:space="0" w:color="auto"/>
                          <w:bottom w:val="single" w:sz="4" w:space="0" w:color="000000"/>
                          <w:right w:val="nil" w:sz="6" w:space="0" w:color="auto"/>
                        </w:tcBorders>
                      </w:tcPr>
                      <w:p>
                        <w:pPr>
                          <w:pStyle w:val="TableParagraph"/>
                          <w:tabs>
                            <w:tab w:pos="4270" w:val="left" w:leader="none"/>
                          </w:tabs>
                          <w:spacing w:line="158" w:lineRule="auto" w:before="24"/>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提坏账准备的其他应收款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320"/>
                          <w:jc w:val="right"/>
                          <w:rPr>
                            <w:rFonts w:ascii="Arial Narrow" w:hAnsi="Arial Narrow" w:cs="Arial Narrow" w:eastAsia="Arial Narrow" w:hint="default"/>
                            <w:sz w:val="21"/>
                            <w:szCs w:val="21"/>
                          </w:rPr>
                        </w:pPr>
                        <w:r>
                          <w:rPr>
                            <w:rFonts w:ascii="Arial Narrow"/>
                            <w:w w:val="100"/>
                            <w:sz w:val="21"/>
                          </w:rPr>
                          <w:t>-</w:t>
                        </w:r>
                      </w:p>
                    </w:tc>
                    <w:tc>
                      <w:tcPr>
                        <w:tcW w:w="1766"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437"/>
                          <w:jc w:val="right"/>
                          <w:rPr>
                            <w:rFonts w:ascii="Arial Narrow" w:hAnsi="Arial Narrow" w:cs="Arial Narrow" w:eastAsia="Arial Narrow" w:hint="default"/>
                            <w:sz w:val="21"/>
                            <w:szCs w:val="21"/>
                          </w:rPr>
                        </w:pPr>
                        <w:r>
                          <w:rPr>
                            <w:rFonts w:ascii="Arial Narrow"/>
                            <w:w w:val="100"/>
                            <w:sz w:val="21"/>
                          </w:rPr>
                          <w:t>-</w:t>
                        </w:r>
                      </w:p>
                    </w:tc>
                    <w:tc>
                      <w:tcPr>
                        <w:tcW w:w="1119" w:type="dxa"/>
                        <w:tcBorders>
                          <w:top w:val="nil" w:sz="6" w:space="0" w:color="auto"/>
                          <w:left w:val="nil" w:sz="6" w:space="0" w:color="auto"/>
                          <w:bottom w:val="single" w:sz="4" w:space="0" w:color="000000"/>
                          <w:right w:val="nil" w:sz="6" w:space="0" w:color="auto"/>
                        </w:tcBorders>
                      </w:tcPr>
                      <w:p>
                        <w:pPr>
                          <w:pStyle w:val="TableParagraph"/>
                          <w:spacing w:line="240" w:lineRule="auto" w:before="124"/>
                          <w:ind w:right="106"/>
                          <w:jc w:val="right"/>
                          <w:rPr>
                            <w:rFonts w:ascii="Arial Narrow" w:hAnsi="Arial Narrow" w:cs="Arial Narrow" w:eastAsia="Arial Narrow" w:hint="default"/>
                            <w:sz w:val="21"/>
                            <w:szCs w:val="21"/>
                          </w:rPr>
                        </w:pPr>
                        <w:r>
                          <w:rPr>
                            <w:rFonts w:ascii="Arial Narrow"/>
                            <w:w w:val="100"/>
                            <w:sz w:val="21"/>
                          </w:rPr>
                          <w:t>-</w:t>
                        </w:r>
                      </w:p>
                    </w:tc>
                  </w:tr>
                  <w:tr>
                    <w:trPr>
                      <w:trHeight w:val="453" w:hRule="exact"/>
                    </w:trPr>
                    <w:tc>
                      <w:tcPr>
                        <w:tcW w:w="4866" w:type="dxa"/>
                        <w:tcBorders>
                          <w:top w:val="single" w:sz="4" w:space="0" w:color="000000"/>
                          <w:left w:val="nil" w:sz="6" w:space="0" w:color="auto"/>
                          <w:bottom w:val="nil" w:sz="6" w:space="0" w:color="auto"/>
                          <w:right w:val="nil" w:sz="6" w:space="0" w:color="auto"/>
                        </w:tcBorders>
                      </w:tcPr>
                      <w:p>
                        <w:pPr>
                          <w:pStyle w:val="TableParagraph"/>
                          <w:tabs>
                            <w:tab w:pos="422" w:val="left" w:leader="none"/>
                            <w:tab w:pos="3118" w:val="left" w:leader="none"/>
                          </w:tabs>
                          <w:spacing w:line="240" w:lineRule="auto" w:before="66"/>
                          <w:ind w:right="534"/>
                          <w:jc w:val="right"/>
                          <w:rPr>
                            <w:rFonts w:ascii="Arial Narrow" w:hAnsi="Arial Narrow" w:cs="Arial Narrow" w:eastAsia="Arial Narrow" w:hint="default"/>
                            <w:sz w:val="21"/>
                            <w:szCs w:val="21"/>
                          </w:rPr>
                        </w:pPr>
                        <w:r>
                          <w:rPr>
                            <w:rFonts w:ascii="宋体" w:hAnsi="宋体" w:cs="宋体" w:eastAsia="宋体" w:hint="default"/>
                            <w:b/>
                            <w:bCs/>
                            <w:sz w:val="21"/>
                            <w:szCs w:val="21"/>
                          </w:rPr>
                          <w:t>合</w:t>
                          <w:tab/>
                          <w:t>计</w:t>
                          <w:tab/>
                        </w:r>
                        <w:r>
                          <w:rPr>
                            <w:rFonts w:ascii="Arial Narrow" w:hAnsi="Arial Narrow" w:cs="Arial Narrow" w:eastAsia="Arial Narrow" w:hint="default"/>
                            <w:b/>
                            <w:bCs/>
                            <w:spacing w:val="-1"/>
                            <w:sz w:val="21"/>
                            <w:szCs w:val="21"/>
                          </w:rPr>
                          <w:t>15,365,616.11</w:t>
                        </w:r>
                        <w:r>
                          <w:rPr>
                            <w:rFonts w:ascii="Arial Narrow" w:hAnsi="Arial Narrow" w:cs="Arial Narrow" w:eastAsia="Arial Narrow" w:hint="default"/>
                            <w:sz w:val="21"/>
                            <w:szCs w:val="21"/>
                          </w:rPr>
                        </w:r>
                      </w:p>
                    </w:tc>
                    <w:tc>
                      <w:tcPr>
                        <w:tcW w:w="1432"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318"/>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766"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435"/>
                          <w:jc w:val="right"/>
                          <w:rPr>
                            <w:rFonts w:ascii="Arial Narrow" w:hAnsi="Arial Narrow" w:cs="Arial Narrow" w:eastAsia="Arial Narrow" w:hint="default"/>
                            <w:sz w:val="21"/>
                            <w:szCs w:val="21"/>
                          </w:rPr>
                        </w:pPr>
                        <w:r>
                          <w:rPr>
                            <w:rFonts w:ascii="Arial Narrow"/>
                            <w:b/>
                            <w:spacing w:val="-1"/>
                            <w:sz w:val="21"/>
                          </w:rPr>
                          <w:t>3,868,350.94</w:t>
                        </w:r>
                        <w:r>
                          <w:rPr>
                            <w:rFonts w:ascii="Arial Narrow"/>
                            <w:sz w:val="21"/>
                          </w:rPr>
                        </w:r>
                      </w:p>
                    </w:tc>
                    <w:tc>
                      <w:tcPr>
                        <w:tcW w:w="1119" w:type="dxa"/>
                        <w:tcBorders>
                          <w:top w:val="single" w:sz="4" w:space="0" w:color="000000"/>
                          <w:left w:val="nil" w:sz="6" w:space="0" w:color="auto"/>
                          <w:bottom w:val="nil" w:sz="6" w:space="0" w:color="auto"/>
                          <w:right w:val="nil" w:sz="6" w:space="0" w:color="auto"/>
                        </w:tcBorders>
                      </w:tcPr>
                      <w:p>
                        <w:pPr>
                          <w:pStyle w:val="TableParagraph"/>
                          <w:spacing w:line="240" w:lineRule="auto" w:before="113"/>
                          <w:ind w:right="106"/>
                          <w:jc w:val="right"/>
                          <w:rPr>
                            <w:rFonts w:ascii="Arial Narrow" w:hAnsi="Arial Narrow" w:cs="Arial Narrow" w:eastAsia="Arial Narrow" w:hint="default"/>
                            <w:sz w:val="21"/>
                            <w:szCs w:val="21"/>
                          </w:rPr>
                        </w:pPr>
                        <w:r>
                          <w:rPr>
                            <w:rFonts w:ascii="Arial Narrow"/>
                            <w:b/>
                            <w:spacing w:val="-1"/>
                            <w:sz w:val="21"/>
                          </w:rPr>
                          <w:t>25.18</w:t>
                        </w:r>
                        <w:r>
                          <w:rPr>
                            <w:rFonts w:ascii="Arial Narrow"/>
                            <w:sz w:val="21"/>
                          </w:rPr>
                        </w:r>
                      </w:p>
                    </w:tc>
                  </w:tr>
                </w:tbl>
                <w:p>
                  <w:pPr/>
                </w:p>
              </w:txbxContent>
            </v:textbox>
            <w10:wrap type="none"/>
          </v:shape>
        </w:pict>
      </w:r>
      <w:r>
        <w:rPr>
          <w:rFonts w:ascii="宋体" w:hAnsi="宋体" w:cs="宋体" w:eastAsia="宋体" w:hint="default"/>
          <w:b/>
          <w:bCs/>
          <w:sz w:val="21"/>
          <w:szCs w:val="21"/>
        </w:rPr>
        <w:t>种</w:t>
        <w:tab/>
        <w:t>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9"/>
          <w:szCs w:val="29"/>
        </w:rPr>
      </w:pPr>
    </w:p>
    <w:p>
      <w:pPr>
        <w:spacing w:line="20" w:lineRule="exact"/>
        <w:ind w:left="430" w:right="0" w:firstLine="0"/>
        <w:rPr>
          <w:rFonts w:ascii="宋体" w:hAnsi="宋体" w:cs="宋体" w:eastAsia="宋体" w:hint="default"/>
          <w:sz w:val="2"/>
          <w:szCs w:val="2"/>
        </w:rPr>
      </w:pPr>
      <w:r>
        <w:rPr>
          <w:rFonts w:ascii="宋体" w:hAnsi="宋体" w:cs="宋体" w:eastAsia="宋体" w:hint="default"/>
          <w:sz w:val="2"/>
          <w:szCs w:val="2"/>
        </w:rPr>
        <w:pict>
          <v:group style="width:460.8pt;height:1pt;mso-position-horizontal-relative:char;mso-position-vertical-relative:line" coordorigin="0,0" coordsize="9216,20">
            <v:group style="position:absolute;left:10;top:10;width:2802;height:2" coordorigin="10,10" coordsize="2802,2">
              <v:shape style="position:absolute;left:10;top:10;width:2802;height:2" coordorigin="10,10" coordsize="2802,0" path="m10,10l2811,10e" filled="false" stroked="true" strokeweight=".95999pt" strokecolor="#000000">
                <v:path arrowok="t"/>
              </v:shape>
            </v:group>
            <v:group style="position:absolute;left:2797;top:10;width:20;height:2" coordorigin="2797,10" coordsize="20,2">
              <v:shape style="position:absolute;left:2797;top:10;width:20;height:2" coordorigin="2797,10" coordsize="20,0" path="m2797,10l2816,10e" filled="false" stroked="true" strokeweight=".95999pt" strokecolor="#000000">
                <v:path arrowok="t"/>
              </v:shape>
            </v:group>
            <v:group style="position:absolute;left:2816;top:10;width:1645;height:2" coordorigin="2816,10" coordsize="1645,2">
              <v:shape style="position:absolute;left:2816;top:10;width:1645;height:2" coordorigin="2816,10" coordsize="1645,0" path="m2816,10l4460,10e" filled="false" stroked="true" strokeweight=".95999pt" strokecolor="#000000">
                <v:path arrowok="t"/>
              </v:shape>
            </v:group>
            <v:group style="position:absolute;left:4446;top:10;width:20;height:2" coordorigin="4446,10" coordsize="20,2">
              <v:shape style="position:absolute;left:4446;top:10;width:20;height:2" coordorigin="4446,10" coordsize="20,0" path="m4446,10l4465,10e" filled="false" stroked="true" strokeweight=".95999pt" strokecolor="#000000">
                <v:path arrowok="t"/>
              </v:shape>
            </v:group>
            <v:group style="position:absolute;left:4465;top:10;width:1642;height:2" coordorigin="4465,10" coordsize="1642,2">
              <v:shape style="position:absolute;left:4465;top:10;width:1642;height:2" coordorigin="4465,10" coordsize="1642,0" path="m4465,10l6107,10e" filled="false" stroked="true" strokeweight=".95999pt" strokecolor="#000000">
                <v:path arrowok="t"/>
              </v:shape>
            </v:group>
            <v:group style="position:absolute;left:6092;top:10;width:20;height:2" coordorigin="6092,10" coordsize="20,2">
              <v:shape style="position:absolute;left:6092;top:10;width:20;height:2" coordorigin="6092,10" coordsize="20,0" path="m6092,10l6111,10e" filled="false" stroked="true" strokeweight=".95999pt" strokecolor="#000000">
                <v:path arrowok="t"/>
              </v:shape>
            </v:group>
            <v:group style="position:absolute;left:6111;top:10;width:1645;height:2" coordorigin="6111,10" coordsize="1645,2">
              <v:shape style="position:absolute;left:6111;top:10;width:1645;height:2" coordorigin="6111,10" coordsize="1645,0" path="m6111,10l7756,10e" filled="false" stroked="true" strokeweight=".95999pt" strokecolor="#000000">
                <v:path arrowok="t"/>
              </v:shape>
            </v:group>
            <v:group style="position:absolute;left:7742;top:10;width:20;height:2" coordorigin="7742,10" coordsize="20,2">
              <v:shape style="position:absolute;left:7742;top:10;width:20;height:2" coordorigin="7742,10" coordsize="20,0" path="m7742,10l7761,10e" filled="false" stroked="true" strokeweight=".95999pt" strokecolor="#000000">
                <v:path arrowok="t"/>
              </v:shape>
            </v:group>
            <v:group style="position:absolute;left:7761;top:10;width:1446;height:2" coordorigin="7761,10" coordsize="1446,2">
              <v:shape style="position:absolute;left:7761;top:10;width:1446;height:2" coordorigin="7761,10" coordsize="1446,0" path="m7761,10l9206,10e" filled="false" stroked="true" strokeweight=".95999pt" strokecolor="#000000">
                <v:path arrowok="t"/>
              </v:shape>
            </v:group>
          </v:group>
        </w:pict>
      </w:r>
      <w:r>
        <w:rPr>
          <w:rFonts w:ascii="宋体" w:hAnsi="宋体" w:cs="宋体" w:eastAsia="宋体" w:hint="default"/>
          <w:sz w:val="2"/>
          <w:szCs w:val="2"/>
        </w:rPr>
      </w:r>
    </w:p>
    <w:p>
      <w:pPr>
        <w:pStyle w:val="BodyText"/>
        <w:spacing w:line="240" w:lineRule="auto" w:before="79"/>
        <w:ind w:left="562" w:right="0"/>
        <w:jc w:val="left"/>
      </w:pPr>
      <w:r>
        <w:rPr>
          <w:rFonts w:ascii="Arial Narrow" w:hAnsi="Arial Narrow" w:cs="Arial Narrow" w:eastAsia="Arial Narrow" w:hint="default"/>
        </w:rPr>
        <w:t>A</w:t>
      </w:r>
      <w:r>
        <w:rPr/>
        <w:t>、账龄组合，按账龄分析法计提坏账准备的其他应收款</w:t>
      </w:r>
    </w:p>
    <w:p>
      <w:pPr>
        <w:spacing w:line="240" w:lineRule="auto" w:before="13"/>
        <w:rPr>
          <w:rFonts w:ascii="宋体" w:hAnsi="宋体" w:cs="宋体" w:eastAsia="宋体" w:hint="default"/>
          <w:sz w:val="17"/>
          <w:szCs w:val="17"/>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3.2pt;height:1pt;mso-position-horizontal-relative:char;mso-position-vertical-relative:line" coordorigin="0,0" coordsize="9264,20">
            <v:group style="position:absolute;left:10;top:10;width:1016;height:2" coordorigin="10,10" coordsize="1016,2">
              <v:shape style="position:absolute;left:10;top:10;width:1016;height:2" coordorigin="10,10" coordsize="1016,0" path="m10,10l1025,10e" filled="false" stroked="true" strokeweight=".95999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5999pt" strokecolor="#000000">
                <v:path arrowok="t"/>
              </v:shape>
            </v:group>
            <v:group style="position:absolute;left:1044;top:10;width:4098;height:2" coordorigin="1044,10" coordsize="4098,2">
              <v:shape style="position:absolute;left:1044;top:10;width:4098;height:2" coordorigin="1044,10" coordsize="4098,0" path="m1044,10l5142,10e" filled="false" stroked="true" strokeweight=".95999pt" strokecolor="#000000">
                <v:path arrowok="t"/>
              </v:shape>
            </v:group>
            <v:group style="position:absolute;left:5142;top:10;width:20;height:2" coordorigin="5142,10" coordsize="20,2">
              <v:shape style="position:absolute;left:5142;top:10;width:20;height:2" coordorigin="5142,10" coordsize="20,0" path="m5142,10l5161,10e" filled="false" stroked="true" strokeweight=".95999pt" strokecolor="#000000">
                <v:path arrowok="t"/>
              </v:shape>
            </v:group>
            <v:group style="position:absolute;left:5161;top:10;width:4093;height:2" coordorigin="5161,10" coordsize="4093,2">
              <v:shape style="position:absolute;left:5161;top:10;width:4093;height:2" coordorigin="5161,10" coordsize="4093,0" path="m5161,10l9254,10e" filled="false" stroked="true" strokeweight=".95999pt" strokecolor="#000000">
                <v:path arrowok="t"/>
              </v:shape>
            </v:group>
          </v:group>
        </w:pict>
      </w:r>
      <w:r>
        <w:rPr>
          <w:rFonts w:ascii="宋体" w:hAnsi="宋体" w:cs="宋体" w:eastAsia="宋体" w:hint="default"/>
          <w:sz w:val="2"/>
          <w:szCs w:val="2"/>
        </w:rPr>
      </w:r>
    </w:p>
    <w:p>
      <w:pPr>
        <w:tabs>
          <w:tab w:pos="7324" w:val="left" w:leader="none"/>
        </w:tabs>
        <w:spacing w:line="236" w:lineRule="exact" w:before="30"/>
        <w:ind w:left="3209" w:right="0" w:firstLine="0"/>
        <w:jc w:val="left"/>
        <w:rPr>
          <w:rFonts w:ascii="宋体" w:hAnsi="宋体" w:cs="宋体" w:eastAsia="宋体" w:hint="default"/>
          <w:sz w:val="21"/>
          <w:szCs w:val="21"/>
        </w:rPr>
      </w:pPr>
      <w:r>
        <w:rPr>
          <w:rFonts w:ascii="宋体" w:hAnsi="宋体" w:cs="宋体" w:eastAsia="宋体" w:hint="default"/>
          <w:b/>
          <w:bCs/>
          <w:sz w:val="21"/>
          <w:szCs w:val="21"/>
        </w:rPr>
        <w:t>期末数</w:t>
        <w:tab/>
        <w:t>期初数</w:t>
      </w:r>
      <w:r>
        <w:rPr>
          <w:rFonts w:ascii="宋体" w:hAnsi="宋体" w:cs="宋体" w:eastAsia="宋体" w:hint="default"/>
          <w:sz w:val="21"/>
          <w:szCs w:val="21"/>
        </w:rPr>
      </w:r>
    </w:p>
    <w:p>
      <w:pPr>
        <w:tabs>
          <w:tab w:pos="984" w:val="left" w:leader="none"/>
        </w:tabs>
        <w:spacing w:line="198" w:lineRule="exact"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账</w:t>
        <w:tab/>
        <w:t>龄</w:t>
      </w:r>
      <w:r>
        <w:rPr>
          <w:rFonts w:ascii="宋体" w:hAnsi="宋体" w:cs="宋体" w:eastAsia="宋体" w:hint="default"/>
          <w:sz w:val="21"/>
          <w:szCs w:val="21"/>
        </w:rPr>
      </w:r>
    </w:p>
    <w:p>
      <w:pPr>
        <w:tabs>
          <w:tab w:pos="3531" w:val="left" w:leader="none"/>
          <w:tab w:pos="4632" w:val="left" w:leader="none"/>
          <w:tab w:pos="6318" w:val="left" w:leader="none"/>
          <w:tab w:pos="7643" w:val="left" w:leader="none"/>
          <w:tab w:pos="8747" w:val="left" w:leader="none"/>
        </w:tabs>
        <w:spacing w:line="252" w:lineRule="exact" w:before="0"/>
        <w:ind w:left="2203" w:right="0" w:firstLine="0"/>
        <w:jc w:val="left"/>
        <w:rPr>
          <w:rFonts w:ascii="宋体" w:hAnsi="宋体" w:cs="宋体" w:eastAsia="宋体" w:hint="default"/>
          <w:sz w:val="21"/>
          <w:szCs w:val="21"/>
        </w:rPr>
      </w:pPr>
      <w:r>
        <w:rPr>
          <w:rFonts w:ascii="宋体" w:hAnsi="宋体" w:cs="宋体" w:eastAsia="宋体" w:hint="default"/>
          <w:b/>
          <w:bCs/>
          <w:sz w:val="21"/>
          <w:szCs w:val="21"/>
        </w:rPr>
        <w:t>金 额</w:t>
        <w:tab/>
        <w:t>比例</w:t>
      </w:r>
      <w:r>
        <w:rPr>
          <w:rFonts w:ascii="Arial Narrow" w:hAnsi="Arial Narrow" w:cs="Arial Narrow" w:eastAsia="Arial Narrow" w:hint="default"/>
          <w:b/>
          <w:bCs/>
          <w:sz w:val="21"/>
          <w:szCs w:val="21"/>
        </w:rPr>
        <w:t>%</w:t>
        <w:tab/>
      </w:r>
      <w:r>
        <w:rPr>
          <w:rFonts w:ascii="宋体" w:hAnsi="宋体" w:cs="宋体" w:eastAsia="宋体" w:hint="default"/>
          <w:b/>
          <w:bCs/>
          <w:sz w:val="21"/>
          <w:szCs w:val="21"/>
        </w:rPr>
        <w:t>坏账准备</w:t>
        <w:tab/>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tab/>
        <w:t>比例</w:t>
      </w:r>
      <w:r>
        <w:rPr>
          <w:rFonts w:ascii="Arial Narrow" w:hAnsi="Arial Narrow" w:cs="Arial Narrow" w:eastAsia="Arial Narrow" w:hint="default"/>
          <w:b/>
          <w:bCs/>
          <w:sz w:val="21"/>
          <w:szCs w:val="21"/>
        </w:rPr>
        <w:t>%</w:t>
        <w:tab/>
      </w:r>
      <w:r>
        <w:rPr>
          <w:rFonts w:ascii="宋体" w:hAnsi="宋体" w:cs="宋体" w:eastAsia="宋体" w:hint="default"/>
          <w:b/>
          <w:bCs/>
          <w:sz w:val="21"/>
          <w:szCs w:val="21"/>
        </w:rPr>
        <w:t>坏账准备</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454" w:type="dxa"/>
        <w:tblLayout w:type="fixed"/>
        <w:tblCellMar>
          <w:top w:w="0" w:type="dxa"/>
          <w:left w:w="0" w:type="dxa"/>
          <w:bottom w:w="0" w:type="dxa"/>
          <w:right w:w="0" w:type="dxa"/>
        </w:tblCellMar>
        <w:tblLook w:val="01E0"/>
      </w:tblPr>
      <w:tblGrid>
        <w:gridCol w:w="1032"/>
        <w:gridCol w:w="1671"/>
        <w:gridCol w:w="1132"/>
        <w:gridCol w:w="1328"/>
        <w:gridCol w:w="1654"/>
        <w:gridCol w:w="1132"/>
        <w:gridCol w:w="1297"/>
      </w:tblGrid>
      <w:tr>
        <w:trPr>
          <w:trHeight w:val="406" w:hRule="exact"/>
        </w:trPr>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421"/>
              <w:jc w:val="right"/>
              <w:rPr>
                <w:rFonts w:ascii="Arial Narrow" w:hAnsi="Arial Narrow" w:cs="Arial Narrow" w:eastAsia="Arial Narrow" w:hint="default"/>
                <w:sz w:val="21"/>
                <w:szCs w:val="21"/>
              </w:rPr>
            </w:pPr>
            <w:r>
              <w:rPr>
                <w:rFonts w:ascii="Arial Narrow"/>
                <w:spacing w:val="-1"/>
                <w:sz w:val="21"/>
              </w:rPr>
              <w:t>10,365,478.38</w:t>
            </w:r>
            <w:r>
              <w:rPr>
                <w:rFonts w:ascii="Arial Narrow"/>
                <w:sz w:val="21"/>
              </w:rPr>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1"/>
              <w:jc w:val="right"/>
              <w:rPr>
                <w:rFonts w:ascii="Arial Narrow" w:hAnsi="Arial Narrow" w:cs="Arial Narrow" w:eastAsia="Arial Narrow" w:hint="default"/>
                <w:sz w:val="21"/>
                <w:szCs w:val="21"/>
              </w:rPr>
            </w:pPr>
            <w:r>
              <w:rPr>
                <w:rFonts w:ascii="Arial Narrow"/>
                <w:spacing w:val="-1"/>
                <w:sz w:val="21"/>
              </w:rPr>
              <w:t>60.59</w:t>
            </w:r>
            <w:r>
              <w:rPr>
                <w:rFonts w:ascii="Arial Narrow"/>
                <w:sz w:val="21"/>
              </w:rPr>
            </w:r>
          </w:p>
        </w:tc>
        <w:tc>
          <w:tcPr>
            <w:tcW w:w="132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36"/>
              <w:jc w:val="right"/>
              <w:rPr>
                <w:rFonts w:ascii="Arial Narrow" w:hAnsi="Arial Narrow" w:cs="Arial Narrow" w:eastAsia="Arial Narrow" w:hint="default"/>
                <w:sz w:val="21"/>
                <w:szCs w:val="21"/>
              </w:rPr>
            </w:pPr>
            <w:r>
              <w:rPr>
                <w:rFonts w:ascii="Arial Narrow"/>
                <w:spacing w:val="-1"/>
                <w:sz w:val="21"/>
              </w:rPr>
              <w:t>518,273.90</w:t>
            </w:r>
            <w:r>
              <w:rPr>
                <w:rFonts w:ascii="Arial Narrow"/>
                <w:sz w:val="21"/>
              </w:rPr>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419"/>
              <w:jc w:val="right"/>
              <w:rPr>
                <w:rFonts w:ascii="Arial Narrow" w:hAnsi="Arial Narrow" w:cs="Arial Narrow" w:eastAsia="Arial Narrow" w:hint="default"/>
                <w:sz w:val="21"/>
                <w:szCs w:val="21"/>
              </w:rPr>
            </w:pPr>
            <w:r>
              <w:rPr>
                <w:rFonts w:ascii="Arial Narrow"/>
                <w:spacing w:val="-1"/>
                <w:sz w:val="21"/>
              </w:rPr>
              <w:t>9,270,586.85</w:t>
            </w:r>
            <w:r>
              <w:rPr>
                <w:rFonts w:ascii="Arial Narrow"/>
                <w:sz w:val="21"/>
              </w:rPr>
            </w: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2"/>
              <w:jc w:val="right"/>
              <w:rPr>
                <w:rFonts w:ascii="Arial Narrow" w:hAnsi="Arial Narrow" w:cs="Arial Narrow" w:eastAsia="Arial Narrow" w:hint="default"/>
                <w:sz w:val="21"/>
                <w:szCs w:val="21"/>
              </w:rPr>
            </w:pPr>
            <w:r>
              <w:rPr>
                <w:rFonts w:ascii="Arial Narrow"/>
                <w:spacing w:val="-1"/>
                <w:sz w:val="21"/>
              </w:rPr>
              <w:t>60.33</w:t>
            </w:r>
            <w:r>
              <w:rPr>
                <w:rFonts w:ascii="Arial Narrow"/>
                <w:sz w:val="21"/>
              </w:rPr>
            </w:r>
          </w:p>
        </w:tc>
        <w:tc>
          <w:tcPr>
            <w:tcW w:w="129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4"/>
              <w:jc w:val="right"/>
              <w:rPr>
                <w:rFonts w:ascii="Arial Narrow" w:hAnsi="Arial Narrow" w:cs="Arial Narrow" w:eastAsia="Arial Narrow" w:hint="default"/>
                <w:sz w:val="21"/>
                <w:szCs w:val="21"/>
              </w:rPr>
            </w:pPr>
            <w:r>
              <w:rPr>
                <w:rFonts w:ascii="Arial Narrow"/>
                <w:spacing w:val="-1"/>
                <w:sz w:val="21"/>
              </w:rPr>
              <w:t>462,599.25</w:t>
            </w:r>
            <w:r>
              <w:rPr>
                <w:rFonts w:ascii="Arial Narrow"/>
                <w:sz w:val="21"/>
              </w:rPr>
            </w:r>
          </w:p>
        </w:tc>
      </w:tr>
      <w:tr>
        <w:trPr>
          <w:trHeight w:val="397"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21"/>
              <w:jc w:val="right"/>
              <w:rPr>
                <w:rFonts w:ascii="Arial Narrow" w:hAnsi="Arial Narrow" w:cs="Arial Narrow" w:eastAsia="Arial Narrow" w:hint="default"/>
                <w:sz w:val="21"/>
                <w:szCs w:val="21"/>
              </w:rPr>
            </w:pPr>
            <w:r>
              <w:rPr>
                <w:rFonts w:ascii="Arial Narrow"/>
                <w:spacing w:val="-1"/>
                <w:sz w:val="21"/>
              </w:rPr>
              <w:t>1,883,182.75</w:t>
            </w:r>
            <w:r>
              <w:rPr>
                <w:rFonts w:ascii="Arial Narrow"/>
                <w:sz w:val="21"/>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9"/>
              <w:jc w:val="right"/>
              <w:rPr>
                <w:rFonts w:ascii="Arial Narrow" w:hAnsi="Arial Narrow" w:cs="Arial Narrow" w:eastAsia="Arial Narrow" w:hint="default"/>
                <w:sz w:val="21"/>
                <w:szCs w:val="21"/>
              </w:rPr>
            </w:pPr>
            <w:r>
              <w:rPr>
                <w:rFonts w:ascii="Arial Narrow"/>
                <w:spacing w:val="-3"/>
                <w:sz w:val="21"/>
              </w:rPr>
              <w:t>11.01</w:t>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6"/>
              <w:jc w:val="right"/>
              <w:rPr>
                <w:rFonts w:ascii="Arial Narrow" w:hAnsi="Arial Narrow" w:cs="Arial Narrow" w:eastAsia="Arial Narrow" w:hint="default"/>
                <w:sz w:val="21"/>
                <w:szCs w:val="21"/>
              </w:rPr>
            </w:pPr>
            <w:r>
              <w:rPr>
                <w:rFonts w:ascii="Arial Narrow"/>
                <w:spacing w:val="-1"/>
                <w:sz w:val="21"/>
              </w:rPr>
              <w:t>376,636.57</w:t>
            </w:r>
            <w:r>
              <w:rPr>
                <w:rFonts w:ascii="Arial Narrow"/>
                <w:sz w:val="21"/>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20"/>
              <w:jc w:val="right"/>
              <w:rPr>
                <w:rFonts w:ascii="Arial Narrow" w:hAnsi="Arial Narrow" w:cs="Arial Narrow" w:eastAsia="Arial Narrow" w:hint="default"/>
                <w:sz w:val="21"/>
                <w:szCs w:val="21"/>
              </w:rPr>
            </w:pPr>
            <w:r>
              <w:rPr>
                <w:rFonts w:ascii="Arial Narrow"/>
                <w:spacing w:val="-1"/>
                <w:sz w:val="21"/>
              </w:rPr>
              <w:t>2,201,616.76</w:t>
            </w:r>
            <w:r>
              <w:rPr>
                <w:rFonts w:ascii="Arial Narrow"/>
                <w:sz w:val="21"/>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2"/>
              <w:jc w:val="right"/>
              <w:rPr>
                <w:rFonts w:ascii="Arial Narrow" w:hAnsi="Arial Narrow" w:cs="Arial Narrow" w:eastAsia="Arial Narrow" w:hint="default"/>
                <w:sz w:val="21"/>
                <w:szCs w:val="21"/>
              </w:rPr>
            </w:pPr>
            <w:r>
              <w:rPr>
                <w:rFonts w:ascii="Arial Narrow"/>
                <w:spacing w:val="-1"/>
                <w:sz w:val="21"/>
              </w:rPr>
              <w:t>14.33</w:t>
            </w:r>
            <w:r>
              <w:rPr>
                <w:rFonts w:ascii="Arial Narrow"/>
                <w:sz w:val="21"/>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4"/>
              <w:jc w:val="right"/>
              <w:rPr>
                <w:rFonts w:ascii="Arial Narrow" w:hAnsi="Arial Narrow" w:cs="Arial Narrow" w:eastAsia="Arial Narrow" w:hint="default"/>
                <w:sz w:val="21"/>
                <w:szCs w:val="21"/>
              </w:rPr>
            </w:pPr>
            <w:r>
              <w:rPr>
                <w:rFonts w:ascii="Arial Narrow"/>
                <w:spacing w:val="-1"/>
                <w:sz w:val="21"/>
              </w:rPr>
              <w:t>440,323.36</w:t>
            </w:r>
            <w:r>
              <w:rPr>
                <w:rFonts w:ascii="Arial Narrow"/>
                <w:sz w:val="21"/>
              </w:rPr>
            </w:r>
          </w:p>
        </w:tc>
      </w:tr>
      <w:tr>
        <w:trPr>
          <w:trHeight w:val="397"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1"/>
              <w:jc w:val="right"/>
              <w:rPr>
                <w:rFonts w:ascii="Arial Narrow" w:hAnsi="Arial Narrow" w:cs="Arial Narrow" w:eastAsia="Arial Narrow" w:hint="default"/>
                <w:sz w:val="21"/>
                <w:szCs w:val="21"/>
              </w:rPr>
            </w:pPr>
            <w:r>
              <w:rPr>
                <w:rFonts w:ascii="Arial Narrow"/>
                <w:spacing w:val="-2"/>
                <w:sz w:val="21"/>
              </w:rPr>
              <w:t>1,745,511.78</w:t>
            </w:r>
            <w:r>
              <w:rPr>
                <w:rFonts w:ascii="Arial Narrow"/>
                <w:sz w:val="21"/>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1"/>
              <w:jc w:val="right"/>
              <w:rPr>
                <w:rFonts w:ascii="Arial Narrow" w:hAnsi="Arial Narrow" w:cs="Arial Narrow" w:eastAsia="Arial Narrow" w:hint="default"/>
                <w:sz w:val="21"/>
                <w:szCs w:val="21"/>
              </w:rPr>
            </w:pPr>
            <w:r>
              <w:rPr>
                <w:rFonts w:ascii="Arial Narrow"/>
                <w:spacing w:val="-1"/>
                <w:sz w:val="21"/>
              </w:rPr>
              <w:t>10.20</w:t>
            </w:r>
            <w:r>
              <w:rPr>
                <w:rFonts w:ascii="Arial Narrow"/>
                <w:sz w:val="21"/>
              </w:rPr>
            </w:r>
          </w:p>
        </w:tc>
        <w:tc>
          <w:tcPr>
            <w:tcW w:w="132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6"/>
              <w:jc w:val="right"/>
              <w:rPr>
                <w:rFonts w:ascii="Arial Narrow" w:hAnsi="Arial Narrow" w:cs="Arial Narrow" w:eastAsia="Arial Narrow" w:hint="default"/>
                <w:sz w:val="21"/>
                <w:szCs w:val="21"/>
              </w:rPr>
            </w:pPr>
            <w:r>
              <w:rPr>
                <w:rFonts w:ascii="Arial Narrow"/>
                <w:spacing w:val="-1"/>
                <w:sz w:val="21"/>
              </w:rPr>
              <w:t>872,755.89</w:t>
            </w:r>
            <w:r>
              <w:rPr>
                <w:rFonts w:ascii="Arial Narrow"/>
                <w:sz w:val="21"/>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20"/>
              <w:jc w:val="right"/>
              <w:rPr>
                <w:rFonts w:ascii="Arial Narrow" w:hAnsi="Arial Narrow" w:cs="Arial Narrow" w:eastAsia="Arial Narrow" w:hint="default"/>
                <w:sz w:val="21"/>
                <w:szCs w:val="21"/>
              </w:rPr>
            </w:pPr>
            <w:r>
              <w:rPr>
                <w:rFonts w:ascii="Arial Narrow"/>
                <w:spacing w:val="-1"/>
                <w:sz w:val="21"/>
              </w:rPr>
              <w:t>1,855,968.34</w:t>
            </w:r>
            <w:r>
              <w:rPr>
                <w:rFonts w:ascii="Arial Narrow"/>
                <w:sz w:val="21"/>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82"/>
              <w:jc w:val="right"/>
              <w:rPr>
                <w:rFonts w:ascii="Arial Narrow" w:hAnsi="Arial Narrow" w:cs="Arial Narrow" w:eastAsia="Arial Narrow" w:hint="default"/>
                <w:sz w:val="21"/>
                <w:szCs w:val="21"/>
              </w:rPr>
            </w:pPr>
            <w:r>
              <w:rPr>
                <w:rFonts w:ascii="Arial Narrow"/>
                <w:spacing w:val="-1"/>
                <w:sz w:val="21"/>
              </w:rPr>
              <w:t>12.08</w:t>
            </w:r>
            <w:r>
              <w:rPr>
                <w:rFonts w:ascii="Arial Narrow"/>
                <w:sz w:val="21"/>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4"/>
              <w:jc w:val="right"/>
              <w:rPr>
                <w:rFonts w:ascii="Arial Narrow" w:hAnsi="Arial Narrow" w:cs="Arial Narrow" w:eastAsia="Arial Narrow" w:hint="default"/>
                <w:sz w:val="21"/>
                <w:szCs w:val="21"/>
              </w:rPr>
            </w:pPr>
            <w:r>
              <w:rPr>
                <w:rFonts w:ascii="Arial Narrow"/>
                <w:spacing w:val="-1"/>
                <w:sz w:val="21"/>
              </w:rPr>
              <w:t>927,984.17</w:t>
            </w:r>
            <w:r>
              <w:rPr>
                <w:rFonts w:ascii="Arial Narrow"/>
                <w:sz w:val="21"/>
              </w:rPr>
            </w:r>
          </w:p>
        </w:tc>
      </w:tr>
      <w:tr>
        <w:trPr>
          <w:trHeight w:val="396" w:hRule="exact"/>
        </w:trPr>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420"/>
              <w:jc w:val="right"/>
              <w:rPr>
                <w:rFonts w:ascii="Arial Narrow" w:hAnsi="Arial Narrow" w:cs="Arial Narrow" w:eastAsia="Arial Narrow" w:hint="default"/>
                <w:sz w:val="21"/>
                <w:szCs w:val="21"/>
              </w:rPr>
            </w:pPr>
            <w:r>
              <w:rPr>
                <w:rFonts w:ascii="Arial Narrow"/>
                <w:spacing w:val="-2"/>
                <w:sz w:val="21"/>
              </w:rPr>
              <w:t>3,114,740.00</w:t>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81"/>
              <w:jc w:val="right"/>
              <w:rPr>
                <w:rFonts w:ascii="Arial Narrow" w:hAnsi="Arial Narrow" w:cs="Arial Narrow" w:eastAsia="Arial Narrow" w:hint="default"/>
                <w:sz w:val="21"/>
                <w:szCs w:val="21"/>
              </w:rPr>
            </w:pPr>
            <w:r>
              <w:rPr>
                <w:rFonts w:ascii="Arial Narrow"/>
                <w:spacing w:val="-1"/>
                <w:sz w:val="21"/>
              </w:rPr>
              <w:t>18.20</w:t>
            </w:r>
            <w:r>
              <w:rPr>
                <w:rFonts w:ascii="Arial Narrow"/>
                <w:sz w:val="21"/>
              </w:rPr>
            </w: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35"/>
              <w:jc w:val="right"/>
              <w:rPr>
                <w:rFonts w:ascii="Arial Narrow" w:hAnsi="Arial Narrow" w:cs="Arial Narrow" w:eastAsia="Arial Narrow" w:hint="default"/>
                <w:sz w:val="21"/>
                <w:szCs w:val="21"/>
              </w:rPr>
            </w:pPr>
            <w:r>
              <w:rPr>
                <w:rFonts w:ascii="Arial Narrow"/>
                <w:spacing w:val="-2"/>
                <w:sz w:val="21"/>
              </w:rPr>
              <w:t>3,114,740.00</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420"/>
              <w:jc w:val="right"/>
              <w:rPr>
                <w:rFonts w:ascii="Arial Narrow" w:hAnsi="Arial Narrow" w:cs="Arial Narrow" w:eastAsia="Arial Narrow" w:hint="default"/>
                <w:sz w:val="21"/>
                <w:szCs w:val="21"/>
              </w:rPr>
            </w:pPr>
            <w:r>
              <w:rPr>
                <w:rFonts w:ascii="Arial Narrow"/>
                <w:spacing w:val="-1"/>
                <w:sz w:val="21"/>
              </w:rPr>
              <w:t>2,037,444.16</w:t>
            </w:r>
            <w:r>
              <w:rPr>
                <w:rFonts w:ascii="Arial Narrow"/>
                <w:sz w:val="21"/>
              </w:rPr>
            </w:r>
          </w:p>
        </w:tc>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82"/>
              <w:jc w:val="right"/>
              <w:rPr>
                <w:rFonts w:ascii="Arial Narrow" w:hAnsi="Arial Narrow" w:cs="Arial Narrow" w:eastAsia="Arial Narrow" w:hint="default"/>
                <w:sz w:val="21"/>
                <w:szCs w:val="21"/>
              </w:rPr>
            </w:pPr>
            <w:r>
              <w:rPr>
                <w:rFonts w:ascii="Arial Narrow"/>
                <w:spacing w:val="-1"/>
                <w:sz w:val="21"/>
              </w:rPr>
              <w:t>13.26</w:t>
            </w:r>
            <w:r>
              <w:rPr>
                <w:rFonts w:ascii="Arial Narrow"/>
                <w:sz w:val="21"/>
              </w:rPr>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4"/>
              <w:jc w:val="right"/>
              <w:rPr>
                <w:rFonts w:ascii="Arial Narrow" w:hAnsi="Arial Narrow" w:cs="Arial Narrow" w:eastAsia="Arial Narrow" w:hint="default"/>
                <w:sz w:val="21"/>
                <w:szCs w:val="21"/>
              </w:rPr>
            </w:pPr>
            <w:r>
              <w:rPr>
                <w:rFonts w:ascii="Arial Narrow"/>
                <w:spacing w:val="-1"/>
                <w:sz w:val="21"/>
              </w:rPr>
              <w:t>2,037,444.16</w:t>
            </w:r>
            <w:r>
              <w:rPr>
                <w:rFonts w:ascii="Arial Narrow"/>
                <w:sz w:val="21"/>
              </w:rPr>
            </w:r>
          </w:p>
        </w:tc>
      </w:tr>
      <w:tr>
        <w:trPr>
          <w:trHeight w:val="413" w:hRule="exact"/>
        </w:trPr>
        <w:tc>
          <w:tcPr>
            <w:tcW w:w="1032"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30"/>
              <w:ind w:left="10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671"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421"/>
              <w:jc w:val="right"/>
              <w:rPr>
                <w:rFonts w:ascii="Arial Narrow" w:hAnsi="Arial Narrow" w:cs="Arial Narrow" w:eastAsia="Arial Narrow" w:hint="default"/>
                <w:sz w:val="21"/>
                <w:szCs w:val="21"/>
              </w:rPr>
            </w:pPr>
            <w:r>
              <w:rPr>
                <w:rFonts w:ascii="Arial Narrow"/>
                <w:b/>
                <w:spacing w:val="-1"/>
                <w:sz w:val="21"/>
              </w:rPr>
              <w:t>17,108,912.91</w:t>
            </w:r>
            <w:r>
              <w:rPr>
                <w:rFonts w:ascii="Arial Narrow"/>
                <w:sz w:val="21"/>
              </w:rPr>
            </w:r>
          </w:p>
        </w:tc>
        <w:tc>
          <w:tcPr>
            <w:tcW w:w="113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79"/>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328"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36"/>
              <w:jc w:val="right"/>
              <w:rPr>
                <w:rFonts w:ascii="Arial Narrow" w:hAnsi="Arial Narrow" w:cs="Arial Narrow" w:eastAsia="Arial Narrow" w:hint="default"/>
                <w:sz w:val="21"/>
                <w:szCs w:val="21"/>
              </w:rPr>
            </w:pPr>
            <w:r>
              <w:rPr>
                <w:rFonts w:ascii="Arial Narrow"/>
                <w:b/>
                <w:spacing w:val="-1"/>
                <w:sz w:val="21"/>
              </w:rPr>
              <w:t>4,882,406.36</w:t>
            </w:r>
            <w:r>
              <w:rPr>
                <w:rFonts w:ascii="Arial Narrow"/>
                <w:sz w:val="21"/>
              </w:rPr>
            </w:r>
          </w:p>
        </w:tc>
        <w:tc>
          <w:tcPr>
            <w:tcW w:w="1654"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419"/>
              <w:jc w:val="right"/>
              <w:rPr>
                <w:rFonts w:ascii="Arial Narrow" w:hAnsi="Arial Narrow" w:cs="Arial Narrow" w:eastAsia="Arial Narrow" w:hint="default"/>
                <w:sz w:val="21"/>
                <w:szCs w:val="21"/>
              </w:rPr>
            </w:pPr>
            <w:r>
              <w:rPr>
                <w:rFonts w:ascii="Arial Narrow"/>
                <w:b/>
                <w:spacing w:val="-2"/>
                <w:sz w:val="21"/>
              </w:rPr>
              <w:t>15,365,616.11</w:t>
            </w:r>
            <w:r>
              <w:rPr>
                <w:rFonts w:ascii="Arial Narrow"/>
                <w:spacing w:val="-2"/>
                <w:sz w:val="21"/>
              </w:rPr>
            </w:r>
          </w:p>
        </w:tc>
        <w:tc>
          <w:tcPr>
            <w:tcW w:w="113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80"/>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297"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4"/>
              <w:jc w:val="right"/>
              <w:rPr>
                <w:rFonts w:ascii="Arial Narrow" w:hAnsi="Arial Narrow" w:cs="Arial Narrow" w:eastAsia="Arial Narrow" w:hint="default"/>
                <w:sz w:val="21"/>
                <w:szCs w:val="21"/>
              </w:rPr>
            </w:pPr>
            <w:r>
              <w:rPr>
                <w:rFonts w:ascii="Arial Narrow"/>
                <w:b/>
                <w:spacing w:val="-1"/>
                <w:sz w:val="21"/>
              </w:rPr>
              <w:t>3,868,350.94</w:t>
            </w:r>
            <w:r>
              <w:rPr>
                <w:rFonts w:ascii="Arial Narrow"/>
                <w:sz w:val="21"/>
              </w:rPr>
            </w:r>
          </w:p>
        </w:tc>
      </w:tr>
    </w:tbl>
    <w:p>
      <w:pPr>
        <w:pStyle w:val="BodyText"/>
        <w:spacing w:line="240" w:lineRule="auto" w:before="70"/>
        <w:ind w:left="559" w:right="0"/>
        <w:jc w:val="left"/>
      </w:pPr>
      <w:r>
        <w:rPr/>
        <w:t>（</w:t>
      </w:r>
      <w:r>
        <w:rPr>
          <w:rFonts w:ascii="Arial Narrow" w:hAnsi="Arial Narrow" w:cs="Arial Narrow" w:eastAsia="Arial Narrow" w:hint="default"/>
        </w:rPr>
        <w:t>2</w:t>
      </w:r>
      <w:r>
        <w:rPr/>
        <w:t>）期末其他应收款中无持本公司</w:t>
      </w:r>
      <w:r>
        <w:rPr>
          <w:spacing w:val="-62"/>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）以上表决权股份的股东欠款。</w:t>
      </w:r>
    </w:p>
    <w:p>
      <w:pPr>
        <w:pStyle w:val="BodyText"/>
        <w:spacing w:line="240" w:lineRule="auto" w:before="197"/>
        <w:ind w:left="502" w:right="0"/>
        <w:jc w:val="left"/>
      </w:pPr>
      <w:r>
        <w:rPr/>
        <w:t>（</w:t>
      </w:r>
      <w:r>
        <w:rPr>
          <w:rFonts w:ascii="Arial Narrow" w:hAnsi="Arial Narrow" w:cs="Arial Narrow" w:eastAsia="Arial Narrow" w:hint="default"/>
        </w:rPr>
        <w:t>3</w:t>
      </w:r>
      <w:r>
        <w:rPr/>
        <w:t>）其他应收款金额前五名单位情况</w:t>
      </w:r>
    </w:p>
    <w:p>
      <w:pPr>
        <w:spacing w:line="240" w:lineRule="auto" w:before="2"/>
        <w:rPr>
          <w:rFonts w:ascii="宋体" w:hAnsi="宋体" w:cs="宋体" w:eastAsia="宋体" w:hint="default"/>
          <w:sz w:val="18"/>
          <w:szCs w:val="18"/>
        </w:rPr>
      </w:pPr>
    </w:p>
    <w:tbl>
      <w:tblPr>
        <w:tblW w:w="0" w:type="auto"/>
        <w:jc w:val="left"/>
        <w:tblInd w:w="439" w:type="dxa"/>
        <w:tblLayout w:type="fixed"/>
        <w:tblCellMar>
          <w:top w:w="0" w:type="dxa"/>
          <w:left w:w="0" w:type="dxa"/>
          <w:bottom w:w="0" w:type="dxa"/>
          <w:right w:w="0" w:type="dxa"/>
        </w:tblCellMar>
        <w:tblLook w:val="01E0"/>
      </w:tblPr>
      <w:tblGrid>
        <w:gridCol w:w="3358"/>
        <w:gridCol w:w="1900"/>
        <w:gridCol w:w="1345"/>
        <w:gridCol w:w="1130"/>
        <w:gridCol w:w="1564"/>
      </w:tblGrid>
      <w:tr>
        <w:trPr>
          <w:trHeight w:val="908" w:hRule="exact"/>
        </w:trPr>
        <w:tc>
          <w:tcPr>
            <w:tcW w:w="3358"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900"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53" w:right="0"/>
              <w:jc w:val="left"/>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345"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0"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91"/>
              <w:jc w:val="right"/>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564" w:type="dxa"/>
            <w:tcBorders>
              <w:top w:val="single" w:sz="8" w:space="0" w:color="000000"/>
              <w:left w:val="nil" w:sz="6" w:space="0" w:color="auto"/>
              <w:bottom w:val="single" w:sz="4" w:space="0" w:color="000000"/>
              <w:right w:val="nil" w:sz="6" w:space="0" w:color="auto"/>
            </w:tcBorders>
          </w:tcPr>
          <w:p>
            <w:pPr>
              <w:pStyle w:val="TableParagraph"/>
              <w:spacing w:line="272" w:lineRule="exact" w:before="169"/>
              <w:ind w:left="248" w:right="103" w:hanging="58"/>
              <w:jc w:val="left"/>
              <w:rPr>
                <w:rFonts w:ascii="Arial Narrow" w:hAnsi="Arial Narrow" w:cs="Arial Narrow" w:eastAsia="Arial Narrow" w:hint="default"/>
                <w:sz w:val="21"/>
                <w:szCs w:val="21"/>
              </w:rPr>
            </w:pPr>
            <w:r>
              <w:rPr>
                <w:rFonts w:ascii="宋体" w:hAnsi="宋体" w:cs="宋体" w:eastAsia="宋体" w:hint="default"/>
                <w:b/>
                <w:bCs/>
                <w:sz w:val="21"/>
                <w:szCs w:val="21"/>
              </w:rPr>
              <w:t>占其他应收款</w:t>
            </w:r>
            <w:r>
              <w:rPr>
                <w:rFonts w:ascii="宋体" w:hAnsi="宋体" w:cs="宋体" w:eastAsia="宋体" w:hint="default"/>
                <w:b/>
                <w:bCs/>
                <w:spacing w:val="-104"/>
                <w:sz w:val="21"/>
                <w:szCs w:val="21"/>
              </w:rPr>
              <w:t> </w:t>
            </w:r>
            <w:r>
              <w:rPr>
                <w:rFonts w:ascii="宋体" w:hAnsi="宋体" w:cs="宋体" w:eastAsia="宋体" w:hint="default"/>
                <w:b/>
                <w:bCs/>
                <w:sz w:val="21"/>
                <w:szCs w:val="21"/>
              </w:rPr>
              <w:t>总额的比例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399" w:hRule="exact"/>
        </w:trPr>
        <w:tc>
          <w:tcPr>
            <w:tcW w:w="335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中科软科技股份有限公司</w:t>
            </w:r>
          </w:p>
        </w:tc>
        <w:tc>
          <w:tcPr>
            <w:tcW w:w="190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29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56"/>
              <w:jc w:val="right"/>
              <w:rPr>
                <w:rFonts w:ascii="Arial Narrow" w:hAnsi="Arial Narrow" w:cs="Arial Narrow" w:eastAsia="Arial Narrow" w:hint="default"/>
                <w:sz w:val="21"/>
                <w:szCs w:val="21"/>
              </w:rPr>
            </w:pPr>
            <w:r>
              <w:rPr>
                <w:rFonts w:ascii="Arial Narrow"/>
                <w:spacing w:val="-1"/>
                <w:sz w:val="21"/>
              </w:rPr>
              <w:t>1,090,050.00</w:t>
            </w:r>
            <w:r>
              <w:rPr>
                <w:rFonts w:ascii="Arial Narrow"/>
                <w:sz w:val="21"/>
              </w:rPr>
            </w:r>
          </w:p>
        </w:tc>
        <w:tc>
          <w:tcPr>
            <w:tcW w:w="113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188"/>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56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6"/>
              <w:jc w:val="right"/>
              <w:rPr>
                <w:rFonts w:ascii="Arial Narrow" w:hAnsi="Arial Narrow" w:cs="Arial Narrow" w:eastAsia="Arial Narrow" w:hint="default"/>
                <w:sz w:val="21"/>
                <w:szCs w:val="21"/>
              </w:rPr>
            </w:pPr>
            <w:r>
              <w:rPr>
                <w:rFonts w:ascii="Arial Narrow"/>
                <w:spacing w:val="-1"/>
                <w:sz w:val="21"/>
              </w:rPr>
              <w:t>6.37</w:t>
            </w:r>
            <w:r>
              <w:rPr>
                <w:rFonts w:ascii="Arial Narrow"/>
                <w:sz w:val="21"/>
              </w:rPr>
            </w:r>
          </w:p>
        </w:tc>
      </w:tr>
      <w:tr>
        <w:trPr>
          <w:trHeight w:val="390"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贵州阳光产权交易所有限公司</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6"/>
              <w:jc w:val="right"/>
              <w:rPr>
                <w:rFonts w:ascii="Arial Narrow" w:hAnsi="Arial Narrow" w:cs="Arial Narrow" w:eastAsia="Arial Narrow" w:hint="default"/>
                <w:sz w:val="21"/>
                <w:szCs w:val="21"/>
              </w:rPr>
            </w:pPr>
            <w:r>
              <w:rPr>
                <w:rFonts w:ascii="Arial Narrow"/>
                <w:spacing w:val="-1"/>
                <w:sz w:val="21"/>
              </w:rPr>
              <w:t>642,800.00</w:t>
            </w:r>
            <w:r>
              <w:rPr>
                <w:rFonts w:ascii="Arial Narrow"/>
                <w:sz w:val="21"/>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8"/>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Arial Narrow" w:hAnsi="Arial Narrow" w:cs="Arial Narrow" w:eastAsia="Arial Narrow" w:hint="default"/>
                <w:sz w:val="21"/>
                <w:szCs w:val="21"/>
              </w:rPr>
            </w:pPr>
            <w:r>
              <w:rPr>
                <w:rFonts w:ascii="Arial Narrow"/>
                <w:spacing w:val="-1"/>
                <w:sz w:val="21"/>
              </w:rPr>
              <w:t>3.76</w:t>
            </w:r>
            <w:r>
              <w:rPr>
                <w:rFonts w:ascii="Arial Narrow"/>
                <w:sz w:val="21"/>
              </w:rPr>
            </w:r>
          </w:p>
        </w:tc>
      </w:tr>
      <w:tr>
        <w:trPr>
          <w:trHeight w:val="390"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广西鸿雁食品有限公司</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9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56"/>
              <w:jc w:val="right"/>
              <w:rPr>
                <w:rFonts w:ascii="Arial Narrow" w:hAnsi="Arial Narrow" w:cs="Arial Narrow" w:eastAsia="Arial Narrow" w:hint="default"/>
                <w:sz w:val="21"/>
                <w:szCs w:val="21"/>
              </w:rPr>
            </w:pPr>
            <w:r>
              <w:rPr>
                <w:rFonts w:ascii="Arial Narrow"/>
                <w:spacing w:val="-1"/>
                <w:sz w:val="21"/>
              </w:rPr>
              <w:t>540,000.00</w:t>
            </w:r>
            <w:r>
              <w:rPr>
                <w:rFonts w:ascii="Arial Narrow"/>
                <w:sz w:val="21"/>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88"/>
              <w:jc w:val="righ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6"/>
              <w:jc w:val="right"/>
              <w:rPr>
                <w:rFonts w:ascii="Arial Narrow" w:hAnsi="Arial Narrow" w:cs="Arial Narrow" w:eastAsia="Arial Narrow" w:hint="default"/>
                <w:sz w:val="21"/>
                <w:szCs w:val="21"/>
              </w:rPr>
            </w:pPr>
            <w:r>
              <w:rPr>
                <w:rFonts w:ascii="Arial Narrow"/>
                <w:spacing w:val="-1"/>
                <w:sz w:val="21"/>
              </w:rPr>
              <w:t>3.16</w:t>
            </w:r>
            <w:r>
              <w:rPr>
                <w:rFonts w:ascii="Arial Narrow"/>
                <w:sz w:val="21"/>
              </w:rPr>
            </w:r>
          </w:p>
        </w:tc>
      </w:tr>
      <w:tr>
        <w:trPr>
          <w:trHeight w:val="390"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21"/>
                <w:szCs w:val="21"/>
              </w:rPr>
            </w:pPr>
            <w:r>
              <w:rPr>
                <w:rFonts w:ascii="宋体" w:hAnsi="宋体" w:cs="宋体" w:eastAsia="宋体" w:hint="default"/>
                <w:sz w:val="21"/>
                <w:szCs w:val="21"/>
              </w:rPr>
              <w:t>芜湖市政府第一招标采购代理处</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9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6"/>
              <w:jc w:val="right"/>
              <w:rPr>
                <w:rFonts w:ascii="Arial Narrow" w:hAnsi="Arial Narrow" w:cs="Arial Narrow" w:eastAsia="Arial Narrow" w:hint="default"/>
                <w:sz w:val="21"/>
                <w:szCs w:val="21"/>
              </w:rPr>
            </w:pPr>
            <w:r>
              <w:rPr>
                <w:rFonts w:ascii="Arial Narrow"/>
                <w:spacing w:val="-1"/>
                <w:sz w:val="21"/>
              </w:rPr>
              <w:t>327,500.00</w:t>
            </w:r>
            <w:r>
              <w:rPr>
                <w:rFonts w:ascii="Arial Narrow"/>
                <w:sz w:val="21"/>
              </w:rPr>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8"/>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Arial Narrow" w:hAnsi="Arial Narrow" w:cs="Arial Narrow" w:eastAsia="Arial Narrow" w:hint="default"/>
                <w:sz w:val="21"/>
                <w:szCs w:val="21"/>
              </w:rPr>
            </w:pPr>
            <w:r>
              <w:rPr>
                <w:rFonts w:ascii="Arial Narrow"/>
                <w:spacing w:val="-1"/>
                <w:sz w:val="21"/>
              </w:rPr>
              <w:t>1.91</w:t>
            </w:r>
            <w:r>
              <w:rPr>
                <w:rFonts w:ascii="Arial Narrow"/>
                <w:sz w:val="21"/>
              </w:rPr>
            </w:r>
          </w:p>
        </w:tc>
      </w:tr>
      <w:tr>
        <w:trPr>
          <w:trHeight w:val="392" w:hRule="exact"/>
        </w:trPr>
        <w:tc>
          <w:tcPr>
            <w:tcW w:w="3358"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西安市市级单位政府采购中心</w:t>
            </w:r>
          </w:p>
        </w:tc>
        <w:tc>
          <w:tcPr>
            <w:tcW w:w="190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29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45"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56"/>
              <w:jc w:val="right"/>
              <w:rPr>
                <w:rFonts w:ascii="Arial Narrow" w:hAnsi="Arial Narrow" w:cs="Arial Narrow" w:eastAsia="Arial Narrow" w:hint="default"/>
                <w:sz w:val="21"/>
                <w:szCs w:val="21"/>
              </w:rPr>
            </w:pPr>
            <w:r>
              <w:rPr>
                <w:rFonts w:ascii="Arial Narrow"/>
                <w:spacing w:val="-1"/>
                <w:sz w:val="21"/>
              </w:rPr>
              <w:t>300,000.00</w:t>
            </w:r>
            <w:r>
              <w:rPr>
                <w:rFonts w:ascii="Arial Narrow"/>
                <w:sz w:val="21"/>
              </w:rPr>
            </w:r>
          </w:p>
        </w:tc>
        <w:tc>
          <w:tcPr>
            <w:tcW w:w="113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188"/>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56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06"/>
              <w:jc w:val="right"/>
              <w:rPr>
                <w:rFonts w:ascii="Arial Narrow" w:hAnsi="Arial Narrow" w:cs="Arial Narrow" w:eastAsia="Arial Narrow" w:hint="default"/>
                <w:sz w:val="21"/>
                <w:szCs w:val="21"/>
              </w:rPr>
            </w:pPr>
            <w:r>
              <w:rPr>
                <w:rFonts w:ascii="Arial Narrow"/>
                <w:spacing w:val="-1"/>
                <w:sz w:val="21"/>
              </w:rPr>
              <w:t>1.75</w:t>
            </w:r>
            <w:r>
              <w:rPr>
                <w:rFonts w:ascii="Arial Narrow"/>
                <w:sz w:val="21"/>
              </w:rPr>
            </w:r>
          </w:p>
        </w:tc>
      </w:tr>
      <w:tr>
        <w:trPr>
          <w:trHeight w:val="404" w:hRule="exact"/>
        </w:trPr>
        <w:tc>
          <w:tcPr>
            <w:tcW w:w="3358"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240" w:lineRule="auto" w:before="23"/>
              <w:ind w:left="12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00" w:type="dxa"/>
            <w:tcBorders>
              <w:top w:val="single" w:sz="4" w:space="0" w:color="000000"/>
              <w:left w:val="nil" w:sz="6" w:space="0" w:color="auto"/>
              <w:bottom w:val="single" w:sz="8" w:space="0" w:color="000000"/>
              <w:right w:val="nil" w:sz="6" w:space="0" w:color="auto"/>
            </w:tcBorders>
          </w:tcPr>
          <w:p>
            <w:pPr/>
          </w:p>
        </w:tc>
        <w:tc>
          <w:tcPr>
            <w:tcW w:w="1345"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56"/>
              <w:jc w:val="right"/>
              <w:rPr>
                <w:rFonts w:ascii="Arial Narrow" w:hAnsi="Arial Narrow" w:cs="Arial Narrow" w:eastAsia="Arial Narrow" w:hint="default"/>
                <w:sz w:val="21"/>
                <w:szCs w:val="21"/>
              </w:rPr>
            </w:pPr>
            <w:r>
              <w:rPr>
                <w:rFonts w:ascii="Arial Narrow"/>
                <w:b/>
                <w:spacing w:val="-1"/>
                <w:sz w:val="21"/>
              </w:rPr>
              <w:t>2,900,350.00</w:t>
            </w:r>
            <w:r>
              <w:rPr>
                <w:rFonts w:ascii="Arial Narrow"/>
                <w:sz w:val="21"/>
              </w:rPr>
            </w:r>
          </w:p>
        </w:tc>
        <w:tc>
          <w:tcPr>
            <w:tcW w:w="1130" w:type="dxa"/>
            <w:tcBorders>
              <w:top w:val="single" w:sz="4" w:space="0" w:color="000000"/>
              <w:left w:val="nil" w:sz="6" w:space="0" w:color="auto"/>
              <w:bottom w:val="single" w:sz="8" w:space="0" w:color="000000"/>
              <w:right w:val="nil" w:sz="6" w:space="0" w:color="auto"/>
            </w:tcBorders>
          </w:tcPr>
          <w:p>
            <w:pPr/>
          </w:p>
        </w:tc>
        <w:tc>
          <w:tcPr>
            <w:tcW w:w="1564"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06"/>
              <w:jc w:val="right"/>
              <w:rPr>
                <w:rFonts w:ascii="Arial Narrow" w:hAnsi="Arial Narrow" w:cs="Arial Narrow" w:eastAsia="Arial Narrow" w:hint="default"/>
                <w:sz w:val="21"/>
                <w:szCs w:val="21"/>
              </w:rPr>
            </w:pPr>
            <w:r>
              <w:rPr>
                <w:rFonts w:ascii="Arial Narrow"/>
                <w:b/>
                <w:spacing w:val="-1"/>
                <w:sz w:val="21"/>
              </w:rPr>
              <w:t>16.95</w:t>
            </w:r>
            <w:r>
              <w:rPr>
                <w:rFonts w:ascii="Arial Narrow"/>
                <w:sz w:val="21"/>
              </w:rPr>
            </w:r>
          </w:p>
        </w:tc>
      </w:tr>
    </w:tbl>
    <w:p>
      <w:pPr>
        <w:pStyle w:val="BodyText"/>
        <w:spacing w:line="240" w:lineRule="auto" w:before="79"/>
        <w:ind w:left="149" w:right="0"/>
        <w:jc w:val="left"/>
      </w:pPr>
      <w:r>
        <w:rPr>
          <w:rFonts w:ascii="Arial Narrow" w:hAnsi="Arial Narrow" w:cs="Arial Narrow" w:eastAsia="Arial Narrow" w:hint="default"/>
        </w:rPr>
        <w:t>7</w:t>
      </w:r>
      <w:r>
        <w:rPr/>
        <w:t>、存货</w:t>
      </w:r>
    </w:p>
    <w:p>
      <w:pPr>
        <w:pStyle w:val="BodyText"/>
        <w:spacing w:line="240" w:lineRule="auto" w:before="194"/>
        <w:ind w:left="502" w:right="0"/>
        <w:jc w:val="left"/>
      </w:pPr>
      <w:r>
        <w:rPr/>
        <w:pict>
          <v:group style="position:absolute;margin-left:83.183990pt;margin-top:38.115608pt;width:457.2pt;height:1pt;mso-position-horizontal-relative:page;mso-position-vertical-relative:paragraph;z-index:-764992" coordorigin="1664,762" coordsize="9144,20">
            <v:group style="position:absolute;left:1673;top:772;width:1304;height:2" coordorigin="1673,772" coordsize="1304,2">
              <v:shape style="position:absolute;left:1673;top:772;width:1304;height:2" coordorigin="1673,772" coordsize="1304,0" path="m1673,772l2976,772e" filled="false" stroked="true" strokeweight=".96002pt" strokecolor="#000000">
                <v:path arrowok="t"/>
              </v:shape>
            </v:group>
            <v:group style="position:absolute;left:2976;top:772;width:20;height:2" coordorigin="2976,772" coordsize="20,2">
              <v:shape style="position:absolute;left:2976;top:772;width:20;height:2" coordorigin="2976,772" coordsize="20,0" path="m2976,772l2996,772e" filled="false" stroked="true" strokeweight=".96002pt" strokecolor="#000000">
                <v:path arrowok="t"/>
              </v:shape>
            </v:group>
            <v:group style="position:absolute;left:2996;top:772;width:3892;height:2" coordorigin="2996,772" coordsize="3892,2">
              <v:shape style="position:absolute;left:2996;top:772;width:3892;height:2" coordorigin="2996,772" coordsize="3892,0" path="m2996,772l6887,772e" filled="false" stroked="true" strokeweight=".96002pt" strokecolor="#000000">
                <v:path arrowok="t"/>
              </v:shape>
            </v:group>
            <v:group style="position:absolute;left:6887;top:772;width:20;height:2" coordorigin="6887,772" coordsize="20,2">
              <v:shape style="position:absolute;left:6887;top:772;width:20;height:2" coordorigin="6887,772" coordsize="20,0" path="m6887,772l6906,772e" filled="false" stroked="true" strokeweight=".96002pt" strokecolor="#000000">
                <v:path arrowok="t"/>
              </v:shape>
            </v:group>
            <v:group style="position:absolute;left:6906;top:772;width:3892;height:2" coordorigin="6906,772" coordsize="3892,2">
              <v:shape style="position:absolute;left:6906;top:772;width:3892;height:2" coordorigin="6906,772" coordsize="3892,0" path="m6906,772l10798,772e" filled="false" stroked="true" strokeweight=".96002pt" strokecolor="#000000">
                <v:path arrowok="t"/>
              </v:shape>
            </v:group>
            <w10:wrap type="none"/>
          </v:group>
        </w:pict>
      </w:r>
      <w:r>
        <w:rPr/>
        <w:pict>
          <v:group style="position:absolute;margin-left:148.579987pt;margin-top:58.035587pt;width:391.55pt;height:.5pt;mso-position-horizontal-relative:page;mso-position-vertical-relative:paragraph;z-index:-764968" coordorigin="2972,1161" coordsize="7831,10">
            <v:group style="position:absolute;left:2976;top:1166;width:3911;height:2" coordorigin="2976,1166" coordsize="3911,2">
              <v:shape style="position:absolute;left:2976;top:1166;width:3911;height:2" coordorigin="2976,1166" coordsize="3911,0" path="m2976,1166l6887,1166e" filled="false" stroked="true" strokeweight=".48004pt" strokecolor="#000000">
                <v:path arrowok="t"/>
              </v:shape>
            </v:group>
            <v:group style="position:absolute;left:6887;top:1166;width:10;height:2" coordorigin="6887,1166" coordsize="10,2">
              <v:shape style="position:absolute;left:6887;top:1166;width:10;height:2" coordorigin="6887,1166" coordsize="10,0" path="m6887,1166l6897,1166e" filled="false" stroked="true" strokeweight=".48004pt" strokecolor="#000000">
                <v:path arrowok="t"/>
              </v:shape>
            </v:group>
            <v:group style="position:absolute;left:6897;top:1166;width:3901;height:2" coordorigin="6897,1166" coordsize="3901,2">
              <v:shape style="position:absolute;left:6897;top:1166;width:3901;height:2" coordorigin="6897,1166" coordsize="3901,0" path="m6897,1166l10798,1166e" filled="false" stroked="true" strokeweight=".48004pt" strokecolor="#000000">
                <v:path arrowok="t"/>
              </v:shape>
            </v:group>
            <w10:wrap type="none"/>
          </v:group>
        </w:pict>
      </w:r>
      <w:r>
        <w:rPr/>
        <w:t>（</w:t>
      </w:r>
      <w:r>
        <w:rPr>
          <w:rFonts w:ascii="Arial Narrow" w:hAnsi="Arial Narrow" w:cs="Arial Narrow" w:eastAsia="Arial Narrow" w:hint="default"/>
        </w:rPr>
        <w:t>1</w:t>
      </w:r>
      <w:r>
        <w:rPr/>
        <w:t>）存货分类</w:t>
      </w:r>
    </w:p>
    <w:p>
      <w:pPr>
        <w:spacing w:line="240" w:lineRule="auto" w:before="12"/>
        <w:rPr>
          <w:rFonts w:ascii="宋体" w:hAnsi="宋体" w:cs="宋体" w:eastAsia="宋体" w:hint="default"/>
          <w:sz w:val="18"/>
          <w:szCs w:val="18"/>
        </w:rPr>
      </w:pPr>
    </w:p>
    <w:tbl>
      <w:tblPr>
        <w:tblW w:w="0" w:type="auto"/>
        <w:jc w:val="left"/>
        <w:tblInd w:w="533" w:type="dxa"/>
        <w:tblLayout w:type="fixed"/>
        <w:tblCellMar>
          <w:top w:w="0" w:type="dxa"/>
          <w:left w:w="0" w:type="dxa"/>
          <w:bottom w:w="0" w:type="dxa"/>
          <w:right w:w="0" w:type="dxa"/>
        </w:tblCellMar>
        <w:tblLook w:val="01E0"/>
      </w:tblPr>
      <w:tblGrid>
        <w:gridCol w:w="1303"/>
        <w:gridCol w:w="3911"/>
        <w:gridCol w:w="2516"/>
      </w:tblGrid>
      <w:tr>
        <w:trPr>
          <w:trHeight w:val="394" w:hRule="exact"/>
        </w:trPr>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3"/>
              <w:ind w:left="28" w:right="0"/>
              <w:jc w:val="left"/>
              <w:rPr>
                <w:rFonts w:ascii="宋体" w:hAnsi="宋体" w:cs="宋体" w:eastAsia="宋体" w:hint="default"/>
                <w:sz w:val="24"/>
                <w:szCs w:val="24"/>
              </w:rPr>
            </w:pPr>
            <w:r>
              <w:rPr>
                <w:rFonts w:ascii="宋体" w:hAnsi="宋体" w:cs="宋体" w:eastAsia="宋体" w:hint="default"/>
                <w:b/>
                <w:bCs/>
                <w:sz w:val="24"/>
                <w:szCs w:val="24"/>
              </w:rPr>
              <w:t>存货种类</w:t>
            </w:r>
            <w:r>
              <w:rPr>
                <w:rFonts w:ascii="宋体" w:hAnsi="宋体" w:cs="宋体" w:eastAsia="宋体" w:hint="default"/>
                <w:sz w:val="24"/>
                <w:szCs w:val="24"/>
              </w:rPr>
            </w:r>
          </w:p>
        </w:tc>
        <w:tc>
          <w:tcPr>
            <w:tcW w:w="39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center"/>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3"/>
              <w:ind w:left="1594"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bl>
    <w:p>
      <w:pPr>
        <w:spacing w:after="0" w:line="240" w:lineRule="auto"/>
        <w:jc w:val="left"/>
        <w:rPr>
          <w:rFonts w:ascii="宋体" w:hAnsi="宋体" w:cs="宋体" w:eastAsia="宋体" w:hint="default"/>
          <w:sz w:val="24"/>
          <w:szCs w:val="24"/>
        </w:rPr>
        <w:sectPr>
          <w:pgSz w:w="11900" w:h="16850"/>
          <w:pgMar w:header="771" w:footer="919" w:top="1640" w:bottom="1100" w:left="1140" w:right="92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57"/>
        <w:gridCol w:w="1224"/>
        <w:gridCol w:w="1447"/>
        <w:gridCol w:w="1302"/>
        <w:gridCol w:w="1302"/>
        <w:gridCol w:w="1303"/>
        <w:gridCol w:w="1304"/>
        <w:gridCol w:w="1257"/>
      </w:tblGrid>
      <w:tr>
        <w:trPr>
          <w:trHeight w:val="654" w:hRule="exact"/>
        </w:trPr>
        <w:tc>
          <w:tcPr>
            <w:tcW w:w="357" w:type="dxa"/>
            <w:tcBorders>
              <w:top w:val="single" w:sz="6" w:space="0" w:color="000000"/>
              <w:left w:val="nil" w:sz="6" w:space="0" w:color="auto"/>
              <w:bottom w:val="nil" w:sz="6" w:space="0" w:color="auto"/>
              <w:right w:val="nil" w:sz="6" w:space="0" w:color="auto"/>
            </w:tcBorders>
          </w:tcPr>
          <w:p>
            <w:pPr/>
          </w:p>
        </w:tc>
        <w:tc>
          <w:tcPr>
            <w:tcW w:w="1224" w:type="dxa"/>
            <w:tcBorders>
              <w:top w:val="single" w:sz="6" w:space="0" w:color="000000"/>
              <w:left w:val="nil" w:sz="6" w:space="0" w:color="auto"/>
              <w:bottom w:val="nil" w:sz="6" w:space="0" w:color="auto"/>
              <w:right w:val="nil" w:sz="6" w:space="0" w:color="auto"/>
            </w:tcBorders>
          </w:tcPr>
          <w:p>
            <w:pPr/>
          </w:p>
        </w:tc>
        <w:tc>
          <w:tcPr>
            <w:tcW w:w="144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5"/>
              <w:jc w:val="right"/>
              <w:rPr>
                <w:rFonts w:ascii="宋体" w:hAnsi="宋体" w:cs="宋体" w:eastAsia="宋体" w:hint="default"/>
                <w:sz w:val="24"/>
                <w:szCs w:val="24"/>
              </w:rPr>
            </w:pPr>
            <w:r>
              <w:rPr>
                <w:rFonts w:ascii="宋体" w:hAnsi="宋体" w:cs="宋体" w:eastAsia="宋体" w:hint="default"/>
                <w:b/>
                <w:bCs/>
                <w:sz w:val="24"/>
                <w:szCs w:val="24"/>
              </w:rPr>
              <w:t>账面余额</w:t>
            </w:r>
            <w:r>
              <w:rPr>
                <w:rFonts w:ascii="宋体" w:hAnsi="宋体" w:cs="宋体" w:eastAsia="宋体" w:hint="default"/>
                <w:sz w:val="24"/>
                <w:szCs w:val="24"/>
              </w:rPr>
            </w:r>
          </w:p>
        </w:tc>
        <w:tc>
          <w:tcPr>
            <w:tcW w:w="130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4"/>
              <w:jc w:val="right"/>
              <w:rPr>
                <w:rFonts w:ascii="宋体" w:hAnsi="宋体" w:cs="宋体" w:eastAsia="宋体" w:hint="default"/>
                <w:sz w:val="24"/>
                <w:szCs w:val="24"/>
              </w:rPr>
            </w:pPr>
            <w:r>
              <w:rPr>
                <w:rFonts w:ascii="宋体" w:hAnsi="宋体" w:cs="宋体" w:eastAsia="宋体" w:hint="default"/>
                <w:b/>
                <w:bCs/>
                <w:sz w:val="24"/>
                <w:szCs w:val="24"/>
              </w:rPr>
              <w:t>跌价准备</w:t>
            </w:r>
            <w:r>
              <w:rPr>
                <w:rFonts w:ascii="宋体" w:hAnsi="宋体" w:cs="宋体" w:eastAsia="宋体" w:hint="default"/>
                <w:sz w:val="24"/>
                <w:szCs w:val="24"/>
              </w:rPr>
            </w:r>
          </w:p>
        </w:tc>
        <w:tc>
          <w:tcPr>
            <w:tcW w:w="1302"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5"/>
              <w:jc w:val="right"/>
              <w:rPr>
                <w:rFonts w:ascii="宋体" w:hAnsi="宋体" w:cs="宋体" w:eastAsia="宋体" w:hint="default"/>
                <w:sz w:val="24"/>
                <w:szCs w:val="24"/>
              </w:rPr>
            </w:pPr>
            <w:r>
              <w:rPr>
                <w:rFonts w:ascii="宋体" w:hAnsi="宋体" w:cs="宋体" w:eastAsia="宋体" w:hint="default"/>
                <w:b/>
                <w:bCs/>
                <w:sz w:val="24"/>
                <w:szCs w:val="24"/>
              </w:rPr>
              <w:t>账面价值</w:t>
            </w:r>
            <w:r>
              <w:rPr>
                <w:rFonts w:ascii="宋体" w:hAnsi="宋体" w:cs="宋体" w:eastAsia="宋体" w:hint="default"/>
                <w:sz w:val="24"/>
                <w:szCs w:val="24"/>
              </w:rPr>
            </w:r>
          </w:p>
        </w:tc>
        <w:tc>
          <w:tcPr>
            <w:tcW w:w="1303"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4"/>
              <w:jc w:val="right"/>
              <w:rPr>
                <w:rFonts w:ascii="宋体" w:hAnsi="宋体" w:cs="宋体" w:eastAsia="宋体" w:hint="default"/>
                <w:sz w:val="24"/>
                <w:szCs w:val="24"/>
              </w:rPr>
            </w:pPr>
            <w:r>
              <w:rPr>
                <w:rFonts w:ascii="宋体" w:hAnsi="宋体" w:cs="宋体" w:eastAsia="宋体" w:hint="default"/>
                <w:b/>
                <w:bCs/>
                <w:sz w:val="24"/>
                <w:szCs w:val="24"/>
              </w:rPr>
              <w:t>账面余额</w:t>
            </w:r>
            <w:r>
              <w:rPr>
                <w:rFonts w:ascii="宋体" w:hAnsi="宋体" w:cs="宋体" w:eastAsia="宋体" w:hint="default"/>
                <w:sz w:val="24"/>
                <w:szCs w:val="24"/>
              </w:rPr>
            </w:r>
          </w:p>
        </w:tc>
        <w:tc>
          <w:tcPr>
            <w:tcW w:w="1304"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6"/>
              <w:jc w:val="right"/>
              <w:rPr>
                <w:rFonts w:ascii="宋体" w:hAnsi="宋体" w:cs="宋体" w:eastAsia="宋体" w:hint="default"/>
                <w:sz w:val="24"/>
                <w:szCs w:val="24"/>
              </w:rPr>
            </w:pPr>
            <w:r>
              <w:rPr>
                <w:rFonts w:ascii="宋体" w:hAnsi="宋体" w:cs="宋体" w:eastAsia="宋体" w:hint="default"/>
                <w:b/>
                <w:bCs/>
                <w:sz w:val="24"/>
                <w:szCs w:val="24"/>
              </w:rPr>
              <w:t>跌价准备</w:t>
            </w:r>
            <w:r>
              <w:rPr>
                <w:rFonts w:ascii="宋体" w:hAnsi="宋体" w:cs="宋体" w:eastAsia="宋体" w:hint="default"/>
                <w:sz w:val="24"/>
                <w:szCs w:val="24"/>
              </w:rPr>
            </w:r>
          </w:p>
        </w:tc>
        <w:tc>
          <w:tcPr>
            <w:tcW w:w="1257"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7"/>
              <w:jc w:val="right"/>
              <w:rPr>
                <w:rFonts w:ascii="宋体" w:hAnsi="宋体" w:cs="宋体" w:eastAsia="宋体" w:hint="default"/>
                <w:sz w:val="24"/>
                <w:szCs w:val="24"/>
              </w:rPr>
            </w:pPr>
            <w:r>
              <w:rPr>
                <w:rFonts w:ascii="宋体" w:hAnsi="宋体" w:cs="宋体" w:eastAsia="宋体" w:hint="default"/>
                <w:b/>
                <w:bCs/>
                <w:sz w:val="24"/>
                <w:szCs w:val="24"/>
              </w:rPr>
              <w:t>账面价值</w:t>
            </w:r>
            <w:r>
              <w:rPr>
                <w:rFonts w:ascii="宋体" w:hAnsi="宋体" w:cs="宋体" w:eastAsia="宋体" w:hint="default"/>
                <w:sz w:val="24"/>
                <w:szCs w:val="24"/>
              </w:rPr>
            </w:r>
          </w:p>
        </w:tc>
      </w:tr>
      <w:tr>
        <w:trPr>
          <w:trHeight w:val="407" w:hRule="exact"/>
        </w:trPr>
        <w:tc>
          <w:tcPr>
            <w:tcW w:w="357"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43"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447"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75"/>
              <w:jc w:val="right"/>
              <w:rPr>
                <w:rFonts w:ascii="Arial Narrow" w:hAnsi="Arial Narrow" w:cs="Arial Narrow" w:eastAsia="Arial Narrow" w:hint="default"/>
                <w:sz w:val="24"/>
                <w:szCs w:val="24"/>
              </w:rPr>
            </w:pPr>
            <w:r>
              <w:rPr>
                <w:rFonts w:ascii="Arial Narrow"/>
                <w:spacing w:val="-1"/>
                <w:sz w:val="24"/>
              </w:rPr>
              <w:t>6,800,446.82</w:t>
            </w:r>
          </w:p>
        </w:tc>
        <w:tc>
          <w:tcPr>
            <w:tcW w:w="1302"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73"/>
              <w:jc w:val="right"/>
              <w:rPr>
                <w:rFonts w:ascii="Arial Narrow" w:hAnsi="Arial Narrow" w:cs="Arial Narrow" w:eastAsia="Arial Narrow" w:hint="default"/>
                <w:sz w:val="24"/>
                <w:szCs w:val="24"/>
              </w:rPr>
            </w:pPr>
            <w:r>
              <w:rPr>
                <w:rFonts w:ascii="Arial Narrow"/>
                <w:spacing w:val="-1"/>
                <w:sz w:val="24"/>
              </w:rPr>
              <w:t>1,838,549.70</w:t>
            </w:r>
          </w:p>
        </w:tc>
        <w:tc>
          <w:tcPr>
            <w:tcW w:w="1302"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76"/>
              <w:jc w:val="right"/>
              <w:rPr>
                <w:rFonts w:ascii="Arial Narrow" w:hAnsi="Arial Narrow" w:cs="Arial Narrow" w:eastAsia="Arial Narrow" w:hint="default"/>
                <w:sz w:val="24"/>
                <w:szCs w:val="24"/>
              </w:rPr>
            </w:pPr>
            <w:r>
              <w:rPr>
                <w:rFonts w:ascii="Arial Narrow"/>
                <w:spacing w:val="-1"/>
                <w:sz w:val="24"/>
              </w:rPr>
              <w:t>4,961,897.12</w:t>
            </w:r>
          </w:p>
        </w:tc>
        <w:tc>
          <w:tcPr>
            <w:tcW w:w="1303"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73"/>
              <w:jc w:val="right"/>
              <w:rPr>
                <w:rFonts w:ascii="Arial Narrow" w:hAnsi="Arial Narrow" w:cs="Arial Narrow" w:eastAsia="Arial Narrow" w:hint="default"/>
                <w:sz w:val="24"/>
                <w:szCs w:val="24"/>
              </w:rPr>
            </w:pPr>
            <w:r>
              <w:rPr>
                <w:rFonts w:ascii="Arial Narrow"/>
                <w:spacing w:val="-1"/>
                <w:sz w:val="24"/>
              </w:rPr>
              <w:t>6,830,188.14</w:t>
            </w:r>
          </w:p>
        </w:tc>
        <w:tc>
          <w:tcPr>
            <w:tcW w:w="1304"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77"/>
              <w:jc w:val="right"/>
              <w:rPr>
                <w:rFonts w:ascii="Arial Narrow" w:hAnsi="Arial Narrow" w:cs="Arial Narrow" w:eastAsia="Arial Narrow" w:hint="default"/>
                <w:sz w:val="24"/>
                <w:szCs w:val="24"/>
              </w:rPr>
            </w:pPr>
            <w:r>
              <w:rPr>
                <w:rFonts w:ascii="Arial Narrow"/>
                <w:spacing w:val="-1"/>
                <w:sz w:val="24"/>
              </w:rPr>
              <w:t>1,417,469.13</w:t>
            </w:r>
          </w:p>
        </w:tc>
        <w:tc>
          <w:tcPr>
            <w:tcW w:w="1257"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5,412,719.01</w:t>
            </w:r>
          </w:p>
        </w:tc>
      </w:tr>
    </w:tbl>
    <w:p>
      <w:pPr>
        <w:pStyle w:val="BodyText"/>
        <w:spacing w:line="240" w:lineRule="auto" w:before="79"/>
        <w:ind w:left="522" w:right="2957"/>
        <w:jc w:val="left"/>
      </w:pPr>
      <w:r>
        <w:rPr/>
        <w:t>说明：库存商品为《中国地理纪行》杂志及相关数据。</w:t>
      </w:r>
    </w:p>
    <w:p>
      <w:pPr>
        <w:pStyle w:val="BodyText"/>
        <w:spacing w:line="240" w:lineRule="auto" w:before="214"/>
        <w:ind w:left="462" w:right="2957"/>
        <w:jc w:val="left"/>
      </w:pPr>
      <w:r>
        <w:rPr/>
        <w:t>（</w:t>
      </w:r>
      <w:r>
        <w:rPr>
          <w:rFonts w:ascii="Arial Narrow" w:hAnsi="Arial Narrow" w:cs="Arial Narrow" w:eastAsia="Arial Narrow" w:hint="default"/>
        </w:rPr>
        <w:t>2</w:t>
      </w:r>
      <w:r>
        <w:rPr/>
        <w:t>）存货跌价准备</w:t>
      </w:r>
    </w:p>
    <w:p>
      <w:pPr>
        <w:spacing w:line="240" w:lineRule="auto" w:before="13"/>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1570"/>
        <w:gridCol w:w="1833"/>
        <w:gridCol w:w="2013"/>
        <w:gridCol w:w="1174"/>
        <w:gridCol w:w="1205"/>
        <w:gridCol w:w="1363"/>
      </w:tblGrid>
      <w:tr>
        <w:trPr>
          <w:trHeight w:val="297" w:hRule="exact"/>
        </w:trPr>
        <w:tc>
          <w:tcPr>
            <w:tcW w:w="1570" w:type="dxa"/>
            <w:tcBorders>
              <w:top w:val="single" w:sz="8" w:space="0" w:color="000000"/>
              <w:left w:val="nil" w:sz="6" w:space="0" w:color="auto"/>
              <w:bottom w:val="nil" w:sz="6" w:space="0" w:color="auto"/>
              <w:right w:val="nil" w:sz="6" w:space="0" w:color="auto"/>
            </w:tcBorders>
          </w:tcPr>
          <w:p>
            <w:pPr/>
          </w:p>
        </w:tc>
        <w:tc>
          <w:tcPr>
            <w:tcW w:w="1833" w:type="dxa"/>
            <w:tcBorders>
              <w:top w:val="single" w:sz="8" w:space="0" w:color="000000"/>
              <w:left w:val="nil" w:sz="6" w:space="0" w:color="auto"/>
              <w:bottom w:val="nil" w:sz="6" w:space="0" w:color="auto"/>
              <w:right w:val="nil" w:sz="6" w:space="0" w:color="auto"/>
            </w:tcBorders>
          </w:tcPr>
          <w:p>
            <w:pPr/>
          </w:p>
        </w:tc>
        <w:tc>
          <w:tcPr>
            <w:tcW w:w="2013" w:type="dxa"/>
            <w:tcBorders>
              <w:top w:val="single" w:sz="8" w:space="0" w:color="000000"/>
              <w:left w:val="nil" w:sz="6" w:space="0" w:color="auto"/>
              <w:bottom w:val="nil" w:sz="6" w:space="0" w:color="auto"/>
              <w:right w:val="nil" w:sz="6" w:space="0" w:color="auto"/>
            </w:tcBorders>
          </w:tcPr>
          <w:p>
            <w:pPr/>
          </w:p>
        </w:tc>
        <w:tc>
          <w:tcPr>
            <w:tcW w:w="1174" w:type="dxa"/>
            <w:tcBorders>
              <w:top w:val="single" w:sz="8" w:space="0" w:color="000000"/>
              <w:left w:val="nil" w:sz="6" w:space="0" w:color="auto"/>
              <w:bottom w:val="nil" w:sz="6" w:space="0" w:color="auto"/>
              <w:right w:val="nil" w:sz="6" w:space="0" w:color="auto"/>
            </w:tcBorders>
          </w:tcPr>
          <w:p>
            <w:pPr>
              <w:pStyle w:val="TableParagraph"/>
              <w:spacing w:line="307" w:lineRule="exact"/>
              <w:ind w:left="57" w:right="0"/>
              <w:jc w:val="lef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205" w:type="dxa"/>
            <w:tcBorders>
              <w:top w:val="single" w:sz="8" w:space="0" w:color="000000"/>
              <w:left w:val="nil" w:sz="6" w:space="0" w:color="auto"/>
              <w:bottom w:val="nil" w:sz="6" w:space="0" w:color="auto"/>
              <w:right w:val="nil" w:sz="6" w:space="0" w:color="auto"/>
            </w:tcBorders>
          </w:tcPr>
          <w:p>
            <w:pPr/>
          </w:p>
        </w:tc>
        <w:tc>
          <w:tcPr>
            <w:tcW w:w="1363" w:type="dxa"/>
            <w:tcBorders>
              <w:top w:val="single" w:sz="8" w:space="0" w:color="000000"/>
              <w:left w:val="nil" w:sz="6" w:space="0" w:color="auto"/>
              <w:bottom w:val="nil" w:sz="6" w:space="0" w:color="auto"/>
              <w:right w:val="nil" w:sz="6" w:space="0" w:color="auto"/>
            </w:tcBorders>
          </w:tcPr>
          <w:p>
            <w:pPr/>
          </w:p>
        </w:tc>
      </w:tr>
      <w:tr>
        <w:trPr>
          <w:trHeight w:val="197" w:hRule="exact"/>
        </w:trPr>
        <w:tc>
          <w:tcPr>
            <w:tcW w:w="1570" w:type="dxa"/>
            <w:tcBorders>
              <w:top w:val="nil" w:sz="6" w:space="0" w:color="auto"/>
              <w:left w:val="nil" w:sz="6" w:space="0" w:color="auto"/>
              <w:bottom w:val="nil" w:sz="6" w:space="0" w:color="auto"/>
              <w:right w:val="nil" w:sz="6" w:space="0" w:color="auto"/>
            </w:tcBorders>
          </w:tcPr>
          <w:p>
            <w:pPr>
              <w:pStyle w:val="TableParagraph"/>
              <w:spacing w:line="220"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存货种类</w:t>
            </w:r>
            <w:r>
              <w:rPr>
                <w:rFonts w:ascii="宋体" w:hAnsi="宋体" w:cs="宋体" w:eastAsia="宋体" w:hint="default"/>
                <w:sz w:val="24"/>
                <w:szCs w:val="24"/>
              </w:rPr>
            </w:r>
          </w:p>
        </w:tc>
        <w:tc>
          <w:tcPr>
            <w:tcW w:w="1833" w:type="dxa"/>
            <w:tcBorders>
              <w:top w:val="nil" w:sz="6" w:space="0" w:color="auto"/>
              <w:left w:val="nil" w:sz="6" w:space="0" w:color="auto"/>
              <w:bottom w:val="nil" w:sz="6" w:space="0" w:color="auto"/>
              <w:right w:val="nil" w:sz="6" w:space="0" w:color="auto"/>
            </w:tcBorders>
          </w:tcPr>
          <w:p>
            <w:pPr>
              <w:pStyle w:val="TableParagraph"/>
              <w:spacing w:line="220" w:lineRule="exact"/>
              <w:ind w:right="117"/>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2013" w:type="dxa"/>
            <w:tcBorders>
              <w:top w:val="nil" w:sz="6" w:space="0" w:color="auto"/>
              <w:left w:val="nil" w:sz="6" w:space="0" w:color="auto"/>
              <w:bottom w:val="nil" w:sz="6" w:space="0" w:color="auto"/>
              <w:right w:val="nil" w:sz="6" w:space="0" w:color="auto"/>
            </w:tcBorders>
          </w:tcPr>
          <w:p>
            <w:pPr>
              <w:pStyle w:val="TableParagraph"/>
              <w:spacing w:line="220" w:lineRule="exact"/>
              <w:ind w:right="687"/>
              <w:jc w:val="right"/>
              <w:rPr>
                <w:rFonts w:ascii="宋体" w:hAnsi="宋体" w:cs="宋体" w:eastAsia="宋体" w:hint="default"/>
                <w:sz w:val="24"/>
                <w:szCs w:val="24"/>
              </w:rPr>
            </w:pPr>
            <w:r>
              <w:rPr>
                <w:rFonts w:ascii="宋体" w:hAnsi="宋体" w:cs="宋体" w:eastAsia="宋体" w:hint="default"/>
                <w:b/>
                <w:bCs/>
                <w:w w:val="95"/>
                <w:sz w:val="24"/>
                <w:szCs w:val="24"/>
              </w:rPr>
              <w:t>本期计提额</w:t>
            </w:r>
            <w:r>
              <w:rPr>
                <w:rFonts w:ascii="宋体" w:hAnsi="宋体" w:cs="宋体" w:eastAsia="宋体" w:hint="default"/>
                <w:sz w:val="24"/>
                <w:szCs w:val="24"/>
              </w:rPr>
            </w:r>
          </w:p>
        </w:tc>
        <w:tc>
          <w:tcPr>
            <w:tcW w:w="1174"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20" w:lineRule="exact"/>
              <w:ind w:right="27"/>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r>
      <w:tr>
        <w:trPr>
          <w:trHeight w:val="297" w:hRule="exact"/>
        </w:trPr>
        <w:tc>
          <w:tcPr>
            <w:tcW w:w="1570" w:type="dxa"/>
            <w:tcBorders>
              <w:top w:val="nil" w:sz="6" w:space="0" w:color="auto"/>
              <w:left w:val="nil" w:sz="6" w:space="0" w:color="auto"/>
              <w:bottom w:val="single" w:sz="4" w:space="0" w:color="000000"/>
              <w:right w:val="nil" w:sz="6" w:space="0" w:color="auto"/>
            </w:tcBorders>
          </w:tcPr>
          <w:p>
            <w:pPr/>
          </w:p>
        </w:tc>
        <w:tc>
          <w:tcPr>
            <w:tcW w:w="1833" w:type="dxa"/>
            <w:tcBorders>
              <w:top w:val="nil" w:sz="6" w:space="0" w:color="auto"/>
              <w:left w:val="nil" w:sz="6" w:space="0" w:color="auto"/>
              <w:bottom w:val="single" w:sz="4" w:space="0" w:color="000000"/>
              <w:right w:val="nil" w:sz="6" w:space="0" w:color="auto"/>
            </w:tcBorders>
          </w:tcPr>
          <w:p>
            <w:pPr/>
          </w:p>
        </w:tc>
        <w:tc>
          <w:tcPr>
            <w:tcW w:w="2013" w:type="dxa"/>
            <w:tcBorders>
              <w:top w:val="nil" w:sz="6" w:space="0" w:color="auto"/>
              <w:left w:val="nil" w:sz="6" w:space="0" w:color="auto"/>
              <w:bottom w:val="single" w:sz="4" w:space="0" w:color="000000"/>
              <w:right w:val="nil" w:sz="6" w:space="0" w:color="auto"/>
            </w:tcBorders>
          </w:tcPr>
          <w:p>
            <w:pPr/>
          </w:p>
        </w:tc>
        <w:tc>
          <w:tcPr>
            <w:tcW w:w="1174" w:type="dxa"/>
            <w:tcBorders>
              <w:top w:val="nil" w:sz="6" w:space="0" w:color="auto"/>
              <w:left w:val="nil" w:sz="6" w:space="0" w:color="auto"/>
              <w:bottom w:val="single" w:sz="4" w:space="0" w:color="000000"/>
              <w:right w:val="nil" w:sz="6" w:space="0" w:color="auto"/>
            </w:tcBorders>
          </w:tcPr>
          <w:p>
            <w:pPr>
              <w:pStyle w:val="TableParagraph"/>
              <w:spacing w:line="218" w:lineRule="exact"/>
              <w:ind w:left="271" w:right="0"/>
              <w:jc w:val="left"/>
              <w:rPr>
                <w:rFonts w:ascii="宋体" w:hAnsi="宋体" w:cs="宋体" w:eastAsia="宋体" w:hint="default"/>
                <w:sz w:val="24"/>
                <w:szCs w:val="24"/>
              </w:rPr>
            </w:pPr>
            <w:r>
              <w:rPr>
                <w:rFonts w:ascii="宋体" w:hAnsi="宋体" w:cs="宋体" w:eastAsia="宋体" w:hint="default"/>
                <w:b/>
                <w:bCs/>
                <w:sz w:val="24"/>
                <w:szCs w:val="24"/>
              </w:rPr>
              <w:t>转回</w:t>
            </w:r>
            <w:r>
              <w:rPr>
                <w:rFonts w:ascii="宋体" w:hAnsi="宋体" w:cs="宋体" w:eastAsia="宋体" w:hint="default"/>
                <w:sz w:val="24"/>
                <w:szCs w:val="24"/>
              </w:rPr>
            </w:r>
          </w:p>
        </w:tc>
        <w:tc>
          <w:tcPr>
            <w:tcW w:w="1205" w:type="dxa"/>
            <w:tcBorders>
              <w:top w:val="nil" w:sz="6" w:space="0" w:color="auto"/>
              <w:left w:val="nil" w:sz="6" w:space="0" w:color="auto"/>
              <w:bottom w:val="single" w:sz="4" w:space="0" w:color="000000"/>
              <w:right w:val="nil" w:sz="6" w:space="0" w:color="auto"/>
            </w:tcBorders>
          </w:tcPr>
          <w:p>
            <w:pPr>
              <w:pStyle w:val="TableParagraph"/>
              <w:spacing w:line="218" w:lineRule="exact"/>
              <w:ind w:right="180"/>
              <w:jc w:val="right"/>
              <w:rPr>
                <w:rFonts w:ascii="宋体" w:hAnsi="宋体" w:cs="宋体" w:eastAsia="宋体" w:hint="default"/>
                <w:sz w:val="24"/>
                <w:szCs w:val="24"/>
              </w:rPr>
            </w:pPr>
            <w:r>
              <w:rPr>
                <w:rFonts w:ascii="宋体" w:hAnsi="宋体" w:cs="宋体" w:eastAsia="宋体" w:hint="default"/>
                <w:b/>
                <w:bCs/>
                <w:sz w:val="24"/>
                <w:szCs w:val="24"/>
              </w:rPr>
              <w:t>转销</w:t>
            </w:r>
            <w:r>
              <w:rPr>
                <w:rFonts w:ascii="宋体" w:hAnsi="宋体" w:cs="宋体" w:eastAsia="宋体" w:hint="default"/>
                <w:sz w:val="24"/>
                <w:szCs w:val="24"/>
              </w:rPr>
            </w:r>
          </w:p>
        </w:tc>
        <w:tc>
          <w:tcPr>
            <w:tcW w:w="1363" w:type="dxa"/>
            <w:tcBorders>
              <w:top w:val="nil" w:sz="6" w:space="0" w:color="auto"/>
              <w:left w:val="nil" w:sz="6" w:space="0" w:color="auto"/>
              <w:bottom w:val="single" w:sz="4" w:space="0" w:color="000000"/>
              <w:right w:val="nil" w:sz="6" w:space="0" w:color="auto"/>
            </w:tcBorders>
          </w:tcPr>
          <w:p>
            <w:pPr/>
          </w:p>
        </w:tc>
      </w:tr>
      <w:tr>
        <w:trPr>
          <w:trHeight w:val="403" w:hRule="exact"/>
        </w:trPr>
        <w:tc>
          <w:tcPr>
            <w:tcW w:w="1570"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83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16"/>
              <w:jc w:val="right"/>
              <w:rPr>
                <w:rFonts w:ascii="Arial Narrow" w:hAnsi="Arial Narrow" w:cs="Arial Narrow" w:eastAsia="Arial Narrow" w:hint="default"/>
                <w:sz w:val="24"/>
                <w:szCs w:val="24"/>
              </w:rPr>
            </w:pPr>
            <w:r>
              <w:rPr>
                <w:rFonts w:ascii="Arial Narrow"/>
                <w:spacing w:val="-1"/>
                <w:sz w:val="24"/>
              </w:rPr>
              <w:t>1,417,469.13</w:t>
            </w:r>
          </w:p>
        </w:tc>
        <w:tc>
          <w:tcPr>
            <w:tcW w:w="201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686"/>
              <w:jc w:val="right"/>
              <w:rPr>
                <w:rFonts w:ascii="Arial Narrow" w:hAnsi="Arial Narrow" w:cs="Arial Narrow" w:eastAsia="Arial Narrow" w:hint="default"/>
                <w:sz w:val="24"/>
                <w:szCs w:val="24"/>
              </w:rPr>
            </w:pPr>
            <w:r>
              <w:rPr>
                <w:rFonts w:ascii="Arial Narrow"/>
                <w:spacing w:val="-1"/>
                <w:sz w:val="24"/>
              </w:rPr>
              <w:t>421,542.01</w:t>
            </w:r>
          </w:p>
        </w:tc>
        <w:tc>
          <w:tcPr>
            <w:tcW w:w="117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269" w:right="0"/>
              <w:jc w:val="center"/>
              <w:rPr>
                <w:rFonts w:ascii="Arial Narrow" w:hAnsi="Arial Narrow" w:cs="Arial Narrow" w:eastAsia="Arial Narrow" w:hint="default"/>
                <w:sz w:val="24"/>
                <w:szCs w:val="24"/>
              </w:rPr>
            </w:pPr>
            <w:r>
              <w:rPr>
                <w:rFonts w:ascii="Arial Narrow"/>
                <w:sz w:val="24"/>
              </w:rPr>
              <w:t>-</w:t>
            </w:r>
          </w:p>
        </w:tc>
        <w:tc>
          <w:tcPr>
            <w:tcW w:w="120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82"/>
              <w:jc w:val="right"/>
              <w:rPr>
                <w:rFonts w:ascii="Arial Narrow" w:hAnsi="Arial Narrow" w:cs="Arial Narrow" w:eastAsia="Arial Narrow" w:hint="default"/>
                <w:sz w:val="24"/>
                <w:szCs w:val="24"/>
              </w:rPr>
            </w:pPr>
            <w:r>
              <w:rPr>
                <w:rFonts w:ascii="Arial Narrow"/>
                <w:spacing w:val="-1"/>
                <w:sz w:val="24"/>
              </w:rPr>
              <w:t>461.44</w:t>
            </w:r>
          </w:p>
        </w:tc>
        <w:tc>
          <w:tcPr>
            <w:tcW w:w="136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1,838,549.70</w:t>
            </w:r>
          </w:p>
        </w:tc>
      </w:tr>
    </w:tbl>
    <w:p>
      <w:pPr>
        <w:pStyle w:val="BodyText"/>
        <w:spacing w:line="240" w:lineRule="auto" w:before="79"/>
        <w:ind w:left="522" w:right="2957"/>
        <w:jc w:val="left"/>
      </w:pPr>
      <w:r>
        <w:rPr/>
        <w:t>存货跌价准备（续）</w:t>
      </w:r>
    </w:p>
    <w:p>
      <w:pPr>
        <w:spacing w:line="240" w:lineRule="auto" w:before="6"/>
        <w:rPr>
          <w:rFonts w:ascii="宋体" w:hAnsi="宋体" w:cs="宋体" w:eastAsia="宋体" w:hint="default"/>
          <w:sz w:val="19"/>
          <w:szCs w:val="19"/>
        </w:rPr>
      </w:pPr>
    </w:p>
    <w:tbl>
      <w:tblPr>
        <w:tblW w:w="0" w:type="auto"/>
        <w:jc w:val="left"/>
        <w:tblInd w:w="507" w:type="dxa"/>
        <w:tblLayout w:type="fixed"/>
        <w:tblCellMar>
          <w:top w:w="0" w:type="dxa"/>
          <w:left w:w="0" w:type="dxa"/>
          <w:bottom w:w="0" w:type="dxa"/>
          <w:right w:w="0" w:type="dxa"/>
        </w:tblCellMar>
        <w:tblLook w:val="01E0"/>
      </w:tblPr>
      <w:tblGrid>
        <w:gridCol w:w="1685"/>
        <w:gridCol w:w="2496"/>
        <w:gridCol w:w="2390"/>
        <w:gridCol w:w="2579"/>
      </w:tblGrid>
      <w:tr>
        <w:trPr>
          <w:trHeight w:val="984" w:hRule="exact"/>
        </w:trPr>
        <w:tc>
          <w:tcPr>
            <w:tcW w:w="1685"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b/>
                <w:bCs/>
                <w:sz w:val="21"/>
                <w:szCs w:val="21"/>
              </w:rPr>
              <w:t>存货种类</w:t>
            </w:r>
            <w:r>
              <w:rPr>
                <w:rFonts w:ascii="宋体" w:hAnsi="宋体" w:cs="宋体" w:eastAsia="宋体" w:hint="default"/>
                <w:sz w:val="21"/>
                <w:szCs w:val="21"/>
              </w:rPr>
            </w:r>
          </w:p>
        </w:tc>
        <w:tc>
          <w:tcPr>
            <w:tcW w:w="2496" w:type="dxa"/>
            <w:tcBorders>
              <w:top w:val="single" w:sz="8" w:space="0" w:color="000000"/>
              <w:left w:val="nil" w:sz="6" w:space="0" w:color="auto"/>
              <w:bottom w:val="single" w:sz="4" w:space="0" w:color="000000"/>
              <w:right w:val="nil" w:sz="6" w:space="0" w:color="auto"/>
            </w:tcBorders>
          </w:tcPr>
          <w:p>
            <w:pPr>
              <w:pStyle w:val="TableParagraph"/>
              <w:spacing w:line="240" w:lineRule="auto" w:before="177"/>
              <w:ind w:left="720" w:right="508"/>
              <w:jc w:val="left"/>
              <w:rPr>
                <w:rFonts w:ascii="宋体" w:hAnsi="宋体" w:cs="宋体" w:eastAsia="宋体" w:hint="default"/>
                <w:sz w:val="21"/>
                <w:szCs w:val="21"/>
              </w:rPr>
            </w:pPr>
            <w:r>
              <w:rPr>
                <w:rFonts w:ascii="宋体" w:hAnsi="宋体" w:cs="宋体" w:eastAsia="宋体" w:hint="default"/>
                <w:b/>
                <w:bCs/>
                <w:sz w:val="21"/>
                <w:szCs w:val="21"/>
              </w:rPr>
              <w:t>计提存货跌价</w:t>
            </w:r>
            <w:r>
              <w:rPr>
                <w:rFonts w:ascii="宋体" w:hAnsi="宋体" w:cs="宋体" w:eastAsia="宋体" w:hint="default"/>
                <w:b/>
                <w:bCs/>
                <w:spacing w:val="-104"/>
                <w:sz w:val="21"/>
                <w:szCs w:val="21"/>
              </w:rPr>
              <w:t> </w:t>
            </w:r>
            <w:r>
              <w:rPr>
                <w:rFonts w:ascii="宋体" w:hAnsi="宋体" w:cs="宋体" w:eastAsia="宋体" w:hint="default"/>
                <w:b/>
                <w:bCs/>
                <w:sz w:val="21"/>
                <w:szCs w:val="21"/>
              </w:rPr>
              <w:t>准备的依据</w:t>
            </w:r>
            <w:r>
              <w:rPr>
                <w:rFonts w:ascii="宋体" w:hAnsi="宋体" w:cs="宋体" w:eastAsia="宋体" w:hint="default"/>
                <w:sz w:val="21"/>
                <w:szCs w:val="21"/>
              </w:rPr>
            </w:r>
          </w:p>
        </w:tc>
        <w:tc>
          <w:tcPr>
            <w:tcW w:w="2390" w:type="dxa"/>
            <w:tcBorders>
              <w:top w:val="single" w:sz="8" w:space="0" w:color="000000"/>
              <w:left w:val="nil" w:sz="6" w:space="0" w:color="auto"/>
              <w:bottom w:val="single" w:sz="4" w:space="0" w:color="000000"/>
              <w:right w:val="nil" w:sz="6" w:space="0" w:color="auto"/>
            </w:tcBorders>
          </w:tcPr>
          <w:p>
            <w:pPr>
              <w:pStyle w:val="TableParagraph"/>
              <w:spacing w:line="240" w:lineRule="auto" w:before="177"/>
              <w:ind w:left="508" w:right="400"/>
              <w:jc w:val="left"/>
              <w:rPr>
                <w:rFonts w:ascii="宋体" w:hAnsi="宋体" w:cs="宋体" w:eastAsia="宋体" w:hint="default"/>
                <w:sz w:val="21"/>
                <w:szCs w:val="21"/>
              </w:rPr>
            </w:pPr>
            <w:r>
              <w:rPr>
                <w:rFonts w:ascii="宋体" w:hAnsi="宋体" w:cs="宋体" w:eastAsia="宋体" w:hint="default"/>
                <w:b/>
                <w:bCs/>
                <w:sz w:val="21"/>
                <w:szCs w:val="21"/>
              </w:rPr>
              <w:t>本期转回存货</w:t>
            </w:r>
            <w:r>
              <w:rPr>
                <w:rFonts w:ascii="宋体" w:hAnsi="宋体" w:cs="宋体" w:eastAsia="宋体" w:hint="default"/>
                <w:b/>
                <w:bCs/>
                <w:spacing w:val="-104"/>
                <w:sz w:val="21"/>
                <w:szCs w:val="21"/>
              </w:rPr>
              <w:t> </w:t>
            </w:r>
            <w:r>
              <w:rPr>
                <w:rFonts w:ascii="宋体" w:hAnsi="宋体" w:cs="宋体" w:eastAsia="宋体" w:hint="default"/>
                <w:b/>
                <w:bCs/>
                <w:sz w:val="21"/>
                <w:szCs w:val="21"/>
              </w:rPr>
              <w:t>跌价准备的原因</w:t>
            </w:r>
            <w:r>
              <w:rPr>
                <w:rFonts w:ascii="宋体" w:hAnsi="宋体" w:cs="宋体" w:eastAsia="宋体" w:hint="default"/>
                <w:sz w:val="21"/>
                <w:szCs w:val="21"/>
              </w:rPr>
            </w:r>
          </w:p>
        </w:tc>
        <w:tc>
          <w:tcPr>
            <w:tcW w:w="2579" w:type="dxa"/>
            <w:tcBorders>
              <w:top w:val="single" w:sz="8" w:space="0" w:color="000000"/>
              <w:left w:val="nil" w:sz="6" w:space="0" w:color="auto"/>
              <w:bottom w:val="single" w:sz="4" w:space="0" w:color="000000"/>
              <w:right w:val="nil" w:sz="6" w:space="0" w:color="auto"/>
            </w:tcBorders>
          </w:tcPr>
          <w:p>
            <w:pPr>
              <w:pStyle w:val="TableParagraph"/>
              <w:spacing w:line="237" w:lineRule="auto" w:before="45"/>
              <w:ind w:left="402" w:right="696"/>
              <w:jc w:val="left"/>
              <w:rPr>
                <w:rFonts w:ascii="Arial Narrow" w:hAnsi="Arial Narrow" w:cs="Arial Narrow" w:eastAsia="Arial Narrow" w:hint="default"/>
                <w:sz w:val="21"/>
                <w:szCs w:val="21"/>
              </w:rPr>
            </w:pPr>
            <w:r>
              <w:rPr>
                <w:rFonts w:ascii="宋体" w:hAnsi="宋体" w:cs="宋体" w:eastAsia="宋体" w:hint="default"/>
                <w:b/>
                <w:bCs/>
                <w:sz w:val="21"/>
                <w:szCs w:val="21"/>
              </w:rPr>
              <w:t>本期转回金额占</w:t>
            </w:r>
            <w:r>
              <w:rPr>
                <w:rFonts w:ascii="宋体" w:hAnsi="宋体" w:cs="宋体" w:eastAsia="宋体" w:hint="default"/>
                <w:b/>
                <w:bCs/>
                <w:spacing w:val="-104"/>
                <w:sz w:val="21"/>
                <w:szCs w:val="21"/>
              </w:rPr>
              <w:t> </w:t>
            </w:r>
            <w:r>
              <w:rPr>
                <w:rFonts w:ascii="宋体" w:hAnsi="宋体" w:cs="宋体" w:eastAsia="宋体" w:hint="default"/>
                <w:b/>
                <w:bCs/>
                <w:sz w:val="21"/>
                <w:szCs w:val="21"/>
              </w:rPr>
              <w:t>该项存货期末</w:t>
            </w:r>
            <w:r>
              <w:rPr>
                <w:rFonts w:ascii="宋体" w:hAnsi="宋体" w:cs="宋体" w:eastAsia="宋体" w:hint="default"/>
                <w:b/>
                <w:bCs/>
                <w:spacing w:val="-104"/>
                <w:sz w:val="21"/>
                <w:szCs w:val="21"/>
              </w:rPr>
              <w:t> </w:t>
            </w:r>
            <w:r>
              <w:rPr>
                <w:rFonts w:ascii="宋体" w:hAnsi="宋体" w:cs="宋体" w:eastAsia="宋体" w:hint="default"/>
                <w:b/>
                <w:bCs/>
                <w:sz w:val="21"/>
                <w:szCs w:val="21"/>
              </w:rPr>
              <w:t>余额的比例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641" w:hRule="exact"/>
        </w:trPr>
        <w:tc>
          <w:tcPr>
            <w:tcW w:w="1685" w:type="dxa"/>
            <w:tcBorders>
              <w:top w:val="single" w:sz="4" w:space="0" w:color="000000"/>
              <w:left w:val="nil" w:sz="6" w:space="0" w:color="auto"/>
              <w:bottom w:val="single" w:sz="8" w:space="0" w:color="000000"/>
              <w:right w:val="nil" w:sz="6" w:space="0" w:color="auto"/>
            </w:tcBorders>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4886" w:type="dxa"/>
            <w:gridSpan w:val="2"/>
            <w:tcBorders>
              <w:top w:val="single" w:sz="4" w:space="0" w:color="000000"/>
              <w:left w:val="nil" w:sz="6" w:space="0" w:color="auto"/>
              <w:bottom w:val="single" w:sz="8" w:space="0" w:color="000000"/>
              <w:right w:val="nil" w:sz="6" w:space="0" w:color="auto"/>
            </w:tcBorders>
          </w:tcPr>
          <w:p>
            <w:pPr>
              <w:pStyle w:val="TableParagraph"/>
              <w:spacing w:line="272" w:lineRule="exact" w:before="34"/>
              <w:ind w:left="720" w:right="2232"/>
              <w:jc w:val="left"/>
              <w:rPr>
                <w:rFonts w:ascii="宋体" w:hAnsi="宋体" w:cs="宋体" w:eastAsia="宋体" w:hint="default"/>
                <w:sz w:val="21"/>
                <w:szCs w:val="21"/>
              </w:rPr>
            </w:pPr>
            <w:r>
              <w:rPr>
                <w:rFonts w:ascii="宋体" w:hAnsi="宋体" w:cs="宋体" w:eastAsia="宋体" w:hint="default"/>
                <w:spacing w:val="2"/>
                <w:sz w:val="21"/>
                <w:szCs w:val="21"/>
              </w:rPr>
              <w:t>按照可变现净值与账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面价值的差额计提</w:t>
            </w:r>
          </w:p>
        </w:tc>
        <w:tc>
          <w:tcPr>
            <w:tcW w:w="2579"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80"/>
        <w:ind w:left="102" w:right="2957"/>
        <w:jc w:val="left"/>
      </w:pPr>
      <w:r>
        <w:rPr>
          <w:rFonts w:ascii="Arial Narrow" w:hAnsi="Arial Narrow" w:cs="Arial Narrow" w:eastAsia="Arial Narrow" w:hint="default"/>
        </w:rPr>
        <w:t>8</w:t>
      </w:r>
      <w:r>
        <w:rPr/>
        <w:t>、长期应收款</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4798"/>
        <w:gridCol w:w="2509"/>
        <w:gridCol w:w="1740"/>
      </w:tblGrid>
      <w:tr>
        <w:trPr>
          <w:trHeight w:val="391" w:hRule="exact"/>
        </w:trPr>
        <w:tc>
          <w:tcPr>
            <w:tcW w:w="4798" w:type="dxa"/>
            <w:tcBorders>
              <w:top w:val="single" w:sz="8" w:space="0" w:color="000000"/>
              <w:left w:val="nil" w:sz="6" w:space="0" w:color="auto"/>
              <w:bottom w:val="single" w:sz="4" w:space="0" w:color="000000"/>
              <w:right w:val="nil" w:sz="6" w:space="0" w:color="auto"/>
            </w:tcBorders>
          </w:tcPr>
          <w:p>
            <w:pPr>
              <w:pStyle w:val="TableParagraph"/>
              <w:tabs>
                <w:tab w:pos="554" w:val="left" w:leader="none"/>
              </w:tabs>
              <w:spacing w:line="307" w:lineRule="exact"/>
              <w:ind w:left="76"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50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596"/>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174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6"/>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398" w:hRule="exact"/>
        </w:trPr>
        <w:tc>
          <w:tcPr>
            <w:tcW w:w="4798" w:type="dxa"/>
            <w:tcBorders>
              <w:top w:val="single" w:sz="4" w:space="0" w:color="000000"/>
              <w:left w:val="nil" w:sz="6" w:space="0" w:color="auto"/>
              <w:bottom w:val="nil" w:sz="6" w:space="0" w:color="auto"/>
              <w:right w:val="nil" w:sz="6" w:space="0" w:color="auto"/>
            </w:tcBorders>
          </w:tcPr>
          <w:p>
            <w:pPr>
              <w:pStyle w:val="TableParagraph"/>
              <w:spacing w:line="312" w:lineRule="exact"/>
              <w:ind w:left="76" w:right="0"/>
              <w:jc w:val="left"/>
              <w:rPr>
                <w:rFonts w:ascii="宋体" w:hAnsi="宋体" w:cs="宋体" w:eastAsia="宋体" w:hint="default"/>
                <w:sz w:val="24"/>
                <w:szCs w:val="24"/>
              </w:rPr>
            </w:pPr>
            <w:r>
              <w:rPr>
                <w:rFonts w:ascii="宋体" w:hAnsi="宋体" w:cs="宋体" w:eastAsia="宋体" w:hint="default"/>
                <w:sz w:val="24"/>
                <w:szCs w:val="24"/>
              </w:rPr>
              <w:t>长期房屋租赁押金、电话权押金</w:t>
            </w:r>
          </w:p>
        </w:tc>
        <w:tc>
          <w:tcPr>
            <w:tcW w:w="25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93"/>
              <w:jc w:val="right"/>
              <w:rPr>
                <w:rFonts w:ascii="Arial Narrow" w:hAnsi="Arial Narrow" w:cs="Arial Narrow" w:eastAsia="Arial Narrow" w:hint="default"/>
                <w:sz w:val="24"/>
                <w:szCs w:val="24"/>
              </w:rPr>
            </w:pPr>
            <w:r>
              <w:rPr>
                <w:rFonts w:ascii="Arial Narrow"/>
                <w:spacing w:val="-1"/>
                <w:sz w:val="24"/>
              </w:rPr>
              <w:t>1,136,420.89</w:t>
            </w:r>
          </w:p>
        </w:tc>
        <w:tc>
          <w:tcPr>
            <w:tcW w:w="17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pacing w:val="-2"/>
                <w:sz w:val="24"/>
              </w:rPr>
              <w:t>1,110,339.89</w:t>
            </w:r>
          </w:p>
        </w:tc>
      </w:tr>
      <w:tr>
        <w:trPr>
          <w:trHeight w:val="409" w:hRule="exact"/>
        </w:trPr>
        <w:tc>
          <w:tcPr>
            <w:tcW w:w="4798" w:type="dxa"/>
            <w:tcBorders>
              <w:top w:val="nil" w:sz="6" w:space="0" w:color="auto"/>
              <w:left w:val="nil" w:sz="6" w:space="0" w:color="auto"/>
              <w:bottom w:val="nil" w:sz="6" w:space="0" w:color="auto"/>
              <w:right w:val="nil" w:sz="6" w:space="0" w:color="auto"/>
            </w:tcBorders>
          </w:tcPr>
          <w:p>
            <w:pPr>
              <w:pStyle w:val="TableParagraph"/>
              <w:spacing w:line="313" w:lineRule="exact"/>
              <w:ind w:left="314" w:right="0"/>
              <w:jc w:val="left"/>
              <w:rPr>
                <w:rFonts w:ascii="宋体" w:hAnsi="宋体" w:cs="宋体" w:eastAsia="宋体" w:hint="default"/>
                <w:sz w:val="24"/>
                <w:szCs w:val="24"/>
              </w:rPr>
            </w:pPr>
            <w:r>
              <w:rPr>
                <w:rFonts w:ascii="宋体" w:hAnsi="宋体" w:cs="宋体" w:eastAsia="宋体" w:hint="default"/>
                <w:sz w:val="24"/>
                <w:szCs w:val="24"/>
              </w:rPr>
              <w:t>其中：未实现融资收益</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92"/>
              <w:jc w:val="right"/>
              <w:rPr>
                <w:rFonts w:ascii="Arial Narrow" w:hAnsi="Arial Narrow" w:cs="Arial Narrow" w:eastAsia="Arial Narrow" w:hint="default"/>
                <w:sz w:val="24"/>
                <w:szCs w:val="24"/>
              </w:rPr>
            </w:pPr>
            <w:r>
              <w:rPr>
                <w:rFonts w:ascii="Arial Narrow"/>
                <w:sz w:val="24"/>
              </w:rPr>
              <w:t>-</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Arial Narrow" w:hAnsi="Arial Narrow" w:cs="Arial Narrow" w:eastAsia="Arial Narrow" w:hint="default"/>
                <w:sz w:val="24"/>
                <w:szCs w:val="24"/>
              </w:rPr>
            </w:pPr>
            <w:r>
              <w:rPr>
                <w:rFonts w:ascii="Arial Narrow"/>
                <w:sz w:val="24"/>
              </w:rPr>
              <w:t>-</w:t>
            </w:r>
          </w:p>
        </w:tc>
      </w:tr>
      <w:tr>
        <w:trPr>
          <w:trHeight w:val="431" w:hRule="exact"/>
        </w:trPr>
        <w:tc>
          <w:tcPr>
            <w:tcW w:w="479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6" w:right="0"/>
              <w:jc w:val="left"/>
              <w:rPr>
                <w:rFonts w:ascii="宋体" w:hAnsi="宋体" w:cs="宋体" w:eastAsia="宋体" w:hint="default"/>
                <w:sz w:val="24"/>
                <w:szCs w:val="24"/>
              </w:rPr>
            </w:pPr>
            <w:r>
              <w:rPr>
                <w:rFonts w:ascii="宋体" w:hAnsi="宋体" w:cs="宋体" w:eastAsia="宋体" w:hint="default"/>
                <w:sz w:val="24"/>
                <w:szCs w:val="24"/>
              </w:rPr>
              <w:t>西安市数字化</w:t>
            </w:r>
            <w:r>
              <w:rPr>
                <w:rFonts w:ascii="Arial Narrow" w:hAnsi="Arial Narrow" w:cs="Arial Narrow" w:eastAsia="Arial Narrow" w:hint="default"/>
                <w:sz w:val="24"/>
                <w:szCs w:val="24"/>
              </w:rPr>
              <w:t>“</w:t>
            </w:r>
            <w:r>
              <w:rPr>
                <w:rFonts w:ascii="宋体" w:hAnsi="宋体" w:cs="宋体" w:eastAsia="宋体" w:hint="default"/>
                <w:sz w:val="24"/>
                <w:szCs w:val="24"/>
              </w:rPr>
              <w:t>城市管理</w:t>
            </w:r>
            <w:r>
              <w:rPr>
                <w:rFonts w:ascii="Arial Narrow" w:hAnsi="Arial Narrow" w:cs="Arial Narrow" w:eastAsia="Arial Narrow" w:hint="default"/>
                <w:sz w:val="24"/>
                <w:szCs w:val="24"/>
              </w:rPr>
              <w:t>”</w:t>
            </w:r>
            <w:r>
              <w:rPr>
                <w:rFonts w:ascii="宋体" w:hAnsi="宋体" w:cs="宋体" w:eastAsia="宋体" w:hint="default"/>
                <w:sz w:val="24"/>
                <w:szCs w:val="24"/>
              </w:rPr>
              <w:t>信息系统开发</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93"/>
              <w:jc w:val="right"/>
              <w:rPr>
                <w:rFonts w:ascii="Arial Narrow" w:hAnsi="Arial Narrow" w:cs="Arial Narrow" w:eastAsia="Arial Narrow" w:hint="default"/>
                <w:sz w:val="24"/>
                <w:szCs w:val="24"/>
              </w:rPr>
            </w:pPr>
            <w:r>
              <w:rPr>
                <w:rFonts w:ascii="Arial Narrow"/>
                <w:spacing w:val="-2"/>
                <w:sz w:val="24"/>
              </w:rPr>
              <w:t>28,388,119.66</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5"/>
              <w:jc w:val="right"/>
              <w:rPr>
                <w:rFonts w:ascii="Arial Narrow" w:hAnsi="Arial Narrow" w:cs="Arial Narrow" w:eastAsia="Arial Narrow" w:hint="default"/>
                <w:sz w:val="24"/>
                <w:szCs w:val="24"/>
              </w:rPr>
            </w:pPr>
            <w:r>
              <w:rPr>
                <w:rFonts w:ascii="Arial Narrow"/>
                <w:sz w:val="24"/>
              </w:rPr>
              <w:t>-</w:t>
            </w:r>
          </w:p>
        </w:tc>
      </w:tr>
      <w:tr>
        <w:trPr>
          <w:trHeight w:val="412" w:hRule="exact"/>
        </w:trPr>
        <w:tc>
          <w:tcPr>
            <w:tcW w:w="479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14" w:right="0"/>
              <w:jc w:val="left"/>
              <w:rPr>
                <w:rFonts w:ascii="宋体" w:hAnsi="宋体" w:cs="宋体" w:eastAsia="宋体" w:hint="default"/>
                <w:sz w:val="24"/>
                <w:szCs w:val="24"/>
              </w:rPr>
            </w:pPr>
            <w:r>
              <w:rPr>
                <w:rFonts w:ascii="宋体" w:hAnsi="宋体" w:cs="宋体" w:eastAsia="宋体" w:hint="default"/>
                <w:sz w:val="24"/>
                <w:szCs w:val="24"/>
              </w:rPr>
              <w:t>其中：未实现融资收益</w:t>
            </w:r>
          </w:p>
        </w:tc>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93"/>
              <w:jc w:val="right"/>
              <w:rPr>
                <w:rFonts w:ascii="Arial Narrow" w:hAnsi="Arial Narrow" w:cs="Arial Narrow" w:eastAsia="Arial Narrow" w:hint="default"/>
                <w:sz w:val="24"/>
                <w:szCs w:val="24"/>
              </w:rPr>
            </w:pPr>
            <w:r>
              <w:rPr>
                <w:rFonts w:ascii="Arial Narrow"/>
                <w:spacing w:val="-1"/>
                <w:sz w:val="24"/>
              </w:rPr>
              <w:t>2,129,681.68</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05"/>
              <w:jc w:val="right"/>
              <w:rPr>
                <w:rFonts w:ascii="Arial Narrow" w:hAnsi="Arial Narrow" w:cs="Arial Narrow" w:eastAsia="Arial Narrow" w:hint="default"/>
                <w:sz w:val="24"/>
                <w:szCs w:val="24"/>
              </w:rPr>
            </w:pPr>
            <w:r>
              <w:rPr>
                <w:rFonts w:ascii="Arial Narrow"/>
                <w:sz w:val="24"/>
              </w:rPr>
              <w:t>-</w:t>
            </w:r>
          </w:p>
        </w:tc>
      </w:tr>
      <w:tr>
        <w:trPr>
          <w:trHeight w:val="400" w:hRule="exact"/>
        </w:trPr>
        <w:tc>
          <w:tcPr>
            <w:tcW w:w="4798" w:type="dxa"/>
            <w:tcBorders>
              <w:top w:val="nil" w:sz="6" w:space="0" w:color="auto"/>
              <w:left w:val="nil" w:sz="6" w:space="0" w:color="auto"/>
              <w:bottom w:val="single" w:sz="4" w:space="0" w:color="000000"/>
              <w:right w:val="nil" w:sz="6" w:space="0" w:color="auto"/>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减：</w:t>
            </w: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年内到期的长期应收款</w:t>
            </w:r>
          </w:p>
        </w:tc>
        <w:tc>
          <w:tcPr>
            <w:tcW w:w="250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92"/>
              <w:jc w:val="right"/>
              <w:rPr>
                <w:rFonts w:ascii="Arial Narrow" w:hAnsi="Arial Narrow" w:cs="Arial Narrow" w:eastAsia="Arial Narrow" w:hint="default"/>
                <w:sz w:val="24"/>
                <w:szCs w:val="24"/>
              </w:rPr>
            </w:pPr>
            <w:r>
              <w:rPr>
                <w:rFonts w:ascii="Arial Narrow"/>
                <w:sz w:val="24"/>
              </w:rPr>
              <w:t>-</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5"/>
              <w:jc w:val="right"/>
              <w:rPr>
                <w:rFonts w:ascii="Arial Narrow" w:hAnsi="Arial Narrow" w:cs="Arial Narrow" w:eastAsia="Arial Narrow" w:hint="default"/>
                <w:sz w:val="24"/>
                <w:szCs w:val="24"/>
              </w:rPr>
            </w:pPr>
            <w:r>
              <w:rPr>
                <w:rFonts w:ascii="Arial Narrow"/>
                <w:sz w:val="24"/>
              </w:rPr>
              <w:t>-</w:t>
            </w:r>
          </w:p>
        </w:tc>
      </w:tr>
      <w:tr>
        <w:trPr>
          <w:trHeight w:val="404" w:hRule="exact"/>
        </w:trPr>
        <w:tc>
          <w:tcPr>
            <w:tcW w:w="4798" w:type="dxa"/>
            <w:tcBorders>
              <w:top w:val="single" w:sz="4" w:space="0" w:color="000000"/>
              <w:left w:val="nil" w:sz="6" w:space="0" w:color="auto"/>
              <w:bottom w:val="single" w:sz="8" w:space="0" w:color="000000"/>
              <w:right w:val="nil" w:sz="6" w:space="0" w:color="auto"/>
            </w:tcBorders>
          </w:tcPr>
          <w:p>
            <w:pPr>
              <w:pStyle w:val="TableParagraph"/>
              <w:tabs>
                <w:tab w:pos="496" w:val="left" w:leader="none"/>
              </w:tabs>
              <w:spacing w:line="313" w:lineRule="exact"/>
              <w:ind w:left="14"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509"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493"/>
              <w:jc w:val="right"/>
              <w:rPr>
                <w:rFonts w:ascii="Arial Narrow" w:hAnsi="Arial Narrow" w:cs="Arial Narrow" w:eastAsia="Arial Narrow" w:hint="default"/>
                <w:sz w:val="24"/>
                <w:szCs w:val="24"/>
              </w:rPr>
            </w:pPr>
            <w:r>
              <w:rPr>
                <w:rFonts w:ascii="Arial Narrow"/>
                <w:b/>
                <w:spacing w:val="-1"/>
                <w:sz w:val="24"/>
              </w:rPr>
              <w:t>27,394,858.87</w:t>
            </w:r>
            <w:r>
              <w:rPr>
                <w:rFonts w:ascii="Arial Narrow"/>
                <w:spacing w:val="-1"/>
                <w:sz w:val="24"/>
              </w:rPr>
            </w:r>
          </w:p>
        </w:tc>
        <w:tc>
          <w:tcPr>
            <w:tcW w:w="1740"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b/>
                <w:spacing w:val="-2"/>
                <w:sz w:val="24"/>
              </w:rPr>
              <w:t>1,110,339.89</w:t>
            </w:r>
            <w:r>
              <w:rPr>
                <w:rFonts w:ascii="Arial Narrow"/>
                <w:spacing w:val="-2"/>
                <w:sz w:val="24"/>
              </w:rPr>
            </w:r>
          </w:p>
        </w:tc>
      </w:tr>
    </w:tbl>
    <w:p>
      <w:pPr>
        <w:pStyle w:val="BodyText"/>
        <w:spacing w:line="310" w:lineRule="exact" w:before="112"/>
        <w:ind w:left="522" w:right="189"/>
        <w:jc w:val="both"/>
      </w:pPr>
      <w:r>
        <w:rPr>
          <w:spacing w:val="-8"/>
        </w:rPr>
        <w:t>说明：</w:t>
      </w:r>
      <w:r>
        <w:rPr>
          <w:rFonts w:ascii="Arial Narrow" w:hAnsi="Arial Narrow" w:cs="Arial Narrow" w:eastAsia="Arial Narrow" w:hint="default"/>
          <w:spacing w:val="-8"/>
        </w:rPr>
        <w:t>2011 </w:t>
      </w:r>
      <w:r>
        <w:rPr/>
        <w:t>年 </w:t>
      </w:r>
      <w:r>
        <w:rPr>
          <w:rFonts w:ascii="Arial Narrow" w:hAnsi="Arial Narrow" w:cs="Arial Narrow" w:eastAsia="Arial Narrow" w:hint="default"/>
        </w:rPr>
        <w:t>7</w:t>
      </w:r>
      <w:r>
        <w:rPr>
          <w:rFonts w:ascii="Arial Narrow" w:hAnsi="Arial Narrow" w:cs="Arial Narrow" w:eastAsia="Arial Narrow" w:hint="default"/>
          <w:spacing w:val="-27"/>
        </w:rPr>
        <w:t> </w:t>
      </w:r>
      <w:r>
        <w:rPr>
          <w:spacing w:val="-3"/>
        </w:rPr>
        <w:t>月，本公司与西安市城市管理综合行政执法局签订《西安市数字化</w:t>
      </w:r>
      <w:r>
        <w:rPr>
          <w:rFonts w:ascii="Arial Narrow" w:hAnsi="Arial Narrow" w:cs="Arial Narrow" w:eastAsia="Arial Narrow" w:hint="default"/>
          <w:spacing w:val="-3"/>
        </w:rPr>
        <w:t>“</w:t>
      </w:r>
      <w:r>
        <w:rPr>
          <w:spacing w:val="-3"/>
        </w:rPr>
        <w:t>城市</w:t>
      </w:r>
      <w:r>
        <w:rPr/>
        <w:t> </w:t>
      </w:r>
      <w:r>
        <w:rPr>
          <w:spacing w:val="-8"/>
          <w:w w:val="100"/>
        </w:rPr>
        <w:t>管理</w:t>
      </w:r>
      <w:r>
        <w:rPr>
          <w:rFonts w:ascii="Arial Narrow" w:hAnsi="Arial Narrow" w:cs="Arial Narrow" w:eastAsia="Arial Narrow" w:hint="default"/>
          <w:spacing w:val="-8"/>
          <w:w w:val="100"/>
        </w:rPr>
        <w:t>”</w:t>
      </w:r>
      <w:r>
        <w:rPr>
          <w:spacing w:val="-8"/>
          <w:w w:val="100"/>
        </w:rPr>
        <w:t>信息系统供货合同》，合同总价</w:t>
      </w:r>
      <w:r>
        <w:rPr>
          <w:w w:val="100"/>
        </w:rPr>
        <w:t> </w:t>
      </w:r>
      <w:r>
        <w:rPr>
          <w:rFonts w:ascii="Arial Narrow" w:hAnsi="Arial Narrow" w:cs="Arial Narrow" w:eastAsia="Arial Narrow" w:hint="default"/>
          <w:spacing w:val="-1"/>
        </w:rPr>
        <w:t>34,959,300.00</w:t>
      </w:r>
      <w:r>
        <w:rPr>
          <w:rFonts w:ascii="Arial Narrow" w:hAnsi="Arial Narrow" w:cs="Arial Narrow" w:eastAsia="Arial Narrow" w:hint="default"/>
          <w:spacing w:val="43"/>
        </w:rPr>
        <w:t> </w:t>
      </w:r>
      <w:r>
        <w:rPr>
          <w:spacing w:val="-1"/>
        </w:rPr>
        <w:t>元。对方分别于项目初步验收通过之</w:t>
      </w:r>
    </w:p>
    <w:p>
      <w:pPr>
        <w:pStyle w:val="BodyText"/>
        <w:spacing w:line="291" w:lineRule="exact"/>
        <w:ind w:left="522" w:right="0"/>
        <w:jc w:val="both"/>
      </w:pPr>
      <w:r>
        <w:rPr/>
        <w:t>日起 </w:t>
      </w:r>
      <w:r>
        <w:rPr>
          <w:rFonts w:ascii="Arial Narrow" w:hAnsi="Arial Narrow" w:cs="Arial Narrow" w:eastAsia="Arial Narrow" w:hint="default"/>
        </w:rPr>
        <w:t>20</w:t>
      </w:r>
      <w:r>
        <w:rPr>
          <w:rFonts w:ascii="Arial Narrow" w:hAnsi="Arial Narrow" w:cs="Arial Narrow" w:eastAsia="Arial Narrow" w:hint="default"/>
          <w:spacing w:val="29"/>
        </w:rPr>
        <w:t> </w:t>
      </w:r>
      <w:r>
        <w:rPr/>
        <w:t>个工作日内、首次付款后第二年同月份、首次付款后第三年同月份、首次付款</w:t>
      </w:r>
    </w:p>
    <w:p>
      <w:pPr>
        <w:pStyle w:val="BodyText"/>
        <w:spacing w:line="312" w:lineRule="exact"/>
        <w:ind w:left="522" w:right="0"/>
        <w:jc w:val="both"/>
      </w:pPr>
      <w:r>
        <w:rPr/>
        <w:t>后第四年同月份、首次付款后第五年同月份向本公司支付 </w:t>
      </w:r>
      <w:r>
        <w:rPr>
          <w:rFonts w:ascii="Arial Narrow" w:hAnsi="Arial Narrow" w:cs="Arial Narrow" w:eastAsia="Arial Narrow" w:hint="default"/>
        </w:rPr>
        <w:t>6,991,860.00 </w:t>
      </w:r>
      <w:r>
        <w:rPr>
          <w:rFonts w:ascii="Arial Narrow" w:hAnsi="Arial Narrow" w:cs="Arial Narrow" w:eastAsia="Arial Narrow" w:hint="default"/>
          <w:spacing w:val="2"/>
        </w:rPr>
        <w:t> </w:t>
      </w:r>
      <w:r>
        <w:rPr/>
        <w:t>元。系统通过初</w:t>
      </w:r>
    </w:p>
    <w:p>
      <w:pPr>
        <w:pStyle w:val="BodyText"/>
        <w:spacing w:line="225" w:lineRule="auto" w:before="7"/>
        <w:ind w:left="522" w:right="186"/>
        <w:jc w:val="both"/>
      </w:pPr>
      <w:r>
        <w:rPr/>
        <w:t>验并投入运行起，第一年免费维护，第二年起年度维护费用为 </w:t>
      </w:r>
      <w:r>
        <w:rPr>
          <w:rFonts w:ascii="Arial Narrow" w:hAnsi="Arial Narrow" w:cs="Arial Narrow" w:eastAsia="Arial Narrow" w:hint="default"/>
        </w:rPr>
        <w:t>1,745,200.00</w:t>
      </w:r>
      <w:r>
        <w:rPr>
          <w:rFonts w:ascii="Arial Narrow" w:hAnsi="Arial Narrow" w:cs="Arial Narrow" w:eastAsia="Arial Narrow" w:hint="default"/>
          <w:spacing w:val="5"/>
        </w:rPr>
        <w:t> </w:t>
      </w:r>
      <w:r>
        <w:rPr/>
        <w:t>元。根据陕 西省</w:t>
      </w:r>
      <w:r>
        <w:rPr>
          <w:spacing w:val="-68"/>
        </w:rPr>
        <w:t> </w:t>
      </w:r>
      <w:r>
        <w:rPr>
          <w:rFonts w:ascii="Arial Narrow" w:hAnsi="Arial Narrow" w:cs="Arial Narrow" w:eastAsia="Arial Narrow" w:hint="default"/>
          <w:spacing w:val="-4"/>
        </w:rPr>
        <w:t>2011</w:t>
      </w:r>
      <w:r>
        <w:rPr>
          <w:rFonts w:ascii="Arial Narrow" w:hAnsi="Arial Narrow" w:cs="Arial Narrow" w:eastAsia="Arial Narrow" w:hint="default"/>
          <w:spacing w:val="-1"/>
        </w:rPr>
        <w:t> </w:t>
      </w:r>
      <w:r>
        <w:rPr/>
        <w:t>年地方政府债券利率确定，本项目内部报酬率为</w:t>
      </w:r>
      <w:r>
        <w:rPr>
          <w:spacing w:val="-66"/>
        </w:rPr>
        <w:t> </w:t>
      </w:r>
      <w:r>
        <w:rPr>
          <w:rFonts w:ascii="Arial Narrow" w:hAnsi="Arial Narrow" w:cs="Arial Narrow" w:eastAsia="Arial Narrow" w:hint="default"/>
        </w:rPr>
        <w:t>3.84%</w:t>
      </w:r>
      <w:r>
        <w:rPr/>
        <w:t>，应确认的未实现融资 收益为</w:t>
      </w:r>
      <w:r>
        <w:rPr>
          <w:spacing w:val="-63"/>
        </w:rPr>
        <w:t> </w:t>
      </w:r>
      <w:r>
        <w:rPr>
          <w:rFonts w:ascii="Arial Narrow" w:hAnsi="Arial Narrow" w:cs="Arial Narrow" w:eastAsia="Arial Narrow" w:hint="default"/>
        </w:rPr>
        <w:t>2,129,681.68</w:t>
      </w:r>
      <w:r>
        <w:rPr>
          <w:rFonts w:ascii="Arial Narrow" w:hAnsi="Arial Narrow" w:cs="Arial Narrow" w:eastAsia="Arial Narrow" w:hint="default"/>
          <w:spacing w:val="5"/>
        </w:rPr>
        <w:t> </w:t>
      </w:r>
      <w:r>
        <w:rPr>
          <w:spacing w:val="-3"/>
        </w:rPr>
        <w:t>元。</w:t>
      </w:r>
      <w:r>
        <w:rPr/>
      </w:r>
    </w:p>
    <w:p>
      <w:pPr>
        <w:pStyle w:val="BodyText"/>
        <w:spacing w:line="240" w:lineRule="auto" w:before="200"/>
        <w:ind w:left="522" w:right="0"/>
        <w:jc w:val="both"/>
      </w:pPr>
      <w:r>
        <w:rPr/>
        <w:t>长期应收款的账龄分析如下：</w:t>
      </w:r>
    </w:p>
    <w:p>
      <w:pPr>
        <w:spacing w:line="240" w:lineRule="auto" w:before="4"/>
        <w:rPr>
          <w:rFonts w:ascii="宋体" w:hAnsi="宋体" w:cs="宋体" w:eastAsia="宋体" w:hint="default"/>
          <w:sz w:val="19"/>
          <w:szCs w:val="19"/>
        </w:rPr>
      </w:pPr>
    </w:p>
    <w:p>
      <w:pPr>
        <w:spacing w:line="20" w:lineRule="exact"/>
        <w:ind w:left="404" w:right="0" w:firstLine="0"/>
        <w:rPr>
          <w:rFonts w:ascii="宋体" w:hAnsi="宋体" w:cs="宋体" w:eastAsia="宋体" w:hint="default"/>
          <w:sz w:val="2"/>
          <w:szCs w:val="2"/>
        </w:rPr>
      </w:pPr>
      <w:r>
        <w:rPr>
          <w:rFonts w:ascii="宋体" w:hAnsi="宋体" w:cs="宋体" w:eastAsia="宋体" w:hint="default"/>
          <w:sz w:val="2"/>
          <w:szCs w:val="2"/>
        </w:rPr>
        <w:pict>
          <v:group style="width:459.6pt;height:1pt;mso-position-horizontal-relative:char;mso-position-vertical-relative:line" coordorigin="0,0" coordsize="9192,20">
            <v:group style="position:absolute;left:10;top:10;width:1344;height:2" coordorigin="10,10" coordsize="1344,2">
              <v:shape style="position:absolute;left:10;top:10;width:1344;height:2" coordorigin="10,10" coordsize="1344,0" path="m10,10l1354,10e" filled="false" stroked="true" strokeweight=".96002pt" strokecolor="#000000">
                <v:path arrowok="t"/>
              </v:shape>
            </v:group>
            <v:group style="position:absolute;left:1354;top:10;width:20;height:2" coordorigin="1354,10" coordsize="20,2">
              <v:shape style="position:absolute;left:1354;top:10;width:20;height:2" coordorigin="1354,10" coordsize="20,0" path="m1354,10l1373,10e" filled="false" stroked="true" strokeweight=".96002pt" strokecolor="#000000">
                <v:path arrowok="t"/>
              </v:shape>
            </v:group>
            <v:group style="position:absolute;left:1373;top:10;width:3829;height:2" coordorigin="1373,10" coordsize="3829,2">
              <v:shape style="position:absolute;left:1373;top:10;width:3829;height:2" coordorigin="1373,10" coordsize="3829,0" path="m1373,10l5202,10e" filled="false" stroked="true" strokeweight=".96002pt" strokecolor="#000000">
                <v:path arrowok="t"/>
              </v:shape>
            </v:group>
            <v:group style="position:absolute;left:5202;top:10;width:20;height:2" coordorigin="5202,10" coordsize="20,2">
              <v:shape style="position:absolute;left:5202;top:10;width:20;height:2" coordorigin="5202,10" coordsize="20,0" path="m5202,10l5221,10e" filled="false" stroked="true" strokeweight=".96002pt" strokecolor="#000000">
                <v:path arrowok="t"/>
              </v:shape>
            </v:group>
            <v:group style="position:absolute;left:5221;top:10;width:3961;height:2" coordorigin="5221,10" coordsize="3961,2">
              <v:shape style="position:absolute;left:5221;top:10;width:3961;height:2" coordorigin="5221,10" coordsize="3961,0" path="m5221,10l9182,10e" filled="false" stroked="true" strokeweight=".96002pt" strokecolor="#000000">
                <v:path arrowok="t"/>
              </v:shape>
            </v:group>
          </v:group>
        </w:pict>
      </w:r>
      <w:r>
        <w:rPr>
          <w:rFonts w:ascii="宋体" w:hAnsi="宋体" w:cs="宋体" w:eastAsia="宋体" w:hint="default"/>
          <w:sz w:val="2"/>
          <w:szCs w:val="2"/>
        </w:rPr>
      </w:r>
    </w:p>
    <w:p>
      <w:pPr>
        <w:tabs>
          <w:tab w:pos="7279" w:val="left" w:leader="none"/>
        </w:tabs>
        <w:spacing w:before="30"/>
        <w:ind w:left="3364" w:right="136" w:firstLine="0"/>
        <w:jc w:val="left"/>
        <w:rPr>
          <w:rFonts w:ascii="宋体" w:hAnsi="宋体" w:cs="宋体" w:eastAsia="宋体" w:hint="default"/>
          <w:sz w:val="21"/>
          <w:szCs w:val="21"/>
        </w:rPr>
      </w:pPr>
      <w:r>
        <w:rPr>
          <w:rFonts w:ascii="宋体" w:hAnsi="宋体" w:cs="宋体" w:eastAsia="宋体" w:hint="default"/>
          <w:b/>
          <w:bCs/>
          <w:sz w:val="21"/>
          <w:szCs w:val="21"/>
        </w:rPr>
        <w:t>期末数</w:t>
        <w:tab/>
        <w:t>期初数</w:t>
      </w:r>
      <w:r>
        <w:rPr>
          <w:rFonts w:ascii="宋体" w:hAnsi="宋体" w:cs="宋体" w:eastAsia="宋体" w:hint="default"/>
          <w:sz w:val="21"/>
          <w:szCs w:val="21"/>
        </w:rPr>
      </w:r>
    </w:p>
    <w:tbl>
      <w:tblPr>
        <w:tblW w:w="0" w:type="auto"/>
        <w:jc w:val="left"/>
        <w:tblInd w:w="414" w:type="dxa"/>
        <w:tblLayout w:type="fixed"/>
        <w:tblCellMar>
          <w:top w:w="0" w:type="dxa"/>
          <w:left w:w="0" w:type="dxa"/>
          <w:bottom w:w="0" w:type="dxa"/>
          <w:right w:w="0" w:type="dxa"/>
        </w:tblCellMar>
        <w:tblLook w:val="01E0"/>
      </w:tblPr>
      <w:tblGrid>
        <w:gridCol w:w="1373"/>
        <w:gridCol w:w="1460"/>
        <w:gridCol w:w="984"/>
        <w:gridCol w:w="1592"/>
        <w:gridCol w:w="1464"/>
        <w:gridCol w:w="730"/>
        <w:gridCol w:w="1570"/>
      </w:tblGrid>
      <w:tr>
        <w:trPr>
          <w:trHeight w:val="508" w:hRule="exact"/>
        </w:trPr>
        <w:tc>
          <w:tcPr>
            <w:tcW w:w="1373"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197"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账</w:t>
              <w:tab/>
              <w:t>龄</w:t>
            </w:r>
            <w:r>
              <w:rPr>
                <w:rFonts w:ascii="宋体" w:hAnsi="宋体" w:cs="宋体" w:eastAsia="宋体" w:hint="default"/>
                <w:sz w:val="21"/>
                <w:szCs w:val="21"/>
              </w:rPr>
            </w:r>
          </w:p>
        </w:tc>
        <w:tc>
          <w:tcPr>
            <w:tcW w:w="1460"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45"/>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984"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259"/>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322"/>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45"/>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730"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7"/>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570"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0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05" w:hRule="exact"/>
        </w:trPr>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宋体" w:hAnsi="宋体" w:cs="宋体" w:eastAsia="宋体" w:hint="default"/>
                <w:sz w:val="21"/>
                <w:szCs w:val="21"/>
              </w:rPr>
              <w:t>未到收款期</w:t>
            </w: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43"/>
              <w:jc w:val="right"/>
              <w:rPr>
                <w:rFonts w:ascii="Arial Narrow" w:hAnsi="Arial Narrow" w:cs="Arial Narrow" w:eastAsia="Arial Narrow" w:hint="default"/>
                <w:sz w:val="21"/>
                <w:szCs w:val="21"/>
              </w:rPr>
            </w:pPr>
            <w:r>
              <w:rPr>
                <w:rFonts w:ascii="Arial Narrow"/>
                <w:spacing w:val="-1"/>
                <w:sz w:val="21"/>
              </w:rPr>
              <w:t>26,258,437.98</w:t>
            </w:r>
            <w:r>
              <w:rPr>
                <w:rFonts w:ascii="Arial Narrow"/>
                <w:sz w:val="21"/>
              </w:rPr>
            </w: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262"/>
              <w:jc w:val="right"/>
              <w:rPr>
                <w:rFonts w:ascii="Arial Narrow" w:hAnsi="Arial Narrow" w:cs="Arial Narrow" w:eastAsia="Arial Narrow" w:hint="default"/>
                <w:sz w:val="21"/>
                <w:szCs w:val="21"/>
              </w:rPr>
            </w:pPr>
            <w:r>
              <w:rPr>
                <w:rFonts w:ascii="Arial Narrow"/>
                <w:spacing w:val="-1"/>
                <w:sz w:val="21"/>
              </w:rPr>
              <w:t>95.85</w:t>
            </w:r>
            <w:r>
              <w:rPr>
                <w:rFonts w:ascii="Arial Narrow"/>
                <w:sz w:val="21"/>
              </w:rPr>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21"/>
              <w:jc w:val="right"/>
              <w:rPr>
                <w:rFonts w:ascii="Arial Narrow" w:hAnsi="Arial Narrow" w:cs="Arial Narrow" w:eastAsia="Arial Narrow" w:hint="default"/>
                <w:sz w:val="21"/>
                <w:szCs w:val="21"/>
              </w:rPr>
            </w:pPr>
            <w:r>
              <w:rPr>
                <w:rFonts w:ascii="Arial Narrow"/>
                <w:spacing w:val="-1"/>
                <w:sz w:val="21"/>
              </w:rPr>
              <w:t>1,312,921.90</w:t>
            </w:r>
            <w:r>
              <w:rPr>
                <w:rFonts w:ascii="Arial Narrow"/>
                <w:sz w:val="21"/>
              </w:rPr>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45"/>
              <w:jc w:val="right"/>
              <w:rPr>
                <w:rFonts w:ascii="Arial Narrow" w:hAnsi="Arial Narrow" w:cs="Arial Narrow" w:eastAsia="Arial Narrow" w:hint="default"/>
                <w:sz w:val="21"/>
                <w:szCs w:val="21"/>
              </w:rPr>
            </w:pPr>
            <w:r>
              <w:rPr>
                <w:rFonts w:ascii="Arial Narrow"/>
                <w:w w:val="100"/>
                <w:sz w:val="21"/>
              </w:rPr>
              <w:t>-</w:t>
            </w:r>
          </w:p>
        </w:tc>
        <w:tc>
          <w:tcPr>
            <w:tcW w:w="730" w:type="dxa"/>
            <w:tcBorders>
              <w:top w:val="single" w:sz="4" w:space="0" w:color="000000"/>
              <w:left w:val="nil" w:sz="6" w:space="0" w:color="auto"/>
              <w:bottom w:val="nil" w:sz="6" w:space="0" w:color="auto"/>
              <w:right w:val="nil" w:sz="6" w:space="0" w:color="auto"/>
            </w:tcBorders>
          </w:tcPr>
          <w:p>
            <w:pPr/>
          </w:p>
        </w:tc>
        <w:tc>
          <w:tcPr>
            <w:tcW w:w="1570" w:type="dxa"/>
            <w:tcBorders>
              <w:top w:val="single" w:sz="4" w:space="0" w:color="000000"/>
              <w:left w:val="nil" w:sz="6" w:space="0" w:color="auto"/>
              <w:bottom w:val="nil" w:sz="6" w:space="0" w:color="auto"/>
              <w:right w:val="nil" w:sz="6" w:space="0" w:color="auto"/>
            </w:tcBorders>
          </w:tcPr>
          <w:p>
            <w:pPr>
              <w:pStyle w:val="TableParagraph"/>
              <w:tabs>
                <w:tab w:pos="1394" w:val="left" w:leader="none"/>
              </w:tabs>
              <w:spacing w:line="240" w:lineRule="auto" w:before="60"/>
              <w:ind w:right="106"/>
              <w:jc w:val="right"/>
              <w:rPr>
                <w:rFonts w:ascii="Arial Narrow" w:hAnsi="Arial Narrow" w:cs="Arial Narrow" w:eastAsia="Arial Narrow" w:hint="default"/>
                <w:sz w:val="21"/>
                <w:szCs w:val="21"/>
              </w:rPr>
            </w:pPr>
            <w:r>
              <w:rPr>
                <w:rFonts w:ascii="Arial Narrow"/>
                <w:sz w:val="21"/>
              </w:rPr>
              <w:t>-</w:t>
              <w:tab/>
              <w:t>-</w:t>
            </w:r>
          </w:p>
        </w:tc>
      </w:tr>
      <w:tr>
        <w:trPr>
          <w:trHeight w:val="411" w:hRule="exact"/>
        </w:trPr>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3"/>
              <w:jc w:val="right"/>
              <w:rPr>
                <w:rFonts w:ascii="Arial Narrow" w:hAnsi="Arial Narrow" w:cs="Arial Narrow" w:eastAsia="Arial Narrow" w:hint="default"/>
                <w:sz w:val="21"/>
                <w:szCs w:val="21"/>
              </w:rPr>
            </w:pPr>
            <w:r>
              <w:rPr>
                <w:rFonts w:ascii="Arial Narrow"/>
                <w:spacing w:val="-1"/>
                <w:sz w:val="21"/>
              </w:rPr>
              <w:t>1,136,420.89</w:t>
            </w:r>
            <w:r>
              <w:rPr>
                <w:rFonts w:ascii="Arial Narrow"/>
                <w:sz w:val="21"/>
              </w:rPr>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2"/>
              <w:jc w:val="right"/>
              <w:rPr>
                <w:rFonts w:ascii="Arial Narrow" w:hAnsi="Arial Narrow" w:cs="Arial Narrow" w:eastAsia="Arial Narrow" w:hint="default"/>
                <w:sz w:val="21"/>
                <w:szCs w:val="21"/>
              </w:rPr>
            </w:pPr>
            <w:r>
              <w:rPr>
                <w:rFonts w:ascii="Arial Narrow"/>
                <w:spacing w:val="-1"/>
                <w:sz w:val="21"/>
              </w:rPr>
              <w:t>4.15</w:t>
            </w:r>
            <w:r>
              <w:rPr>
                <w:rFonts w:ascii="Arial Narrow"/>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22"/>
              <w:jc w:val="right"/>
              <w:rPr>
                <w:rFonts w:ascii="Arial Narrow" w:hAnsi="Arial Narrow" w:cs="Arial Narrow" w:eastAsia="Arial Narrow" w:hint="default"/>
                <w:sz w:val="21"/>
                <w:szCs w:val="21"/>
              </w:rPr>
            </w:pPr>
            <w:r>
              <w:rPr>
                <w:rFonts w:ascii="Arial Narrow"/>
                <w:w w:val="100"/>
                <w:sz w:val="21"/>
              </w:rPr>
              <w:t>-</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1"/>
              <w:jc w:val="right"/>
              <w:rPr>
                <w:rFonts w:ascii="Arial Narrow" w:hAnsi="Arial Narrow" w:cs="Arial Narrow" w:eastAsia="Arial Narrow" w:hint="default"/>
                <w:sz w:val="21"/>
                <w:szCs w:val="21"/>
              </w:rPr>
            </w:pPr>
            <w:r>
              <w:rPr>
                <w:rFonts w:ascii="Arial Narrow"/>
                <w:spacing w:val="-2"/>
                <w:sz w:val="21"/>
              </w:rPr>
              <w:t>1,110,339.89</w:t>
            </w: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7"/>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21"/>
                <w:szCs w:val="21"/>
              </w:rPr>
            </w:pPr>
            <w:r>
              <w:rPr>
                <w:rFonts w:ascii="Arial Narrow"/>
                <w:w w:val="100"/>
                <w:sz w:val="21"/>
              </w:rPr>
              <w:t>-</w:t>
            </w:r>
          </w:p>
        </w:tc>
      </w:tr>
    </w:tbl>
    <w:p>
      <w:pPr>
        <w:spacing w:after="0" w:line="240" w:lineRule="auto"/>
        <w:jc w:val="right"/>
        <w:rPr>
          <w:rFonts w:ascii="Arial Narrow" w:hAnsi="Arial Narrow" w:cs="Arial Narrow" w:eastAsia="Arial Narrow" w:hint="default"/>
          <w:sz w:val="21"/>
          <w:szCs w:val="21"/>
        </w:rPr>
        <w:sectPr>
          <w:pgSz w:w="11900" w:h="16850"/>
          <w:pgMar w:header="771" w:footer="919" w:top="1640" w:bottom="1100" w:left="1180" w:right="940"/>
        </w:sectPr>
      </w:pPr>
    </w:p>
    <w:p>
      <w:pPr>
        <w:spacing w:line="240" w:lineRule="auto" w:before="3"/>
        <w:rPr>
          <w:rFonts w:ascii="宋体" w:hAnsi="宋体" w:cs="宋体" w:eastAsia="宋体" w:hint="default"/>
          <w:b/>
          <w:bCs/>
          <w:sz w:val="5"/>
          <w:szCs w:val="5"/>
        </w:rPr>
      </w:pPr>
    </w:p>
    <w:tbl>
      <w:tblPr>
        <w:tblW w:w="0" w:type="auto"/>
        <w:jc w:val="left"/>
        <w:tblInd w:w="454" w:type="dxa"/>
        <w:tblLayout w:type="fixed"/>
        <w:tblCellMar>
          <w:top w:w="0" w:type="dxa"/>
          <w:left w:w="0" w:type="dxa"/>
          <w:bottom w:w="0" w:type="dxa"/>
          <w:right w:w="0" w:type="dxa"/>
        </w:tblCellMar>
        <w:tblLook w:val="01E0"/>
      </w:tblPr>
      <w:tblGrid>
        <w:gridCol w:w="1163"/>
        <w:gridCol w:w="1813"/>
        <w:gridCol w:w="839"/>
        <w:gridCol w:w="1592"/>
        <w:gridCol w:w="1489"/>
        <w:gridCol w:w="1403"/>
        <w:gridCol w:w="873"/>
      </w:tblGrid>
      <w:tr>
        <w:trPr>
          <w:trHeight w:val="684" w:hRule="exact"/>
        </w:trPr>
        <w:tc>
          <w:tcPr>
            <w:tcW w:w="1163"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1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421" w:right="0"/>
              <w:jc w:val="left"/>
              <w:rPr>
                <w:rFonts w:ascii="Arial Narrow" w:hAnsi="Arial Narrow" w:cs="Arial Narrow" w:eastAsia="Arial Narrow" w:hint="default"/>
                <w:sz w:val="21"/>
                <w:szCs w:val="21"/>
              </w:rPr>
            </w:pPr>
            <w:r>
              <w:rPr>
                <w:rFonts w:ascii="Arial Narrow"/>
                <w:b/>
                <w:sz w:val="21"/>
              </w:rPr>
              <w:t>27,394,858.87</w:t>
            </w:r>
            <w:r>
              <w:rPr>
                <w:rFonts w:ascii="Arial Narrow"/>
                <w:sz w:val="21"/>
              </w:rPr>
            </w:r>
          </w:p>
        </w:tc>
        <w:tc>
          <w:tcPr>
            <w:tcW w:w="83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288" w:right="0"/>
              <w:jc w:val="left"/>
              <w:rPr>
                <w:rFonts w:ascii="Arial Narrow" w:hAnsi="Arial Narrow" w:cs="Arial Narrow" w:eastAsia="Arial Narrow" w:hint="default"/>
                <w:sz w:val="21"/>
                <w:szCs w:val="21"/>
              </w:rPr>
            </w:pPr>
            <w:r>
              <w:rPr>
                <w:rFonts w:ascii="Arial Narrow"/>
                <w:b/>
                <w:sz w:val="21"/>
              </w:rPr>
              <w:t>100</w:t>
            </w:r>
            <w:r>
              <w:rPr>
                <w:rFonts w:ascii="Arial Narrow"/>
                <w:sz w:val="21"/>
              </w:rPr>
            </w:r>
          </w:p>
        </w:tc>
        <w:tc>
          <w:tcPr>
            <w:tcW w:w="159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262" w:right="0"/>
              <w:jc w:val="left"/>
              <w:rPr>
                <w:rFonts w:ascii="Arial Narrow" w:hAnsi="Arial Narrow" w:cs="Arial Narrow" w:eastAsia="Arial Narrow" w:hint="default"/>
                <w:sz w:val="21"/>
                <w:szCs w:val="21"/>
              </w:rPr>
            </w:pPr>
            <w:r>
              <w:rPr>
                <w:rFonts w:ascii="Arial Narrow"/>
                <w:b/>
                <w:sz w:val="21"/>
              </w:rPr>
              <w:t>1,312,921.90</w:t>
            </w:r>
            <w:r>
              <w:rPr>
                <w:rFonts w:ascii="Arial Narrow"/>
                <w:sz w:val="21"/>
              </w:rPr>
            </w:r>
          </w:p>
        </w:tc>
        <w:tc>
          <w:tcPr>
            <w:tcW w:w="148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322" w:right="0"/>
              <w:jc w:val="left"/>
              <w:rPr>
                <w:rFonts w:ascii="Arial Narrow" w:hAnsi="Arial Narrow" w:cs="Arial Narrow" w:eastAsia="Arial Narrow" w:hint="default"/>
                <w:sz w:val="21"/>
                <w:szCs w:val="21"/>
              </w:rPr>
            </w:pPr>
            <w:r>
              <w:rPr>
                <w:rFonts w:ascii="Arial Narrow"/>
                <w:b/>
                <w:sz w:val="21"/>
              </w:rPr>
              <w:t>1,110,339.89</w:t>
            </w:r>
            <w:r>
              <w:rPr>
                <w:rFonts w:ascii="Arial Narrow"/>
                <w:sz w:val="21"/>
              </w:rPr>
            </w:r>
          </w:p>
        </w:tc>
        <w:tc>
          <w:tcPr>
            <w:tcW w:w="140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167" w:right="0"/>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87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pStyle w:val="BodyText"/>
        <w:spacing w:line="240" w:lineRule="auto" w:before="26"/>
        <w:ind w:left="142" w:right="2957"/>
        <w:jc w:val="left"/>
      </w:pPr>
      <w:r>
        <w:rPr/>
        <w:pict>
          <v:group style="position:absolute;margin-left:62.664001pt;margin-top:-61.964367pt;width:477.25pt;height:.1pt;mso-position-horizontal-relative:page;mso-position-vertical-relative:paragraph;z-index:-764896" coordorigin="1253,-1239" coordsize="9545,2">
            <v:shape style="position:absolute;left:1253;top:-1239;width:9545;height:2" coordorigin="1253,-1239" coordsize="9545,0" path="m1253,-1239l10798,-1239e" filled="false" stroked="true" strokeweight=".72pt" strokecolor="#000000">
              <v:path arrowok="t"/>
            </v:shape>
            <w10:wrap type="none"/>
          </v:group>
        </w:pict>
      </w:r>
      <w:r>
        <w:rPr>
          <w:rFonts w:ascii="Arial Narrow" w:hAnsi="Arial Narrow" w:cs="Arial Narrow" w:eastAsia="Arial Narrow" w:hint="default"/>
        </w:rPr>
        <w:t>9</w:t>
      </w:r>
      <w:r>
        <w:rPr/>
        <w:t>、对联营企业投资</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1122"/>
        <w:gridCol w:w="1078"/>
        <w:gridCol w:w="1133"/>
        <w:gridCol w:w="1299"/>
        <w:gridCol w:w="1029"/>
        <w:gridCol w:w="1341"/>
        <w:gridCol w:w="1055"/>
        <w:gridCol w:w="1018"/>
      </w:tblGrid>
      <w:tr>
        <w:trPr>
          <w:trHeight w:val="857" w:hRule="exact"/>
        </w:trPr>
        <w:tc>
          <w:tcPr>
            <w:tcW w:w="1122"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108" w:right="124"/>
              <w:jc w:val="left"/>
              <w:rPr>
                <w:rFonts w:ascii="宋体" w:hAnsi="宋体" w:cs="宋体" w:eastAsia="宋体" w:hint="default"/>
                <w:sz w:val="18"/>
                <w:szCs w:val="18"/>
              </w:rPr>
            </w:pPr>
            <w:r>
              <w:rPr>
                <w:rFonts w:ascii="宋体" w:hAnsi="宋体" w:cs="宋体" w:eastAsia="宋体" w:hint="default"/>
                <w:b/>
                <w:bCs/>
                <w:sz w:val="18"/>
                <w:szCs w:val="18"/>
              </w:rPr>
              <w:t>被</w:t>
            </w:r>
            <w:r>
              <w:rPr>
                <w:rFonts w:ascii="宋体" w:hAnsi="宋体" w:cs="宋体" w:eastAsia="宋体" w:hint="default"/>
                <w:b/>
                <w:bCs/>
                <w:spacing w:val="-37"/>
                <w:sz w:val="18"/>
                <w:szCs w:val="18"/>
              </w:rPr>
              <w:t> </w:t>
            </w:r>
            <w:r>
              <w:rPr>
                <w:rFonts w:ascii="宋体" w:hAnsi="宋体" w:cs="宋体" w:eastAsia="宋体" w:hint="default"/>
                <w:b/>
                <w:bCs/>
                <w:sz w:val="18"/>
                <w:szCs w:val="18"/>
              </w:rPr>
              <w:t>投</w:t>
            </w:r>
            <w:r>
              <w:rPr>
                <w:rFonts w:ascii="宋体" w:hAnsi="宋体" w:cs="宋体" w:eastAsia="宋体" w:hint="default"/>
                <w:b/>
                <w:bCs/>
                <w:spacing w:val="-37"/>
                <w:sz w:val="18"/>
                <w:szCs w:val="18"/>
              </w:rPr>
              <w:t> </w:t>
            </w:r>
            <w:r>
              <w:rPr>
                <w:rFonts w:ascii="宋体" w:hAnsi="宋体" w:cs="宋体" w:eastAsia="宋体" w:hint="default"/>
                <w:b/>
                <w:bCs/>
                <w:sz w:val="18"/>
                <w:szCs w:val="18"/>
              </w:rPr>
              <w:t>资</w:t>
            </w:r>
            <w:r>
              <w:rPr>
                <w:rFonts w:ascii="宋体" w:hAnsi="宋体" w:cs="宋体" w:eastAsia="宋体" w:hint="default"/>
                <w:b/>
                <w:bCs/>
                <w:spacing w:val="-35"/>
                <w:sz w:val="18"/>
                <w:szCs w:val="18"/>
              </w:rPr>
              <w:t> </w:t>
            </w:r>
            <w:r>
              <w:rPr>
                <w:rFonts w:ascii="宋体" w:hAnsi="宋体" w:cs="宋体" w:eastAsia="宋体" w:hint="default"/>
                <w:b/>
                <w:bCs/>
                <w:sz w:val="18"/>
                <w:szCs w:val="18"/>
              </w:rPr>
              <w:t>单</w:t>
            </w:r>
            <w:r>
              <w:rPr>
                <w:rFonts w:ascii="宋体" w:hAnsi="宋体" w:cs="宋体" w:eastAsia="宋体" w:hint="default"/>
                <w:b/>
                <w:bCs/>
                <w:w w:val="99"/>
                <w:sz w:val="18"/>
                <w:szCs w:val="18"/>
              </w:rPr>
              <w:t> </w:t>
            </w:r>
            <w:r>
              <w:rPr>
                <w:rFonts w:ascii="宋体" w:hAnsi="宋体" w:cs="宋体" w:eastAsia="宋体" w:hint="default"/>
                <w:b/>
                <w:bCs/>
                <w:sz w:val="18"/>
                <w:szCs w:val="18"/>
              </w:rPr>
              <w:t>位名称</w:t>
            </w:r>
            <w:r>
              <w:rPr>
                <w:rFonts w:ascii="宋体" w:hAnsi="宋体" w:cs="宋体" w:eastAsia="宋体" w:hint="default"/>
                <w:sz w:val="18"/>
                <w:szCs w:val="18"/>
              </w:rPr>
            </w:r>
          </w:p>
        </w:tc>
        <w:tc>
          <w:tcPr>
            <w:tcW w:w="1078" w:type="dxa"/>
            <w:tcBorders>
              <w:top w:val="single" w:sz="8" w:space="0" w:color="000000"/>
              <w:left w:val="nil" w:sz="6" w:space="0" w:color="auto"/>
              <w:bottom w:val="single" w:sz="4" w:space="0" w:color="000000"/>
              <w:right w:val="nil" w:sz="6" w:space="0" w:color="auto"/>
            </w:tcBorders>
          </w:tcPr>
          <w:p>
            <w:pPr>
              <w:pStyle w:val="TableParagraph"/>
              <w:spacing w:line="234" w:lineRule="exact" w:before="159"/>
              <w:ind w:left="73" w:right="0"/>
              <w:jc w:val="left"/>
              <w:rPr>
                <w:rFonts w:ascii="宋体" w:hAnsi="宋体" w:cs="宋体" w:eastAsia="宋体" w:hint="default"/>
                <w:sz w:val="18"/>
                <w:szCs w:val="18"/>
              </w:rPr>
            </w:pPr>
            <w:r>
              <w:rPr>
                <w:rFonts w:ascii="宋体" w:hAnsi="宋体" w:cs="宋体" w:eastAsia="宋体" w:hint="default"/>
                <w:b/>
                <w:bCs/>
                <w:sz w:val="18"/>
                <w:szCs w:val="18"/>
              </w:rPr>
              <w:t>本公司持股</w:t>
            </w:r>
            <w:r>
              <w:rPr>
                <w:rFonts w:ascii="宋体" w:hAnsi="宋体" w:cs="宋体" w:eastAsia="宋体" w:hint="default"/>
                <w:sz w:val="18"/>
                <w:szCs w:val="18"/>
              </w:rPr>
            </w:r>
          </w:p>
          <w:p>
            <w:pPr>
              <w:pStyle w:val="TableParagraph"/>
              <w:spacing w:line="247" w:lineRule="exact"/>
              <w:ind w:left="483" w:right="0"/>
              <w:jc w:val="left"/>
              <w:rPr>
                <w:rFonts w:ascii="Arial Narrow" w:hAnsi="Arial Narrow" w:cs="Arial Narrow" w:eastAsia="Arial Narrow" w:hint="default"/>
                <w:sz w:val="18"/>
                <w:szCs w:val="18"/>
              </w:rPr>
            </w:pPr>
            <w:r>
              <w:rPr>
                <w:rFonts w:ascii="宋体" w:hAnsi="宋体" w:cs="宋体" w:eastAsia="宋体"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133" w:type="dxa"/>
            <w:tcBorders>
              <w:top w:val="single" w:sz="8" w:space="0" w:color="000000"/>
              <w:left w:val="nil" w:sz="6" w:space="0" w:color="auto"/>
              <w:bottom w:val="single" w:sz="4" w:space="0" w:color="000000"/>
              <w:right w:val="nil" w:sz="6" w:space="0" w:color="auto"/>
            </w:tcBorders>
          </w:tcPr>
          <w:p>
            <w:pPr>
              <w:pStyle w:val="TableParagraph"/>
              <w:spacing w:line="232" w:lineRule="exact" w:before="66"/>
              <w:ind w:left="99" w:right="126"/>
              <w:jc w:val="both"/>
              <w:rPr>
                <w:rFonts w:ascii="Arial Narrow" w:hAnsi="Arial Narrow" w:cs="Arial Narrow" w:eastAsia="Arial Narrow" w:hint="default"/>
                <w:sz w:val="18"/>
                <w:szCs w:val="18"/>
              </w:rPr>
            </w:pPr>
            <w:r>
              <w:rPr>
                <w:rFonts w:ascii="宋体" w:hAnsi="宋体" w:cs="宋体" w:eastAsia="宋体" w:hint="default"/>
                <w:b/>
                <w:bCs/>
                <w:sz w:val="18"/>
                <w:szCs w:val="18"/>
              </w:rPr>
              <w:t>本公司在被</w:t>
            </w:r>
            <w:r>
              <w:rPr>
                <w:rFonts w:ascii="宋体" w:hAnsi="宋体" w:cs="宋体" w:eastAsia="宋体" w:hint="default"/>
                <w:b/>
                <w:bCs/>
                <w:w w:val="99"/>
                <w:sz w:val="18"/>
                <w:szCs w:val="18"/>
              </w:rPr>
              <w:t> </w:t>
            </w:r>
            <w:r>
              <w:rPr>
                <w:rFonts w:ascii="宋体" w:hAnsi="宋体" w:cs="宋体" w:eastAsia="宋体" w:hint="default"/>
                <w:b/>
                <w:bCs/>
                <w:sz w:val="18"/>
                <w:szCs w:val="18"/>
              </w:rPr>
              <w:t>投资单位表</w:t>
            </w:r>
            <w:r>
              <w:rPr>
                <w:rFonts w:ascii="宋体" w:hAnsi="宋体" w:cs="宋体" w:eastAsia="宋体" w:hint="default"/>
                <w:b/>
                <w:bCs/>
                <w:w w:val="99"/>
                <w:sz w:val="18"/>
                <w:szCs w:val="18"/>
              </w:rPr>
              <w:t> </w:t>
            </w:r>
            <w:r>
              <w:rPr>
                <w:rFonts w:ascii="宋体" w:hAnsi="宋体" w:cs="宋体" w:eastAsia="宋体" w:hint="default"/>
                <w:b/>
                <w:bCs/>
                <w:sz w:val="18"/>
                <w:szCs w:val="18"/>
              </w:rPr>
              <w:t>决权比例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299" w:type="dxa"/>
            <w:tcBorders>
              <w:top w:val="single" w:sz="8" w:space="0" w:color="000000"/>
              <w:left w:val="nil" w:sz="6" w:space="0" w:color="auto"/>
              <w:bottom w:val="single" w:sz="4" w:space="0" w:color="000000"/>
              <w:right w:val="nil" w:sz="6" w:space="0" w:color="auto"/>
            </w:tcBorders>
          </w:tcPr>
          <w:p>
            <w:pPr>
              <w:pStyle w:val="TableParagraph"/>
              <w:spacing w:line="234" w:lineRule="exact" w:before="159"/>
              <w:ind w:left="128" w:right="0"/>
              <w:jc w:val="left"/>
              <w:rPr>
                <w:rFonts w:ascii="宋体" w:hAnsi="宋体" w:cs="宋体" w:eastAsia="宋体" w:hint="default"/>
                <w:sz w:val="18"/>
                <w:szCs w:val="18"/>
              </w:rPr>
            </w:pPr>
            <w:r>
              <w:rPr>
                <w:rFonts w:ascii="宋体" w:hAnsi="宋体" w:cs="宋体" w:eastAsia="宋体" w:hint="default"/>
                <w:b/>
                <w:bCs/>
                <w:sz w:val="18"/>
                <w:szCs w:val="18"/>
              </w:rPr>
              <w:t>期末资产总</w:t>
            </w:r>
            <w:r>
              <w:rPr>
                <w:rFonts w:ascii="宋体" w:hAnsi="宋体" w:cs="宋体" w:eastAsia="宋体" w:hint="default"/>
                <w:sz w:val="18"/>
                <w:szCs w:val="18"/>
              </w:rPr>
            </w:r>
          </w:p>
          <w:p>
            <w:pPr>
              <w:pStyle w:val="TableParagraph"/>
              <w:spacing w:line="234" w:lineRule="exact"/>
              <w:ind w:left="851"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029" w:type="dxa"/>
            <w:tcBorders>
              <w:top w:val="single" w:sz="8" w:space="0" w:color="000000"/>
              <w:left w:val="nil" w:sz="6" w:space="0" w:color="auto"/>
              <w:bottom w:val="single" w:sz="4" w:space="0" w:color="000000"/>
              <w:right w:val="nil" w:sz="6" w:space="0" w:color="auto"/>
            </w:tcBorders>
          </w:tcPr>
          <w:p>
            <w:pPr>
              <w:pStyle w:val="TableParagraph"/>
              <w:spacing w:line="234" w:lineRule="exact" w:before="159"/>
              <w:ind w:left="267" w:right="0"/>
              <w:jc w:val="left"/>
              <w:rPr>
                <w:rFonts w:ascii="宋体" w:hAnsi="宋体" w:cs="宋体" w:eastAsia="宋体" w:hint="default"/>
                <w:sz w:val="18"/>
                <w:szCs w:val="18"/>
              </w:rPr>
            </w:pPr>
            <w:r>
              <w:rPr>
                <w:rFonts w:ascii="宋体" w:hAnsi="宋体" w:cs="宋体" w:eastAsia="宋体" w:hint="default"/>
                <w:b/>
                <w:bCs/>
                <w:sz w:val="18"/>
                <w:szCs w:val="18"/>
              </w:rPr>
              <w:t>期末负债</w:t>
            </w:r>
            <w:r>
              <w:rPr>
                <w:rFonts w:ascii="宋体" w:hAnsi="宋体" w:cs="宋体" w:eastAsia="宋体" w:hint="default"/>
                <w:sz w:val="18"/>
                <w:szCs w:val="18"/>
              </w:rPr>
            </w:r>
          </w:p>
          <w:p>
            <w:pPr>
              <w:pStyle w:val="TableParagraph"/>
              <w:spacing w:line="234" w:lineRule="exact"/>
              <w:ind w:left="627" w:right="0"/>
              <w:jc w:val="left"/>
              <w:rPr>
                <w:rFonts w:ascii="宋体" w:hAnsi="宋体" w:cs="宋体" w:eastAsia="宋体" w:hint="default"/>
                <w:sz w:val="18"/>
                <w:szCs w:val="18"/>
              </w:rPr>
            </w:pPr>
            <w:r>
              <w:rPr>
                <w:rFonts w:ascii="宋体" w:hAnsi="宋体" w:cs="宋体" w:eastAsia="宋体" w:hint="default"/>
                <w:b/>
                <w:bCs/>
                <w:sz w:val="18"/>
                <w:szCs w:val="18"/>
              </w:rPr>
              <w:t>总额</w:t>
            </w:r>
            <w:r>
              <w:rPr>
                <w:rFonts w:ascii="宋体" w:hAnsi="宋体" w:cs="宋体" w:eastAsia="宋体" w:hint="default"/>
                <w:sz w:val="18"/>
                <w:szCs w:val="18"/>
              </w:rPr>
            </w:r>
          </w:p>
        </w:tc>
        <w:tc>
          <w:tcPr>
            <w:tcW w:w="1341" w:type="dxa"/>
            <w:tcBorders>
              <w:top w:val="single" w:sz="8" w:space="0" w:color="000000"/>
              <w:left w:val="nil" w:sz="6" w:space="0" w:color="auto"/>
              <w:bottom w:val="single" w:sz="4" w:space="0" w:color="000000"/>
              <w:right w:val="nil" w:sz="6" w:space="0" w:color="auto"/>
            </w:tcBorders>
          </w:tcPr>
          <w:p>
            <w:pPr>
              <w:pStyle w:val="TableParagraph"/>
              <w:spacing w:line="234" w:lineRule="exact" w:before="159"/>
              <w:ind w:right="218"/>
              <w:jc w:val="right"/>
              <w:rPr>
                <w:rFonts w:ascii="宋体" w:hAnsi="宋体" w:cs="宋体" w:eastAsia="宋体" w:hint="default"/>
                <w:sz w:val="18"/>
                <w:szCs w:val="18"/>
              </w:rPr>
            </w:pPr>
            <w:r>
              <w:rPr>
                <w:rFonts w:ascii="宋体" w:hAnsi="宋体" w:cs="宋体" w:eastAsia="宋体" w:hint="default"/>
                <w:b/>
                <w:bCs/>
                <w:w w:val="95"/>
                <w:sz w:val="18"/>
                <w:szCs w:val="18"/>
              </w:rPr>
              <w:t>期末净资产总</w:t>
            </w:r>
            <w:r>
              <w:rPr>
                <w:rFonts w:ascii="宋体" w:hAnsi="宋体" w:cs="宋体" w:eastAsia="宋体" w:hint="default"/>
                <w:sz w:val="18"/>
                <w:szCs w:val="18"/>
              </w:rPr>
            </w:r>
          </w:p>
          <w:p>
            <w:pPr>
              <w:pStyle w:val="TableParagraph"/>
              <w:spacing w:line="234" w:lineRule="exact"/>
              <w:ind w:right="217"/>
              <w:jc w:val="righ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055"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2" w:lineRule="exact"/>
              <w:ind w:left="219" w:right="110"/>
              <w:jc w:val="left"/>
              <w:rPr>
                <w:rFonts w:ascii="宋体" w:hAnsi="宋体" w:cs="宋体" w:eastAsia="宋体" w:hint="default"/>
                <w:sz w:val="18"/>
                <w:szCs w:val="18"/>
              </w:rPr>
            </w:pPr>
            <w:r>
              <w:rPr>
                <w:rFonts w:ascii="宋体" w:hAnsi="宋体" w:cs="宋体" w:eastAsia="宋体" w:hint="default"/>
                <w:b/>
                <w:bCs/>
                <w:sz w:val="18"/>
                <w:szCs w:val="18"/>
              </w:rPr>
              <w:t>本期营业</w:t>
            </w:r>
            <w:r>
              <w:rPr>
                <w:rFonts w:ascii="宋体" w:hAnsi="宋体" w:cs="宋体" w:eastAsia="宋体" w:hint="default"/>
                <w:b/>
                <w:bCs/>
                <w:w w:val="99"/>
                <w:sz w:val="18"/>
                <w:szCs w:val="18"/>
              </w:rPr>
              <w:t> </w:t>
            </w:r>
            <w:r>
              <w:rPr>
                <w:rFonts w:ascii="宋体" w:hAnsi="宋体" w:cs="宋体" w:eastAsia="宋体" w:hint="default"/>
                <w:b/>
                <w:bCs/>
                <w:sz w:val="18"/>
                <w:szCs w:val="18"/>
              </w:rPr>
              <w:t>收入总额</w:t>
            </w:r>
            <w:r>
              <w:rPr>
                <w:rFonts w:ascii="宋体" w:hAnsi="宋体" w:cs="宋体" w:eastAsia="宋体" w:hint="default"/>
                <w:sz w:val="18"/>
                <w:szCs w:val="18"/>
              </w:rPr>
            </w:r>
          </w:p>
        </w:tc>
        <w:tc>
          <w:tcPr>
            <w:tcW w:w="1018"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704" w:hRule="exact"/>
        </w:trPr>
        <w:tc>
          <w:tcPr>
            <w:tcW w:w="1122" w:type="dxa"/>
            <w:tcBorders>
              <w:top w:val="single" w:sz="4" w:space="0" w:color="000000"/>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41"/>
                <w:sz w:val="18"/>
                <w:szCs w:val="18"/>
              </w:rPr>
              <w:t>浙江中科</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3"/>
              <w:ind w:left="108" w:right="71"/>
              <w:jc w:val="left"/>
              <w:rPr>
                <w:rFonts w:ascii="宋体" w:hAnsi="宋体" w:cs="宋体" w:eastAsia="宋体" w:hint="default"/>
                <w:sz w:val="18"/>
                <w:szCs w:val="18"/>
              </w:rPr>
            </w:pPr>
            <w:r>
              <w:rPr>
                <w:rFonts w:ascii="宋体" w:hAnsi="宋体" w:cs="宋体" w:eastAsia="宋体" w:hint="default"/>
                <w:spacing w:val="41"/>
                <w:sz w:val="18"/>
                <w:szCs w:val="18"/>
              </w:rPr>
              <w:t>数城软件</w:t>
            </w:r>
            <w:r>
              <w:rPr>
                <w:rFonts w:ascii="宋体" w:hAnsi="宋体" w:cs="宋体" w:eastAsia="宋体" w:hint="default"/>
                <w:spacing w:val="-35"/>
                <w:sz w:val="18"/>
                <w:szCs w:val="18"/>
              </w:rPr>
              <w:t> </w:t>
            </w:r>
            <w:r>
              <w:rPr>
                <w:rFonts w:ascii="宋体" w:hAnsi="宋体" w:cs="宋体" w:eastAsia="宋体" w:hint="default"/>
                <w:sz w:val="18"/>
                <w:szCs w:val="18"/>
              </w:rPr>
              <w:t>有限公司</w:t>
            </w: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23.36</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pacing w:val="-1"/>
                <w:sz w:val="18"/>
              </w:rPr>
              <w:t>23.36</w:t>
            </w:r>
          </w:p>
        </w:tc>
        <w:tc>
          <w:tcPr>
            <w:tcW w:w="1299"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457" w:right="0"/>
              <w:jc w:val="left"/>
              <w:rPr>
                <w:rFonts w:ascii="Arial Narrow" w:hAnsi="Arial Narrow" w:cs="Arial Narrow" w:eastAsia="Arial Narrow" w:hint="default"/>
                <w:sz w:val="18"/>
                <w:szCs w:val="18"/>
              </w:rPr>
            </w:pPr>
            <w:r>
              <w:rPr>
                <w:rFonts w:ascii="Arial Narrow"/>
                <w:sz w:val="18"/>
              </w:rPr>
              <w:t>13,864,1</w:t>
            </w:r>
          </w:p>
          <w:p>
            <w:pPr>
              <w:pStyle w:val="TableParagraph"/>
              <w:spacing w:line="240" w:lineRule="auto"/>
              <w:ind w:left="661" w:right="0"/>
              <w:jc w:val="left"/>
              <w:rPr>
                <w:rFonts w:ascii="Arial Narrow" w:hAnsi="Arial Narrow" w:cs="Arial Narrow" w:eastAsia="Arial Narrow" w:hint="default"/>
                <w:sz w:val="18"/>
                <w:szCs w:val="18"/>
              </w:rPr>
            </w:pPr>
            <w:r>
              <w:rPr>
                <w:rFonts w:ascii="Arial Narrow"/>
                <w:sz w:val="18"/>
              </w:rPr>
              <w:t>71.29</w:t>
            </w:r>
          </w:p>
        </w:tc>
        <w:tc>
          <w:tcPr>
            <w:tcW w:w="1029"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41" w:right="0"/>
              <w:jc w:val="center"/>
              <w:rPr>
                <w:rFonts w:ascii="Arial Narrow" w:hAnsi="Arial Narrow" w:cs="Arial Narrow" w:eastAsia="Arial Narrow" w:hint="default"/>
                <w:sz w:val="18"/>
                <w:szCs w:val="18"/>
              </w:rPr>
            </w:pPr>
            <w:r>
              <w:rPr>
                <w:rFonts w:ascii="Arial Narrow"/>
                <w:sz w:val="18"/>
              </w:rPr>
              <w:t>3,856,9</w:t>
            </w:r>
          </w:p>
          <w:p>
            <w:pPr>
              <w:pStyle w:val="TableParagraph"/>
              <w:spacing w:line="240" w:lineRule="auto"/>
              <w:ind w:left="364" w:right="0"/>
              <w:jc w:val="center"/>
              <w:rPr>
                <w:rFonts w:ascii="Arial Narrow" w:hAnsi="Arial Narrow" w:cs="Arial Narrow" w:eastAsia="Arial Narrow" w:hint="default"/>
                <w:sz w:val="18"/>
                <w:szCs w:val="18"/>
              </w:rPr>
            </w:pPr>
            <w:r>
              <w:rPr>
                <w:rFonts w:ascii="Arial Narrow"/>
                <w:sz w:val="18"/>
              </w:rPr>
              <w:t>05.23</w:t>
            </w: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441" w:right="0"/>
              <w:jc w:val="left"/>
              <w:rPr>
                <w:rFonts w:ascii="Arial Narrow" w:hAnsi="Arial Narrow" w:cs="Arial Narrow" w:eastAsia="Arial Narrow" w:hint="default"/>
                <w:sz w:val="18"/>
                <w:szCs w:val="18"/>
              </w:rPr>
            </w:pPr>
            <w:r>
              <w:rPr>
                <w:rFonts w:ascii="Arial Narrow"/>
                <w:sz w:val="18"/>
              </w:rPr>
              <w:t>10,007,2</w:t>
            </w:r>
          </w:p>
          <w:p>
            <w:pPr>
              <w:pStyle w:val="TableParagraph"/>
              <w:spacing w:line="240" w:lineRule="auto"/>
              <w:ind w:left="645" w:right="0"/>
              <w:jc w:val="left"/>
              <w:rPr>
                <w:rFonts w:ascii="Arial Narrow" w:hAnsi="Arial Narrow" w:cs="Arial Narrow" w:eastAsia="Arial Narrow" w:hint="default"/>
                <w:sz w:val="18"/>
                <w:szCs w:val="18"/>
              </w:rPr>
            </w:pPr>
            <w:r>
              <w:rPr>
                <w:rFonts w:ascii="Arial Narrow"/>
                <w:sz w:val="18"/>
              </w:rPr>
              <w:t>66.06</w:t>
            </w:r>
          </w:p>
        </w:tc>
        <w:tc>
          <w:tcPr>
            <w:tcW w:w="1055"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63" w:right="0"/>
              <w:jc w:val="left"/>
              <w:rPr>
                <w:rFonts w:ascii="Arial Narrow" w:hAnsi="Arial Narrow" w:cs="Arial Narrow" w:eastAsia="Arial Narrow" w:hint="default"/>
                <w:sz w:val="18"/>
                <w:szCs w:val="18"/>
              </w:rPr>
            </w:pPr>
            <w:r>
              <w:rPr>
                <w:rFonts w:ascii="Arial Narrow"/>
                <w:sz w:val="18"/>
              </w:rPr>
              <w:t>5,978,83</w:t>
            </w:r>
          </w:p>
          <w:p>
            <w:pPr>
              <w:pStyle w:val="TableParagraph"/>
              <w:spacing w:line="240" w:lineRule="auto"/>
              <w:ind w:left="548" w:right="0"/>
              <w:jc w:val="left"/>
              <w:rPr>
                <w:rFonts w:ascii="Arial Narrow" w:hAnsi="Arial Narrow" w:cs="Arial Narrow" w:eastAsia="Arial Narrow" w:hint="default"/>
                <w:sz w:val="18"/>
                <w:szCs w:val="18"/>
              </w:rPr>
            </w:pPr>
            <w:r>
              <w:rPr>
                <w:rFonts w:ascii="Arial Narrow"/>
                <w:sz w:val="18"/>
              </w:rPr>
              <w:t>9.16</w:t>
            </w:r>
          </w:p>
        </w:tc>
        <w:tc>
          <w:tcPr>
            <w:tcW w:w="1018" w:type="dxa"/>
            <w:tcBorders>
              <w:top w:val="single" w:sz="4" w:space="0" w:color="000000"/>
              <w:left w:val="nil" w:sz="6" w:space="0" w:color="auto"/>
              <w:bottom w:val="nil" w:sz="6" w:space="0" w:color="auto"/>
              <w:right w:val="nil" w:sz="6" w:space="0" w:color="auto"/>
            </w:tcBorders>
          </w:tcPr>
          <w:p>
            <w:pPr>
              <w:pStyle w:val="TableParagraph"/>
              <w:spacing w:line="240" w:lineRule="auto" w:before="144"/>
              <w:ind w:left="252" w:right="0"/>
              <w:jc w:val="center"/>
              <w:rPr>
                <w:rFonts w:ascii="Arial Narrow" w:hAnsi="Arial Narrow" w:cs="Arial Narrow" w:eastAsia="Arial Narrow" w:hint="default"/>
                <w:sz w:val="18"/>
                <w:szCs w:val="18"/>
              </w:rPr>
            </w:pPr>
            <w:r>
              <w:rPr>
                <w:rFonts w:ascii="Arial Narrow"/>
                <w:sz w:val="18"/>
              </w:rPr>
              <w:t>-1,401,6</w:t>
            </w:r>
          </w:p>
          <w:p>
            <w:pPr>
              <w:pStyle w:val="TableParagraph"/>
              <w:spacing w:line="240" w:lineRule="auto"/>
              <w:ind w:left="424" w:right="0"/>
              <w:jc w:val="center"/>
              <w:rPr>
                <w:rFonts w:ascii="Arial Narrow" w:hAnsi="Arial Narrow" w:cs="Arial Narrow" w:eastAsia="Arial Narrow" w:hint="default"/>
                <w:sz w:val="18"/>
                <w:szCs w:val="18"/>
              </w:rPr>
            </w:pPr>
            <w:r>
              <w:rPr>
                <w:rFonts w:ascii="Arial Narrow"/>
                <w:sz w:val="18"/>
              </w:rPr>
              <w:t>20.51</w:t>
            </w:r>
          </w:p>
        </w:tc>
      </w:tr>
      <w:tr>
        <w:trPr>
          <w:trHeight w:val="945" w:hRule="exact"/>
        </w:trPr>
        <w:tc>
          <w:tcPr>
            <w:tcW w:w="1122" w:type="dxa"/>
            <w:tcBorders>
              <w:top w:val="nil" w:sz="6" w:space="0" w:color="auto"/>
              <w:left w:val="nil" w:sz="6" w:space="0" w:color="auto"/>
              <w:bottom w:val="single" w:sz="8" w:space="0" w:color="000000"/>
              <w:right w:val="nil" w:sz="6" w:space="0" w:color="auto"/>
            </w:tcBorders>
          </w:tcPr>
          <w:p>
            <w:pPr>
              <w:pStyle w:val="TableParagraph"/>
              <w:spacing w:line="206" w:lineRule="exact"/>
              <w:ind w:left="108" w:right="0"/>
              <w:jc w:val="both"/>
              <w:rPr>
                <w:rFonts w:ascii="宋体" w:hAnsi="宋体" w:cs="宋体" w:eastAsia="宋体" w:hint="default"/>
                <w:sz w:val="18"/>
                <w:szCs w:val="18"/>
              </w:rPr>
            </w:pPr>
            <w:r>
              <w:rPr>
                <w:rFonts w:ascii="宋体" w:hAnsi="宋体" w:cs="宋体" w:eastAsia="宋体" w:hint="default"/>
                <w:spacing w:val="41"/>
                <w:sz w:val="18"/>
                <w:szCs w:val="18"/>
              </w:rPr>
              <w:t>北京国遥</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8" w:right="71"/>
              <w:jc w:val="both"/>
              <w:rPr>
                <w:rFonts w:ascii="宋体" w:hAnsi="宋体" w:cs="宋体" w:eastAsia="宋体" w:hint="default"/>
                <w:sz w:val="18"/>
                <w:szCs w:val="18"/>
              </w:rPr>
            </w:pPr>
            <w:r>
              <w:rPr>
                <w:rFonts w:ascii="宋体" w:hAnsi="宋体" w:cs="宋体" w:eastAsia="宋体" w:hint="default"/>
                <w:spacing w:val="41"/>
                <w:sz w:val="18"/>
                <w:szCs w:val="18"/>
              </w:rPr>
              <w:t>新天地信</w:t>
            </w:r>
            <w:r>
              <w:rPr>
                <w:rFonts w:ascii="宋体" w:hAnsi="宋体" w:cs="宋体" w:eastAsia="宋体" w:hint="default"/>
                <w:spacing w:val="-35"/>
                <w:sz w:val="18"/>
                <w:szCs w:val="18"/>
              </w:rPr>
              <w:t> </w:t>
            </w:r>
            <w:r>
              <w:rPr>
                <w:rFonts w:ascii="宋体" w:hAnsi="宋体" w:cs="宋体" w:eastAsia="宋体" w:hint="default"/>
                <w:spacing w:val="41"/>
                <w:sz w:val="18"/>
                <w:szCs w:val="18"/>
              </w:rPr>
              <w:t>息技术有</w:t>
            </w:r>
            <w:r>
              <w:rPr>
                <w:rFonts w:ascii="宋体" w:hAnsi="宋体" w:cs="宋体" w:eastAsia="宋体" w:hint="default"/>
                <w:spacing w:val="-35"/>
                <w:sz w:val="18"/>
                <w:szCs w:val="18"/>
              </w:rPr>
              <w:t> </w:t>
            </w:r>
            <w:r>
              <w:rPr>
                <w:rFonts w:ascii="宋体" w:hAnsi="宋体" w:cs="宋体" w:eastAsia="宋体" w:hint="default"/>
                <w:sz w:val="18"/>
                <w:szCs w:val="18"/>
              </w:rPr>
              <w:t>限公司</w:t>
            </w:r>
          </w:p>
        </w:tc>
        <w:tc>
          <w:tcPr>
            <w:tcW w:w="1078"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2"/>
              <w:jc w:val="right"/>
              <w:rPr>
                <w:rFonts w:ascii="Arial Narrow" w:hAnsi="Arial Narrow" w:cs="Arial Narrow" w:eastAsia="Arial Narrow" w:hint="default"/>
                <w:sz w:val="18"/>
                <w:szCs w:val="18"/>
              </w:rPr>
            </w:pPr>
            <w:r>
              <w:rPr>
                <w:rFonts w:ascii="Arial Narrow"/>
                <w:spacing w:val="-1"/>
                <w:sz w:val="18"/>
              </w:rPr>
              <w:t>40.00</w:t>
            </w:r>
          </w:p>
        </w:tc>
        <w:tc>
          <w:tcPr>
            <w:tcW w:w="1133"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30"/>
              <w:jc w:val="right"/>
              <w:rPr>
                <w:rFonts w:ascii="Arial Narrow" w:hAnsi="Arial Narrow" w:cs="Arial Narrow" w:eastAsia="Arial Narrow" w:hint="default"/>
                <w:sz w:val="18"/>
                <w:szCs w:val="18"/>
              </w:rPr>
            </w:pPr>
            <w:r>
              <w:rPr>
                <w:rFonts w:ascii="Arial Narrow"/>
                <w:spacing w:val="-1"/>
                <w:sz w:val="18"/>
              </w:rPr>
              <w:t>40.00</w:t>
            </w:r>
          </w:p>
        </w:tc>
        <w:tc>
          <w:tcPr>
            <w:tcW w:w="1299"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57" w:right="0"/>
              <w:jc w:val="left"/>
              <w:rPr>
                <w:rFonts w:ascii="Arial Narrow" w:hAnsi="Arial Narrow" w:cs="Arial Narrow" w:eastAsia="Arial Narrow" w:hint="default"/>
                <w:sz w:val="18"/>
                <w:szCs w:val="18"/>
              </w:rPr>
            </w:pPr>
            <w:r>
              <w:rPr>
                <w:rFonts w:ascii="Arial Narrow"/>
                <w:sz w:val="18"/>
              </w:rPr>
              <w:t>63,960,6</w:t>
            </w:r>
          </w:p>
          <w:p>
            <w:pPr>
              <w:pStyle w:val="TableParagraph"/>
              <w:spacing w:line="240" w:lineRule="auto"/>
              <w:ind w:left="661" w:right="0"/>
              <w:jc w:val="left"/>
              <w:rPr>
                <w:rFonts w:ascii="Arial Narrow" w:hAnsi="Arial Narrow" w:cs="Arial Narrow" w:eastAsia="Arial Narrow" w:hint="default"/>
                <w:sz w:val="18"/>
                <w:szCs w:val="18"/>
              </w:rPr>
            </w:pPr>
            <w:r>
              <w:rPr>
                <w:rFonts w:ascii="Arial Narrow"/>
                <w:sz w:val="18"/>
              </w:rPr>
              <w:t>31.34</w:t>
            </w:r>
          </w:p>
        </w:tc>
        <w:tc>
          <w:tcPr>
            <w:tcW w:w="1029"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81" w:right="0"/>
              <w:jc w:val="center"/>
              <w:rPr>
                <w:rFonts w:ascii="Arial Narrow" w:hAnsi="Arial Narrow" w:cs="Arial Narrow" w:eastAsia="Arial Narrow" w:hint="default"/>
                <w:sz w:val="18"/>
                <w:szCs w:val="18"/>
              </w:rPr>
            </w:pPr>
            <w:r>
              <w:rPr>
                <w:rFonts w:ascii="Arial Narrow"/>
                <w:sz w:val="18"/>
              </w:rPr>
              <w:t>35,425,1</w:t>
            </w:r>
          </w:p>
          <w:p>
            <w:pPr>
              <w:pStyle w:val="TableParagraph"/>
              <w:spacing w:line="240" w:lineRule="auto"/>
              <w:ind w:left="364" w:right="0"/>
              <w:jc w:val="center"/>
              <w:rPr>
                <w:rFonts w:ascii="Arial Narrow" w:hAnsi="Arial Narrow" w:cs="Arial Narrow" w:eastAsia="Arial Narrow" w:hint="default"/>
                <w:sz w:val="18"/>
                <w:szCs w:val="18"/>
              </w:rPr>
            </w:pPr>
            <w:r>
              <w:rPr>
                <w:rFonts w:ascii="Arial Narrow"/>
                <w:sz w:val="18"/>
              </w:rPr>
              <w:t>10.55</w:t>
            </w:r>
          </w:p>
        </w:tc>
        <w:tc>
          <w:tcPr>
            <w:tcW w:w="1341"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41" w:right="0"/>
              <w:jc w:val="left"/>
              <w:rPr>
                <w:rFonts w:ascii="Arial Narrow" w:hAnsi="Arial Narrow" w:cs="Arial Narrow" w:eastAsia="Arial Narrow" w:hint="default"/>
                <w:sz w:val="18"/>
                <w:szCs w:val="18"/>
              </w:rPr>
            </w:pPr>
            <w:r>
              <w:rPr>
                <w:rFonts w:ascii="Arial Narrow"/>
                <w:sz w:val="18"/>
              </w:rPr>
              <w:t>28,535,5</w:t>
            </w:r>
          </w:p>
          <w:p>
            <w:pPr>
              <w:pStyle w:val="TableParagraph"/>
              <w:spacing w:line="240" w:lineRule="auto"/>
              <w:ind w:left="645" w:right="0"/>
              <w:jc w:val="left"/>
              <w:rPr>
                <w:rFonts w:ascii="Arial Narrow" w:hAnsi="Arial Narrow" w:cs="Arial Narrow" w:eastAsia="Arial Narrow" w:hint="default"/>
                <w:sz w:val="18"/>
                <w:szCs w:val="18"/>
              </w:rPr>
            </w:pPr>
            <w:r>
              <w:rPr>
                <w:rFonts w:ascii="Arial Narrow"/>
                <w:sz w:val="18"/>
              </w:rPr>
              <w:t>20.79</w:t>
            </w:r>
          </w:p>
        </w:tc>
        <w:tc>
          <w:tcPr>
            <w:tcW w:w="1055"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63" w:right="0"/>
              <w:jc w:val="left"/>
              <w:rPr>
                <w:rFonts w:ascii="Arial Narrow" w:hAnsi="Arial Narrow" w:cs="Arial Narrow" w:eastAsia="Arial Narrow" w:hint="default"/>
                <w:sz w:val="18"/>
                <w:szCs w:val="18"/>
              </w:rPr>
            </w:pPr>
            <w:r>
              <w:rPr>
                <w:rFonts w:ascii="Arial Narrow"/>
                <w:sz w:val="18"/>
              </w:rPr>
              <w:t>99,854,9</w:t>
            </w:r>
          </w:p>
          <w:p>
            <w:pPr>
              <w:pStyle w:val="TableParagraph"/>
              <w:spacing w:line="240" w:lineRule="auto"/>
              <w:ind w:left="467" w:right="0"/>
              <w:jc w:val="left"/>
              <w:rPr>
                <w:rFonts w:ascii="Arial Narrow" w:hAnsi="Arial Narrow" w:cs="Arial Narrow" w:eastAsia="Arial Narrow" w:hint="default"/>
                <w:sz w:val="18"/>
                <w:szCs w:val="18"/>
              </w:rPr>
            </w:pPr>
            <w:r>
              <w:rPr>
                <w:rFonts w:ascii="Arial Narrow"/>
                <w:sz w:val="18"/>
              </w:rPr>
              <w:t>34.94</w:t>
            </w:r>
          </w:p>
        </w:tc>
        <w:tc>
          <w:tcPr>
            <w:tcW w:w="1018"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02" w:right="0"/>
              <w:jc w:val="center"/>
              <w:rPr>
                <w:rFonts w:ascii="Arial Narrow" w:hAnsi="Arial Narrow" w:cs="Arial Narrow" w:eastAsia="Arial Narrow" w:hint="default"/>
                <w:sz w:val="18"/>
                <w:szCs w:val="18"/>
              </w:rPr>
            </w:pPr>
            <w:r>
              <w:rPr>
                <w:rFonts w:ascii="Arial Narrow"/>
                <w:sz w:val="18"/>
              </w:rPr>
              <w:t>4,274,9</w:t>
            </w:r>
          </w:p>
          <w:p>
            <w:pPr>
              <w:pStyle w:val="TableParagraph"/>
              <w:spacing w:line="240" w:lineRule="auto"/>
              <w:ind w:left="424" w:right="0"/>
              <w:jc w:val="center"/>
              <w:rPr>
                <w:rFonts w:ascii="Arial Narrow" w:hAnsi="Arial Narrow" w:cs="Arial Narrow" w:eastAsia="Arial Narrow" w:hint="default"/>
                <w:sz w:val="18"/>
                <w:szCs w:val="18"/>
              </w:rPr>
            </w:pPr>
            <w:r>
              <w:rPr>
                <w:rFonts w:ascii="Arial Narrow"/>
                <w:sz w:val="18"/>
              </w:rPr>
              <w:t>59.34</w:t>
            </w:r>
          </w:p>
        </w:tc>
      </w:tr>
    </w:tbl>
    <w:p>
      <w:pPr>
        <w:pStyle w:val="BodyText"/>
        <w:spacing w:line="240" w:lineRule="auto" w:before="79"/>
        <w:ind w:left="142" w:right="2957"/>
        <w:jc w:val="left"/>
      </w:pPr>
      <w:r>
        <w:rPr>
          <w:rFonts w:ascii="Arial Narrow" w:hAnsi="Arial Narrow" w:cs="Arial Narrow" w:eastAsia="Arial Narrow" w:hint="default"/>
        </w:rPr>
        <w:t>10</w:t>
      </w:r>
      <w:r>
        <w:rPr/>
        <w:t>、长期股权投资</w:t>
      </w:r>
    </w:p>
    <w:p>
      <w:pPr>
        <w:pStyle w:val="BodyText"/>
        <w:spacing w:line="240" w:lineRule="auto" w:before="197"/>
        <w:ind w:left="559" w:right="2957"/>
        <w:jc w:val="left"/>
      </w:pPr>
      <w:r>
        <w:rPr/>
        <w:t>（</w:t>
      </w:r>
      <w:r>
        <w:rPr>
          <w:rFonts w:ascii="Arial Narrow" w:hAnsi="Arial Narrow" w:cs="Arial Narrow" w:eastAsia="Arial Narrow" w:hint="default"/>
        </w:rPr>
        <w:t>1</w:t>
      </w:r>
      <w:r>
        <w:rPr/>
        <w:t>）长期股权投资分类</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2259"/>
        <w:gridCol w:w="1705"/>
        <w:gridCol w:w="1852"/>
        <w:gridCol w:w="1612"/>
        <w:gridCol w:w="1620"/>
      </w:tblGrid>
      <w:tr>
        <w:trPr>
          <w:trHeight w:val="391" w:hRule="exact"/>
        </w:trPr>
        <w:tc>
          <w:tcPr>
            <w:tcW w:w="2259"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07"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705" w:type="dxa"/>
            <w:tcBorders>
              <w:top w:val="single" w:sz="8" w:space="0" w:color="000000"/>
              <w:left w:val="nil" w:sz="6" w:space="0" w:color="auto"/>
              <w:bottom w:val="single" w:sz="4" w:space="0" w:color="000000"/>
              <w:right w:val="nil" w:sz="6" w:space="0" w:color="auto"/>
            </w:tcBorders>
          </w:tcPr>
          <w:p>
            <w:pPr/>
          </w:p>
        </w:tc>
        <w:tc>
          <w:tcPr>
            <w:tcW w:w="1852"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396"/>
              <w:jc w:val="righ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612"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49"/>
              <w:jc w:val="righ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62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r>
      <w:tr>
        <w:trPr>
          <w:trHeight w:val="396" w:hRule="exact"/>
        </w:trPr>
        <w:tc>
          <w:tcPr>
            <w:tcW w:w="2259" w:type="dxa"/>
            <w:tcBorders>
              <w:top w:val="single" w:sz="4" w:space="0" w:color="000000"/>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对合营企业投资</w:t>
            </w: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02"/>
              <w:jc w:val="right"/>
              <w:rPr>
                <w:rFonts w:ascii="Arial Narrow" w:hAnsi="Arial Narrow" w:cs="Arial Narrow" w:eastAsia="Arial Narrow" w:hint="default"/>
                <w:sz w:val="24"/>
                <w:szCs w:val="24"/>
              </w:rPr>
            </w:pPr>
            <w:r>
              <w:rPr>
                <w:rFonts w:ascii="Arial Narrow"/>
                <w:sz w:val="24"/>
              </w:rPr>
              <w:t>-</w:t>
            </w:r>
          </w:p>
        </w:tc>
        <w:tc>
          <w:tcPr>
            <w:tcW w:w="185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94"/>
              <w:jc w:val="right"/>
              <w:rPr>
                <w:rFonts w:ascii="Arial Narrow" w:hAnsi="Arial Narrow" w:cs="Arial Narrow" w:eastAsia="Arial Narrow" w:hint="default"/>
                <w:sz w:val="24"/>
                <w:szCs w:val="24"/>
              </w:rPr>
            </w:pPr>
            <w:r>
              <w:rPr>
                <w:rFonts w:ascii="Arial Narrow"/>
                <w:sz w:val="24"/>
              </w:rPr>
              <w:t>-</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7"/>
              <w:jc w:val="right"/>
              <w:rPr>
                <w:rFonts w:ascii="Arial Narrow" w:hAnsi="Arial Narrow" w:cs="Arial Narrow" w:eastAsia="Arial Narrow" w:hint="default"/>
                <w:sz w:val="24"/>
                <w:szCs w:val="24"/>
              </w:rPr>
            </w:pPr>
            <w:r>
              <w:rPr>
                <w:rFonts w:ascii="Arial Narrow"/>
                <w:sz w:val="24"/>
              </w:rPr>
              <w:t>-</w:t>
            </w: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8"/>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对联营企业投资</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3"/>
              <w:jc w:val="right"/>
              <w:rPr>
                <w:rFonts w:ascii="Arial Narrow" w:hAnsi="Arial Narrow" w:cs="Arial Narrow" w:eastAsia="Arial Narrow" w:hint="default"/>
                <w:sz w:val="24"/>
                <w:szCs w:val="24"/>
              </w:rPr>
            </w:pPr>
            <w:r>
              <w:rPr>
                <w:rFonts w:ascii="Arial Narrow"/>
                <w:spacing w:val="-1"/>
                <w:sz w:val="24"/>
              </w:rPr>
              <w:t>12,187,580.48</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5"/>
              <w:jc w:val="right"/>
              <w:rPr>
                <w:rFonts w:ascii="Arial Narrow" w:hAnsi="Arial Narrow" w:cs="Arial Narrow" w:eastAsia="Arial Narrow" w:hint="default"/>
                <w:sz w:val="24"/>
                <w:szCs w:val="24"/>
              </w:rPr>
            </w:pPr>
            <w:r>
              <w:rPr>
                <w:rFonts w:ascii="Arial Narrow"/>
                <w:spacing w:val="-1"/>
                <w:sz w:val="24"/>
              </w:rPr>
              <w:t>1,564,325.19</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7"/>
              <w:jc w:val="right"/>
              <w:rPr>
                <w:rFonts w:ascii="Arial Narrow" w:hAnsi="Arial Narrow" w:cs="Arial Narrow" w:eastAsia="Arial Narrow" w:hint="default"/>
                <w:sz w:val="24"/>
                <w:szCs w:val="24"/>
              </w:rPr>
            </w:pPr>
            <w:r>
              <w:rPr>
                <w:rFonts w:ascii="Arial Narrow"/>
                <w:sz w:val="24"/>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9"/>
              <w:jc w:val="right"/>
              <w:rPr>
                <w:rFonts w:ascii="Arial Narrow" w:hAnsi="Arial Narrow" w:cs="Arial Narrow" w:eastAsia="Arial Narrow" w:hint="default"/>
                <w:sz w:val="24"/>
                <w:szCs w:val="24"/>
              </w:rPr>
            </w:pPr>
            <w:r>
              <w:rPr>
                <w:rFonts w:ascii="Arial Narrow"/>
                <w:spacing w:val="-1"/>
                <w:sz w:val="24"/>
              </w:rPr>
              <w:t>13,751,905.67</w:t>
            </w:r>
          </w:p>
        </w:tc>
      </w:tr>
      <w:tr>
        <w:trPr>
          <w:trHeight w:val="400"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对其他企业投资</w:t>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2"/>
              <w:jc w:val="right"/>
              <w:rPr>
                <w:rFonts w:ascii="Arial Narrow" w:hAnsi="Arial Narrow" w:cs="Arial Narrow" w:eastAsia="Arial Narrow" w:hint="default"/>
                <w:sz w:val="24"/>
                <w:szCs w:val="24"/>
              </w:rPr>
            </w:pPr>
            <w:r>
              <w:rPr>
                <w:rFonts w:ascii="Arial Narrow"/>
                <w:sz w:val="24"/>
              </w:rPr>
              <w:t>-</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94"/>
              <w:jc w:val="right"/>
              <w:rPr>
                <w:rFonts w:ascii="Arial Narrow" w:hAnsi="Arial Narrow" w:cs="Arial Narrow" w:eastAsia="Arial Narrow" w:hint="default"/>
                <w:sz w:val="24"/>
                <w:szCs w:val="24"/>
              </w:rPr>
            </w:pPr>
            <w:r>
              <w:rPr>
                <w:rFonts w:ascii="Arial Narrow"/>
                <w:spacing w:val="-1"/>
                <w:sz w:val="24"/>
              </w:rPr>
              <w:t>8,921.33</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7"/>
              <w:jc w:val="right"/>
              <w:rPr>
                <w:rFonts w:ascii="Arial Narrow" w:hAnsi="Arial Narrow" w:cs="Arial Narrow" w:eastAsia="Arial Narrow" w:hint="default"/>
                <w:sz w:val="24"/>
                <w:szCs w:val="24"/>
              </w:rPr>
            </w:pPr>
            <w:r>
              <w:rPr>
                <w:rFonts w:ascii="Arial Narrow"/>
                <w:sz w:val="24"/>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1"/>
                <w:sz w:val="24"/>
              </w:rPr>
              <w:t>8,921.33</w:t>
            </w:r>
          </w:p>
        </w:tc>
      </w:tr>
      <w:tr>
        <w:trPr>
          <w:trHeight w:val="382" w:hRule="exact"/>
        </w:trPr>
        <w:tc>
          <w:tcPr>
            <w:tcW w:w="2259"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3"/>
              <w:jc w:val="right"/>
              <w:rPr>
                <w:rFonts w:ascii="Arial Narrow" w:hAnsi="Arial Narrow" w:cs="Arial Narrow" w:eastAsia="Arial Narrow" w:hint="default"/>
                <w:sz w:val="24"/>
                <w:szCs w:val="24"/>
              </w:rPr>
            </w:pPr>
            <w:r>
              <w:rPr>
                <w:rFonts w:ascii="Arial Narrow"/>
                <w:spacing w:val="-1"/>
                <w:sz w:val="24"/>
              </w:rPr>
              <w:t>12,187,580.48</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95"/>
              <w:jc w:val="right"/>
              <w:rPr>
                <w:rFonts w:ascii="Arial Narrow" w:hAnsi="Arial Narrow" w:cs="Arial Narrow" w:eastAsia="Arial Narrow" w:hint="default"/>
                <w:sz w:val="24"/>
                <w:szCs w:val="24"/>
              </w:rPr>
            </w:pPr>
            <w:r>
              <w:rPr>
                <w:rFonts w:ascii="Arial Narrow"/>
                <w:spacing w:val="-1"/>
                <w:sz w:val="24"/>
              </w:rPr>
              <w:t>1,573,246.52</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7"/>
              <w:jc w:val="right"/>
              <w:rPr>
                <w:rFonts w:ascii="Arial Narrow" w:hAnsi="Arial Narrow" w:cs="Arial Narrow" w:eastAsia="Arial Narrow" w:hint="default"/>
                <w:sz w:val="24"/>
                <w:szCs w:val="24"/>
              </w:rPr>
            </w:pPr>
            <w:r>
              <w:rPr>
                <w:rFonts w:ascii="Arial Narrow"/>
                <w:sz w:val="24"/>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9"/>
              <w:jc w:val="right"/>
              <w:rPr>
                <w:rFonts w:ascii="Arial Narrow" w:hAnsi="Arial Narrow" w:cs="Arial Narrow" w:eastAsia="Arial Narrow" w:hint="default"/>
                <w:sz w:val="24"/>
                <w:szCs w:val="24"/>
              </w:rPr>
            </w:pPr>
            <w:r>
              <w:rPr>
                <w:rFonts w:ascii="Arial Narrow"/>
                <w:spacing w:val="-1"/>
                <w:sz w:val="24"/>
              </w:rPr>
              <w:t>13,760,827.00</w:t>
            </w:r>
          </w:p>
        </w:tc>
      </w:tr>
      <w:tr>
        <w:trPr>
          <w:trHeight w:val="677" w:hRule="exact"/>
        </w:trPr>
        <w:tc>
          <w:tcPr>
            <w:tcW w:w="2259" w:type="dxa"/>
            <w:tcBorders>
              <w:top w:val="nil" w:sz="6" w:space="0" w:color="auto"/>
              <w:left w:val="nil" w:sz="6" w:space="0" w:color="auto"/>
              <w:bottom w:val="single" w:sz="4" w:space="0" w:color="000000"/>
              <w:right w:val="nil" w:sz="6" w:space="0" w:color="auto"/>
            </w:tcBorders>
          </w:tcPr>
          <w:p>
            <w:pPr>
              <w:pStyle w:val="TableParagraph"/>
              <w:spacing w:line="312" w:lineRule="exact" w:before="19"/>
              <w:ind w:left="122" w:right="137"/>
              <w:jc w:val="left"/>
              <w:rPr>
                <w:rFonts w:ascii="宋体" w:hAnsi="宋体" w:cs="宋体" w:eastAsia="宋体" w:hint="default"/>
                <w:sz w:val="24"/>
                <w:szCs w:val="24"/>
              </w:rPr>
            </w:pPr>
            <w:r>
              <w:rPr>
                <w:rFonts w:ascii="宋体" w:hAnsi="宋体" w:cs="宋体" w:eastAsia="宋体" w:hint="default"/>
                <w:spacing w:val="9"/>
                <w:sz w:val="24"/>
                <w:szCs w:val="24"/>
              </w:rPr>
              <w:t>长期股权投资减值 </w:t>
            </w:r>
            <w:r>
              <w:rPr>
                <w:rFonts w:ascii="宋体" w:hAnsi="宋体" w:cs="宋体" w:eastAsia="宋体" w:hint="default"/>
                <w:sz w:val="24"/>
                <w:szCs w:val="24"/>
              </w:rPr>
              <w:t>准备</w:t>
            </w: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195"/>
              <w:ind w:right="302"/>
              <w:jc w:val="right"/>
              <w:rPr>
                <w:rFonts w:ascii="Arial Narrow" w:hAnsi="Arial Narrow" w:cs="Arial Narrow" w:eastAsia="Arial Narrow" w:hint="default"/>
                <w:sz w:val="24"/>
                <w:szCs w:val="24"/>
              </w:rPr>
            </w:pPr>
            <w:r>
              <w:rPr>
                <w:rFonts w:ascii="Arial Narrow"/>
                <w:sz w:val="24"/>
              </w:rPr>
              <w:t>-</w:t>
            </w:r>
          </w:p>
        </w:tc>
        <w:tc>
          <w:tcPr>
            <w:tcW w:w="1852" w:type="dxa"/>
            <w:tcBorders>
              <w:top w:val="nil" w:sz="6" w:space="0" w:color="auto"/>
              <w:left w:val="nil" w:sz="6" w:space="0" w:color="auto"/>
              <w:bottom w:val="single" w:sz="4" w:space="0" w:color="000000"/>
              <w:right w:val="nil" w:sz="6" w:space="0" w:color="auto"/>
            </w:tcBorders>
          </w:tcPr>
          <w:p>
            <w:pPr>
              <w:pStyle w:val="TableParagraph"/>
              <w:spacing w:line="240" w:lineRule="auto" w:before="195"/>
              <w:ind w:right="394"/>
              <w:jc w:val="right"/>
              <w:rPr>
                <w:rFonts w:ascii="Arial Narrow" w:hAnsi="Arial Narrow" w:cs="Arial Narrow" w:eastAsia="Arial Narrow" w:hint="default"/>
                <w:sz w:val="24"/>
                <w:szCs w:val="24"/>
              </w:rPr>
            </w:pPr>
            <w:r>
              <w:rPr>
                <w:rFonts w:ascii="Arial Narrow"/>
                <w:sz w:val="24"/>
              </w:rPr>
              <w:t>-</w:t>
            </w: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195"/>
              <w:ind w:right="247"/>
              <w:jc w:val="right"/>
              <w:rPr>
                <w:rFonts w:ascii="Arial Narrow" w:hAnsi="Arial Narrow" w:cs="Arial Narrow" w:eastAsia="Arial Narrow" w:hint="default"/>
                <w:sz w:val="24"/>
                <w:szCs w:val="24"/>
              </w:rPr>
            </w:pPr>
            <w:r>
              <w:rPr>
                <w:rFonts w:ascii="Arial Narrow"/>
                <w:sz w:val="24"/>
              </w:rPr>
              <w:t>-</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195"/>
              <w:ind w:right="108"/>
              <w:jc w:val="right"/>
              <w:rPr>
                <w:rFonts w:ascii="Arial Narrow" w:hAnsi="Arial Narrow" w:cs="Arial Narrow" w:eastAsia="Arial Narrow" w:hint="default"/>
                <w:sz w:val="24"/>
                <w:szCs w:val="24"/>
              </w:rPr>
            </w:pPr>
            <w:r>
              <w:rPr>
                <w:rFonts w:ascii="Arial Narrow"/>
                <w:sz w:val="24"/>
              </w:rPr>
              <w:t>-</w:t>
            </w:r>
          </w:p>
        </w:tc>
      </w:tr>
      <w:tr>
        <w:trPr>
          <w:trHeight w:val="458" w:hRule="exact"/>
        </w:trPr>
        <w:tc>
          <w:tcPr>
            <w:tcW w:w="2259"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240" w:lineRule="auto" w:before="27"/>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705"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303"/>
              <w:jc w:val="right"/>
              <w:rPr>
                <w:rFonts w:ascii="Arial Narrow" w:hAnsi="Arial Narrow" w:cs="Arial Narrow" w:eastAsia="Arial Narrow" w:hint="default"/>
                <w:sz w:val="24"/>
                <w:szCs w:val="24"/>
              </w:rPr>
            </w:pPr>
            <w:r>
              <w:rPr>
                <w:rFonts w:ascii="Arial Narrow"/>
                <w:b/>
                <w:spacing w:val="-1"/>
                <w:sz w:val="24"/>
              </w:rPr>
              <w:t>12,187,580.48</w:t>
            </w:r>
            <w:r>
              <w:rPr>
                <w:rFonts w:ascii="Arial Narrow"/>
                <w:spacing w:val="-1"/>
                <w:sz w:val="24"/>
              </w:rPr>
            </w:r>
          </w:p>
        </w:tc>
        <w:tc>
          <w:tcPr>
            <w:tcW w:w="1852"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395"/>
              <w:jc w:val="right"/>
              <w:rPr>
                <w:rFonts w:ascii="Arial Narrow" w:hAnsi="Arial Narrow" w:cs="Arial Narrow" w:eastAsia="Arial Narrow" w:hint="default"/>
                <w:sz w:val="24"/>
                <w:szCs w:val="24"/>
              </w:rPr>
            </w:pPr>
            <w:r>
              <w:rPr>
                <w:rFonts w:ascii="Arial Narrow"/>
                <w:b/>
                <w:spacing w:val="-1"/>
                <w:sz w:val="24"/>
              </w:rPr>
              <w:t>1,573,246.52</w:t>
            </w:r>
            <w:r>
              <w:rPr>
                <w:rFonts w:ascii="Arial Narrow"/>
                <w:spacing w:val="-1"/>
                <w:sz w:val="24"/>
              </w:rPr>
            </w:r>
          </w:p>
        </w:tc>
        <w:tc>
          <w:tcPr>
            <w:tcW w:w="1612"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247"/>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620"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09"/>
              <w:jc w:val="right"/>
              <w:rPr>
                <w:rFonts w:ascii="Arial Narrow" w:hAnsi="Arial Narrow" w:cs="Arial Narrow" w:eastAsia="Arial Narrow" w:hint="default"/>
                <w:sz w:val="24"/>
                <w:szCs w:val="24"/>
              </w:rPr>
            </w:pPr>
            <w:r>
              <w:rPr>
                <w:rFonts w:ascii="Arial Narrow"/>
                <w:b/>
                <w:spacing w:val="-1"/>
                <w:sz w:val="24"/>
              </w:rPr>
              <w:t>13,760,827.00</w:t>
            </w:r>
            <w:r>
              <w:rPr>
                <w:rFonts w:ascii="Arial Narrow"/>
                <w:spacing w:val="-1"/>
                <w:sz w:val="24"/>
              </w:rPr>
            </w:r>
          </w:p>
        </w:tc>
      </w:tr>
    </w:tbl>
    <w:p>
      <w:pPr>
        <w:spacing w:after="0" w:line="240" w:lineRule="auto"/>
        <w:jc w:val="right"/>
        <w:rPr>
          <w:rFonts w:ascii="Arial Narrow" w:hAnsi="Arial Narrow" w:cs="Arial Narrow" w:eastAsia="Arial Narrow" w:hint="default"/>
          <w:sz w:val="24"/>
          <w:szCs w:val="24"/>
        </w:rPr>
        <w:sectPr>
          <w:pgSz w:w="11900" w:h="16850"/>
          <w:pgMar w:header="771" w:footer="919" w:top="1640" w:bottom="1100" w:left="1140" w:right="980"/>
        </w:sectPr>
      </w:pPr>
    </w:p>
    <w:p>
      <w:pPr>
        <w:pStyle w:val="BodyText"/>
        <w:spacing w:line="312" w:lineRule="exact" w:before="28"/>
        <w:ind w:left="152" w:right="11408"/>
        <w:jc w:val="left"/>
      </w:pPr>
      <w:r>
        <w:rPr/>
        <w:t>北京超图软件股份有限公司 财务报表附注</w:t>
      </w:r>
    </w:p>
    <w:p>
      <w:pPr>
        <w:pStyle w:val="BodyText"/>
        <w:spacing w:line="300" w:lineRule="exact"/>
        <w:ind w:left="152" w:right="0"/>
        <w:jc w:val="left"/>
      </w:pPr>
      <w:r>
        <w:rPr>
          <w:rFonts w:ascii="Arial Narrow" w:hAnsi="Arial Narrow" w:cs="Arial Narrow" w:eastAsia="Arial Narrow" w:hint="default"/>
        </w:rPr>
        <w:t>2011</w:t>
      </w:r>
      <w:r>
        <w:rPr>
          <w:rFonts w:ascii="Arial Narrow" w:hAnsi="Arial Narrow" w:cs="Arial Narrow" w:eastAsia="Arial Narrow" w:hint="default"/>
          <w:spacing w:val="5"/>
        </w:rPr>
        <w:t> </w:t>
      </w:r>
      <w:r>
        <w:rPr/>
        <w:t>年度（除特别注明外，金额单位为人民币元）</w:t>
      </w:r>
    </w:p>
    <w:p>
      <w:pPr>
        <w:spacing w:line="240" w:lineRule="auto" w:before="8"/>
        <w:rPr>
          <w:rFonts w:ascii="宋体" w:hAnsi="宋体" w:cs="宋体" w:eastAsia="宋体" w:hint="default"/>
          <w:sz w:val="4"/>
          <w:szCs w:val="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710.8pt;height:.75pt;mso-position-horizontal-relative:char;mso-position-vertical-relative:line" coordorigin="0,0" coordsize="14216,15">
            <v:group style="position:absolute;left:7;top:7;width:14201;height:2" coordorigin="7,7" coordsize="14201,2">
              <v:shape style="position:absolute;left:7;top:7;width:14201;height:2" coordorigin="7,7" coordsize="14201,0" path="m7,7l14208,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ind w:left="570" w:right="0"/>
        <w:jc w:val="left"/>
      </w:pPr>
      <w:r>
        <w:rPr/>
        <w:t>（</w:t>
      </w:r>
      <w:r>
        <w:rPr>
          <w:rFonts w:ascii="Arial Narrow" w:hAnsi="Arial Narrow" w:cs="Arial Narrow" w:eastAsia="Arial Narrow" w:hint="default"/>
        </w:rPr>
        <w:t>2</w:t>
      </w:r>
      <w:r>
        <w:rPr/>
        <w:t>）长期股权投资汇总表</w:t>
      </w:r>
    </w:p>
    <w:p>
      <w:pPr>
        <w:spacing w:line="240" w:lineRule="auto" w:before="2"/>
        <w:rPr>
          <w:rFonts w:ascii="宋体" w:hAnsi="宋体" w:cs="宋体" w:eastAsia="宋体" w:hint="default"/>
          <w:sz w:val="18"/>
          <w:szCs w:val="18"/>
        </w:rPr>
      </w:pPr>
    </w:p>
    <w:tbl>
      <w:tblPr>
        <w:tblW w:w="0" w:type="auto"/>
        <w:jc w:val="left"/>
        <w:tblInd w:w="558" w:type="dxa"/>
        <w:tblLayout w:type="fixed"/>
        <w:tblCellMar>
          <w:top w:w="0" w:type="dxa"/>
          <w:left w:w="0" w:type="dxa"/>
          <w:bottom w:w="0" w:type="dxa"/>
          <w:right w:w="0" w:type="dxa"/>
        </w:tblCellMar>
        <w:tblLook w:val="01E0"/>
      </w:tblPr>
      <w:tblGrid>
        <w:gridCol w:w="1086"/>
        <w:gridCol w:w="1072"/>
        <w:gridCol w:w="1364"/>
        <w:gridCol w:w="1271"/>
        <w:gridCol w:w="1222"/>
        <w:gridCol w:w="1320"/>
        <w:gridCol w:w="1058"/>
        <w:gridCol w:w="1113"/>
        <w:gridCol w:w="1148"/>
        <w:gridCol w:w="1093"/>
        <w:gridCol w:w="1085"/>
        <w:gridCol w:w="961"/>
      </w:tblGrid>
      <w:tr>
        <w:trPr>
          <w:trHeight w:val="1649" w:hRule="exact"/>
        </w:trPr>
        <w:tc>
          <w:tcPr>
            <w:tcW w:w="108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2" w:right="78"/>
              <w:jc w:val="left"/>
              <w:rPr>
                <w:rFonts w:ascii="宋体" w:hAnsi="宋体" w:cs="宋体" w:eastAsia="宋体" w:hint="default"/>
                <w:sz w:val="21"/>
                <w:szCs w:val="21"/>
              </w:rPr>
            </w:pPr>
            <w:r>
              <w:rPr>
                <w:rFonts w:ascii="宋体" w:hAnsi="宋体" w:cs="宋体" w:eastAsia="宋体" w:hint="default"/>
                <w:b/>
                <w:bCs/>
                <w:spacing w:val="8"/>
                <w:sz w:val="21"/>
                <w:szCs w:val="21"/>
              </w:rPr>
              <w:t>被投资单</w:t>
            </w:r>
            <w:r>
              <w:rPr>
                <w:rFonts w:ascii="宋体" w:hAnsi="宋体" w:cs="宋体" w:eastAsia="宋体" w:hint="default"/>
                <w:b/>
                <w:bCs/>
                <w:spacing w:val="-101"/>
                <w:sz w:val="21"/>
                <w:szCs w:val="21"/>
              </w:rPr>
              <w:t> </w:t>
            </w:r>
            <w:r>
              <w:rPr>
                <w:rFonts w:ascii="宋体" w:hAnsi="宋体" w:cs="宋体" w:eastAsia="宋体" w:hint="default"/>
                <w:b/>
                <w:bCs/>
                <w:sz w:val="21"/>
                <w:szCs w:val="21"/>
              </w:rPr>
              <w:t>位名称</w:t>
            </w:r>
            <w:r>
              <w:rPr>
                <w:rFonts w:ascii="宋体" w:hAnsi="宋体" w:cs="宋体" w:eastAsia="宋体" w:hint="default"/>
                <w:sz w:val="21"/>
                <w:szCs w:val="21"/>
              </w:rPr>
            </w:r>
          </w:p>
        </w:tc>
        <w:tc>
          <w:tcPr>
            <w:tcW w:w="107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80" w:right="0"/>
              <w:jc w:val="left"/>
              <w:rPr>
                <w:rFonts w:ascii="宋体" w:hAnsi="宋体" w:cs="宋体" w:eastAsia="宋体" w:hint="default"/>
                <w:sz w:val="21"/>
                <w:szCs w:val="21"/>
              </w:rPr>
            </w:pPr>
            <w:r>
              <w:rPr>
                <w:rFonts w:ascii="宋体" w:hAnsi="宋体" w:cs="宋体" w:eastAsia="宋体" w:hint="default"/>
                <w:b/>
                <w:bCs/>
                <w:sz w:val="21"/>
                <w:szCs w:val="21"/>
              </w:rPr>
              <w:t>核算方法</w:t>
            </w:r>
            <w:r>
              <w:rPr>
                <w:rFonts w:ascii="宋体" w:hAnsi="宋体" w:cs="宋体" w:eastAsia="宋体" w:hint="default"/>
                <w:sz w:val="21"/>
                <w:szCs w:val="21"/>
              </w:rPr>
            </w:r>
          </w:p>
        </w:tc>
        <w:tc>
          <w:tcPr>
            <w:tcW w:w="1364"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27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222"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c>
          <w:tcPr>
            <w:tcW w:w="132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2"/>
              <w:jc w:val="righ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058"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 w:right="156"/>
              <w:jc w:val="left"/>
              <w:rPr>
                <w:rFonts w:ascii="宋体" w:hAnsi="宋体" w:cs="宋体" w:eastAsia="宋体" w:hint="default"/>
                <w:sz w:val="21"/>
                <w:szCs w:val="21"/>
              </w:rPr>
            </w:pPr>
            <w:r>
              <w:rPr>
                <w:rFonts w:ascii="宋体" w:hAnsi="宋体" w:cs="宋体" w:eastAsia="宋体" w:hint="default"/>
                <w:b/>
                <w:bCs/>
                <w:sz w:val="21"/>
                <w:szCs w:val="21"/>
              </w:rPr>
              <w:t>在被投资</w:t>
            </w:r>
            <w:r>
              <w:rPr>
                <w:rFonts w:ascii="宋体" w:hAnsi="宋体" w:cs="宋体" w:eastAsia="宋体" w:hint="default"/>
                <w:b/>
                <w:bCs/>
                <w:w w:val="100"/>
                <w:sz w:val="21"/>
                <w:szCs w:val="21"/>
              </w:rPr>
              <w:t> </w:t>
            </w:r>
            <w:r>
              <w:rPr>
                <w:rFonts w:ascii="宋体" w:hAnsi="宋体" w:cs="宋体" w:eastAsia="宋体" w:hint="default"/>
                <w:b/>
                <w:bCs/>
                <w:sz w:val="21"/>
                <w:szCs w:val="21"/>
              </w:rPr>
              <w:t>单位持股</w:t>
            </w:r>
            <w:r>
              <w:rPr>
                <w:rFonts w:ascii="宋体" w:hAnsi="宋体" w:cs="宋体" w:eastAsia="宋体" w:hint="default"/>
                <w:sz w:val="21"/>
                <w:szCs w:val="21"/>
              </w:rPr>
            </w:r>
          </w:p>
          <w:p>
            <w:pPr>
              <w:pStyle w:val="TableParagraph"/>
              <w:spacing w:line="286" w:lineRule="exact"/>
              <w:ind w:left="322" w:right="0"/>
              <w:jc w:val="lef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113"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8" w:right="316"/>
              <w:jc w:val="both"/>
              <w:rPr>
                <w:rFonts w:ascii="Arial Narrow" w:hAnsi="Arial Narrow" w:cs="Arial Narrow" w:eastAsia="Arial Narrow" w:hint="default"/>
                <w:sz w:val="21"/>
                <w:szCs w:val="21"/>
              </w:rPr>
            </w:pPr>
            <w:r>
              <w:rPr>
                <w:rFonts w:ascii="宋体" w:hAnsi="宋体" w:cs="宋体" w:eastAsia="宋体" w:hint="default"/>
                <w:b/>
                <w:bCs/>
                <w:sz w:val="21"/>
                <w:szCs w:val="21"/>
              </w:rPr>
              <w:t>在被投</w:t>
            </w:r>
            <w:r>
              <w:rPr>
                <w:rFonts w:ascii="宋体" w:hAnsi="宋体" w:cs="宋体" w:eastAsia="宋体" w:hint="default"/>
                <w:b/>
                <w:bCs/>
                <w:w w:val="100"/>
                <w:sz w:val="21"/>
                <w:szCs w:val="21"/>
              </w:rPr>
              <w:t> </w:t>
            </w:r>
            <w:r>
              <w:rPr>
                <w:rFonts w:ascii="宋体" w:hAnsi="宋体" w:cs="宋体" w:eastAsia="宋体" w:hint="default"/>
                <w:b/>
                <w:bCs/>
                <w:sz w:val="21"/>
                <w:szCs w:val="21"/>
              </w:rPr>
              <w:t>资单位</w:t>
            </w:r>
            <w:r>
              <w:rPr>
                <w:rFonts w:ascii="宋体" w:hAnsi="宋体" w:cs="宋体" w:eastAsia="宋体" w:hint="default"/>
                <w:b/>
                <w:bCs/>
                <w:w w:val="100"/>
                <w:sz w:val="21"/>
                <w:szCs w:val="21"/>
              </w:rPr>
              <w:t> </w:t>
            </w:r>
            <w:r>
              <w:rPr>
                <w:rFonts w:ascii="宋体" w:hAnsi="宋体" w:cs="宋体" w:eastAsia="宋体" w:hint="default"/>
                <w:b/>
                <w:bCs/>
                <w:sz w:val="21"/>
                <w:szCs w:val="21"/>
              </w:rPr>
              <w:t>表决权</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148"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b/>
                <w:bCs/>
                <w:sz w:val="21"/>
                <w:szCs w:val="21"/>
              </w:rPr>
              <w:t>在被投资</w:t>
            </w:r>
            <w:r>
              <w:rPr>
                <w:rFonts w:ascii="宋体" w:hAnsi="宋体" w:cs="宋体" w:eastAsia="宋体" w:hint="default"/>
                <w:sz w:val="21"/>
                <w:szCs w:val="21"/>
              </w:rPr>
            </w:r>
          </w:p>
          <w:p>
            <w:pPr>
              <w:pStyle w:val="TableParagraph"/>
              <w:spacing w:line="237" w:lineRule="auto" w:before="2"/>
              <w:ind w:left="177" w:right="123"/>
              <w:jc w:val="both"/>
              <w:rPr>
                <w:rFonts w:ascii="宋体" w:hAnsi="宋体" w:cs="宋体" w:eastAsia="宋体" w:hint="default"/>
                <w:sz w:val="21"/>
                <w:szCs w:val="21"/>
              </w:rPr>
            </w:pPr>
            <w:r>
              <w:rPr>
                <w:rFonts w:ascii="宋体" w:hAnsi="宋体" w:cs="宋体" w:eastAsia="宋体" w:hint="default"/>
                <w:b/>
                <w:bCs/>
                <w:sz w:val="21"/>
                <w:szCs w:val="21"/>
              </w:rPr>
              <w:t>单位持股</w:t>
            </w:r>
            <w:r>
              <w:rPr>
                <w:rFonts w:ascii="宋体" w:hAnsi="宋体" w:cs="宋体" w:eastAsia="宋体" w:hint="default"/>
                <w:b/>
                <w:bCs/>
                <w:w w:val="100"/>
                <w:sz w:val="21"/>
                <w:szCs w:val="21"/>
              </w:rPr>
              <w:t> </w:t>
            </w:r>
            <w:r>
              <w:rPr>
                <w:rFonts w:ascii="宋体" w:hAnsi="宋体" w:cs="宋体" w:eastAsia="宋体" w:hint="default"/>
                <w:b/>
                <w:bCs/>
                <w:sz w:val="21"/>
                <w:szCs w:val="21"/>
              </w:rPr>
              <w:t>比例与表</w:t>
            </w:r>
            <w:r>
              <w:rPr>
                <w:rFonts w:ascii="宋体" w:hAnsi="宋体" w:cs="宋体" w:eastAsia="宋体" w:hint="default"/>
                <w:b/>
                <w:bCs/>
                <w:w w:val="100"/>
                <w:sz w:val="21"/>
                <w:szCs w:val="21"/>
              </w:rPr>
              <w:t> </w:t>
            </w:r>
            <w:r>
              <w:rPr>
                <w:rFonts w:ascii="宋体" w:hAnsi="宋体" w:cs="宋体" w:eastAsia="宋体" w:hint="default"/>
                <w:b/>
                <w:bCs/>
                <w:sz w:val="21"/>
                <w:szCs w:val="21"/>
              </w:rPr>
              <w:t>决权比例</w:t>
            </w:r>
            <w:r>
              <w:rPr>
                <w:rFonts w:ascii="宋体" w:hAnsi="宋体" w:cs="宋体" w:eastAsia="宋体" w:hint="default"/>
                <w:b/>
                <w:bCs/>
                <w:w w:val="100"/>
                <w:sz w:val="21"/>
                <w:szCs w:val="21"/>
              </w:rPr>
              <w:t> </w:t>
            </w:r>
            <w:r>
              <w:rPr>
                <w:rFonts w:ascii="宋体" w:hAnsi="宋体" w:cs="宋体" w:eastAsia="宋体" w:hint="default"/>
                <w:b/>
                <w:bCs/>
                <w:sz w:val="21"/>
                <w:szCs w:val="21"/>
              </w:rPr>
              <w:t>不一致的</w:t>
            </w:r>
            <w:r>
              <w:rPr>
                <w:rFonts w:ascii="宋体" w:hAnsi="宋体" w:cs="宋体" w:eastAsia="宋体" w:hint="default"/>
                <w:sz w:val="21"/>
                <w:szCs w:val="21"/>
              </w:rPr>
            </w:r>
          </w:p>
          <w:p>
            <w:pPr>
              <w:pStyle w:val="TableParagraph"/>
              <w:spacing w:line="271" w:lineRule="exact"/>
              <w:ind w:left="598"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c>
          <w:tcPr>
            <w:tcW w:w="109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21"/>
              <w:jc w:val="righ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085"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3" w:right="114"/>
              <w:jc w:val="left"/>
              <w:rPr>
                <w:rFonts w:ascii="宋体" w:hAnsi="宋体" w:cs="宋体" w:eastAsia="宋体" w:hint="default"/>
                <w:sz w:val="21"/>
                <w:szCs w:val="21"/>
              </w:rPr>
            </w:pPr>
            <w:r>
              <w:rPr>
                <w:rFonts w:ascii="宋体" w:hAnsi="宋体" w:cs="宋体" w:eastAsia="宋体" w:hint="default"/>
                <w:b/>
                <w:bCs/>
                <w:sz w:val="21"/>
                <w:szCs w:val="21"/>
              </w:rPr>
              <w:t>本期计提</w:t>
            </w:r>
            <w:r>
              <w:rPr>
                <w:rFonts w:ascii="宋体" w:hAnsi="宋体" w:cs="宋体" w:eastAsia="宋体" w:hint="default"/>
                <w:b/>
                <w:bCs/>
                <w:w w:val="100"/>
                <w:sz w:val="21"/>
                <w:szCs w:val="21"/>
              </w:rPr>
              <w:t> </w:t>
            </w:r>
            <w:r>
              <w:rPr>
                <w:rFonts w:ascii="宋体" w:hAnsi="宋体" w:cs="宋体" w:eastAsia="宋体" w:hint="default"/>
                <w:b/>
                <w:bCs/>
                <w:sz w:val="21"/>
                <w:szCs w:val="21"/>
              </w:rPr>
              <w:t>减值准备</w:t>
            </w:r>
            <w:r>
              <w:rPr>
                <w:rFonts w:ascii="宋体" w:hAnsi="宋体" w:cs="宋体" w:eastAsia="宋体" w:hint="default"/>
                <w:sz w:val="21"/>
                <w:szCs w:val="21"/>
              </w:rPr>
            </w:r>
          </w:p>
        </w:tc>
        <w:tc>
          <w:tcPr>
            <w:tcW w:w="961"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4" w:lineRule="exact"/>
              <w:ind w:left="116" w:right="0"/>
              <w:jc w:val="left"/>
              <w:rPr>
                <w:rFonts w:ascii="宋体" w:hAnsi="宋体" w:cs="宋体" w:eastAsia="宋体" w:hint="default"/>
                <w:sz w:val="21"/>
                <w:szCs w:val="21"/>
              </w:rPr>
            </w:pPr>
            <w:r>
              <w:rPr>
                <w:rFonts w:ascii="宋体" w:hAnsi="宋体" w:cs="宋体" w:eastAsia="宋体" w:hint="default"/>
                <w:b/>
                <w:bCs/>
                <w:sz w:val="21"/>
                <w:szCs w:val="21"/>
              </w:rPr>
              <w:t>本期现金</w:t>
            </w:r>
            <w:r>
              <w:rPr>
                <w:rFonts w:ascii="宋体" w:hAnsi="宋体" w:cs="宋体" w:eastAsia="宋体" w:hint="default"/>
                <w:sz w:val="21"/>
                <w:szCs w:val="21"/>
              </w:rPr>
            </w:r>
          </w:p>
          <w:p>
            <w:pPr>
              <w:pStyle w:val="TableParagraph"/>
              <w:spacing w:line="274" w:lineRule="exact"/>
              <w:ind w:left="536" w:right="0"/>
              <w:jc w:val="left"/>
              <w:rPr>
                <w:rFonts w:ascii="宋体" w:hAnsi="宋体" w:cs="宋体" w:eastAsia="宋体" w:hint="default"/>
                <w:sz w:val="21"/>
                <w:szCs w:val="21"/>
              </w:rPr>
            </w:pP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549" w:hRule="exact"/>
        </w:trPr>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①对合营</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072" w:type="dxa"/>
            <w:tcBorders>
              <w:top w:val="single" w:sz="4" w:space="0" w:color="000000"/>
              <w:left w:val="nil" w:sz="6" w:space="0" w:color="auto"/>
              <w:bottom w:val="nil" w:sz="6" w:space="0" w:color="auto"/>
              <w:right w:val="nil" w:sz="6" w:space="0" w:color="auto"/>
            </w:tcBorders>
          </w:tcPr>
          <w:p>
            <w:pPr/>
          </w:p>
        </w:tc>
        <w:tc>
          <w:tcPr>
            <w:tcW w:w="1364" w:type="dxa"/>
            <w:tcBorders>
              <w:top w:val="single" w:sz="4" w:space="0" w:color="000000"/>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
        </w:tc>
        <w:tc>
          <w:tcPr>
            <w:tcW w:w="1222" w:type="dxa"/>
            <w:tcBorders>
              <w:top w:val="single" w:sz="4" w:space="0" w:color="000000"/>
              <w:left w:val="nil" w:sz="6" w:space="0" w:color="auto"/>
              <w:bottom w:val="nil" w:sz="6" w:space="0" w:color="auto"/>
              <w:right w:val="nil" w:sz="6" w:space="0" w:color="auto"/>
            </w:tcBorders>
          </w:tcPr>
          <w:p>
            <w:pPr/>
          </w:p>
        </w:tc>
        <w:tc>
          <w:tcPr>
            <w:tcW w:w="1320" w:type="dxa"/>
            <w:tcBorders>
              <w:top w:val="single" w:sz="4" w:space="0" w:color="000000"/>
              <w:left w:val="nil" w:sz="6" w:space="0" w:color="auto"/>
              <w:bottom w:val="nil" w:sz="6" w:space="0" w:color="auto"/>
              <w:right w:val="nil" w:sz="6" w:space="0" w:color="auto"/>
            </w:tcBorders>
          </w:tcPr>
          <w:p>
            <w:pPr/>
          </w:p>
        </w:tc>
        <w:tc>
          <w:tcPr>
            <w:tcW w:w="1058" w:type="dxa"/>
            <w:tcBorders>
              <w:top w:val="single" w:sz="4" w:space="0" w:color="000000"/>
              <w:left w:val="nil" w:sz="6" w:space="0" w:color="auto"/>
              <w:bottom w:val="nil" w:sz="6" w:space="0" w:color="auto"/>
              <w:right w:val="nil" w:sz="6" w:space="0" w:color="auto"/>
            </w:tcBorders>
          </w:tcPr>
          <w:p>
            <w:pPr/>
          </w:p>
        </w:tc>
        <w:tc>
          <w:tcPr>
            <w:tcW w:w="1113" w:type="dxa"/>
            <w:tcBorders>
              <w:top w:val="single" w:sz="4" w:space="0" w:color="000000"/>
              <w:left w:val="nil" w:sz="6" w:space="0" w:color="auto"/>
              <w:bottom w:val="nil" w:sz="6" w:space="0" w:color="auto"/>
              <w:right w:val="nil" w:sz="6" w:space="0" w:color="auto"/>
            </w:tcBorders>
          </w:tcPr>
          <w:p>
            <w:pPr/>
          </w:p>
        </w:tc>
        <w:tc>
          <w:tcPr>
            <w:tcW w:w="1148" w:type="dxa"/>
            <w:tcBorders>
              <w:top w:val="single" w:sz="4" w:space="0" w:color="000000"/>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nil" w:sz="6" w:space="0" w:color="auto"/>
              <w:right w:val="nil" w:sz="6" w:space="0" w:color="auto"/>
            </w:tcBorders>
          </w:tcPr>
          <w:p>
            <w:pPr/>
          </w:p>
        </w:tc>
        <w:tc>
          <w:tcPr>
            <w:tcW w:w="961" w:type="dxa"/>
            <w:tcBorders>
              <w:top w:val="single" w:sz="4" w:space="0" w:color="000000"/>
              <w:left w:val="nil" w:sz="6" w:space="0" w:color="auto"/>
              <w:bottom w:val="nil" w:sz="6" w:space="0" w:color="auto"/>
              <w:right w:val="nil" w:sz="6" w:space="0" w:color="auto"/>
            </w:tcBorders>
          </w:tcPr>
          <w:p>
            <w:pPr/>
          </w:p>
        </w:tc>
      </w:tr>
      <w:tr>
        <w:trPr>
          <w:trHeight w:val="545"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②对联营</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07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113"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r>
      <w:tr>
        <w:trPr>
          <w:trHeight w:val="816"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8"/>
                <w:sz w:val="21"/>
                <w:szCs w:val="21"/>
              </w:rPr>
              <w:t>浙江中科</w:t>
            </w:r>
            <w:r>
              <w:rPr>
                <w:rFonts w:ascii="宋体" w:hAnsi="宋体" w:cs="宋体" w:eastAsia="宋体" w:hint="default"/>
                <w:sz w:val="21"/>
                <w:szCs w:val="21"/>
              </w:rPr>
            </w:r>
          </w:p>
          <w:p>
            <w:pPr>
              <w:pStyle w:val="TableParagraph"/>
              <w:spacing w:line="240" w:lineRule="auto"/>
              <w:ind w:left="122" w:right="78"/>
              <w:jc w:val="left"/>
              <w:rPr>
                <w:rFonts w:ascii="宋体" w:hAnsi="宋体" w:cs="宋体" w:eastAsia="宋体" w:hint="default"/>
                <w:sz w:val="21"/>
                <w:szCs w:val="21"/>
              </w:rPr>
            </w:pPr>
            <w:r>
              <w:rPr>
                <w:rFonts w:ascii="宋体" w:hAnsi="宋体" w:cs="宋体" w:eastAsia="宋体" w:hint="default"/>
                <w:spacing w:val="8"/>
                <w:sz w:val="21"/>
                <w:szCs w:val="21"/>
              </w:rPr>
              <w:t>数城软件</w:t>
            </w:r>
            <w:r>
              <w:rPr>
                <w:rFonts w:ascii="宋体" w:hAnsi="宋体" w:cs="宋体" w:eastAsia="宋体" w:hint="default"/>
                <w:spacing w:val="-97"/>
                <w:sz w:val="21"/>
                <w:szCs w:val="21"/>
              </w:rPr>
              <w:t> </w:t>
            </w:r>
            <w:r>
              <w:rPr>
                <w:rFonts w:ascii="宋体" w:hAnsi="宋体" w:cs="宋体" w:eastAsia="宋体" w:hint="default"/>
                <w:sz w:val="21"/>
                <w:szCs w:val="21"/>
              </w:rPr>
              <w:t>有限公司</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6" w:right="0"/>
              <w:jc w:val="left"/>
              <w:rPr>
                <w:rFonts w:ascii="Arial Narrow" w:hAnsi="Arial Narrow" w:cs="Arial Narrow" w:eastAsia="Arial Narrow" w:hint="default"/>
                <w:sz w:val="21"/>
                <w:szCs w:val="21"/>
              </w:rPr>
            </w:pPr>
            <w:r>
              <w:rPr>
                <w:rFonts w:ascii="Arial Narrow"/>
                <w:sz w:val="21"/>
              </w:rPr>
              <w:t>2,336,000.00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3" w:right="0"/>
              <w:jc w:val="left"/>
              <w:rPr>
                <w:rFonts w:ascii="Arial Narrow" w:hAnsi="Arial Narrow" w:cs="Arial Narrow" w:eastAsia="Arial Narrow" w:hint="default"/>
                <w:sz w:val="21"/>
                <w:szCs w:val="21"/>
              </w:rPr>
            </w:pPr>
            <w:r>
              <w:rPr>
                <w:rFonts w:ascii="Arial Narrow"/>
                <w:sz w:val="21"/>
              </w:rPr>
              <w:t>2,665,115.90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0" w:right="0"/>
              <w:jc w:val="left"/>
              <w:rPr>
                <w:rFonts w:ascii="Arial Narrow" w:hAnsi="Arial Narrow" w:cs="Arial Narrow" w:eastAsia="Arial Narrow" w:hint="default"/>
                <w:sz w:val="21"/>
                <w:szCs w:val="21"/>
              </w:rPr>
            </w:pPr>
            <w:r>
              <w:rPr>
                <w:rFonts w:ascii="Arial Narrow"/>
                <w:sz w:val="21"/>
              </w:rPr>
              <w:t>-327,418.55</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49" w:right="0"/>
              <w:jc w:val="left"/>
              <w:rPr>
                <w:rFonts w:ascii="Arial Narrow" w:hAnsi="Arial Narrow" w:cs="Arial Narrow" w:eastAsia="Arial Narrow" w:hint="default"/>
                <w:sz w:val="21"/>
                <w:szCs w:val="21"/>
              </w:rPr>
            </w:pPr>
            <w:r>
              <w:rPr>
                <w:rFonts w:ascii="Arial Narrow"/>
                <w:sz w:val="21"/>
              </w:rPr>
              <w:t>2,337,697.35</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59"/>
              <w:jc w:val="right"/>
              <w:rPr>
                <w:rFonts w:ascii="Arial Narrow" w:hAnsi="Arial Narrow" w:cs="Arial Narrow" w:eastAsia="Arial Narrow" w:hint="default"/>
                <w:sz w:val="21"/>
                <w:szCs w:val="21"/>
              </w:rPr>
            </w:pPr>
            <w:r>
              <w:rPr>
                <w:rFonts w:ascii="Arial Narrow"/>
                <w:spacing w:val="-1"/>
                <w:sz w:val="21"/>
              </w:rPr>
              <w:t>23.36</w:t>
            </w:r>
            <w:r>
              <w:rPr>
                <w:rFonts w:ascii="Arial Narrow"/>
                <w:sz w:val="21"/>
              </w:rPr>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78"/>
              <w:jc w:val="right"/>
              <w:rPr>
                <w:rFonts w:ascii="Arial Narrow" w:hAnsi="Arial Narrow" w:cs="Arial Narrow" w:eastAsia="Arial Narrow" w:hint="default"/>
                <w:sz w:val="21"/>
                <w:szCs w:val="21"/>
              </w:rPr>
            </w:pPr>
            <w:r>
              <w:rPr>
                <w:rFonts w:ascii="Arial Narrow"/>
                <w:spacing w:val="-1"/>
                <w:sz w:val="21"/>
              </w:rPr>
              <w:t>23.36</w:t>
            </w:r>
            <w:r>
              <w:rPr>
                <w:rFonts w:ascii="Arial Narrow"/>
                <w:sz w:val="21"/>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0"/>
              <w:jc w:val="right"/>
              <w:rPr>
                <w:rFonts w:ascii="Arial Narrow" w:hAnsi="Arial Narrow" w:cs="Arial Narrow" w:eastAsia="Arial Narrow" w:hint="default"/>
                <w:sz w:val="21"/>
                <w:szCs w:val="21"/>
              </w:rPr>
            </w:pPr>
            <w:r>
              <w:rPr>
                <w:rFonts w:ascii="Arial Narrow"/>
                <w:w w:val="100"/>
                <w:sz w:val="21"/>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9"/>
              <w:jc w:val="right"/>
              <w:rPr>
                <w:rFonts w:ascii="Arial Narrow" w:hAnsi="Arial Narrow" w:cs="Arial Narrow" w:eastAsia="Arial Narrow" w:hint="default"/>
                <w:sz w:val="21"/>
                <w:szCs w:val="21"/>
              </w:rPr>
            </w:pPr>
            <w:r>
              <w:rPr>
                <w:rFonts w:ascii="Arial Narrow"/>
                <w:w w:val="100"/>
                <w:sz w:val="21"/>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2"/>
              <w:jc w:val="right"/>
              <w:rPr>
                <w:rFonts w:ascii="Arial Narrow" w:hAnsi="Arial Narrow" w:cs="Arial Narrow" w:eastAsia="Arial Narrow" w:hint="default"/>
                <w:sz w:val="21"/>
                <w:szCs w:val="21"/>
              </w:rPr>
            </w:pPr>
            <w:r>
              <w:rPr>
                <w:rFonts w:ascii="Arial Narrow"/>
                <w:w w:val="100"/>
                <w:sz w:val="21"/>
              </w:rPr>
              <w:t>-</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r>
      <w:tr>
        <w:trPr>
          <w:trHeight w:val="1090"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spacing w:val="8"/>
                <w:sz w:val="21"/>
                <w:szCs w:val="21"/>
              </w:rPr>
              <w:t>北京国遥</w:t>
            </w:r>
            <w:r>
              <w:rPr>
                <w:rFonts w:ascii="宋体" w:hAnsi="宋体" w:cs="宋体" w:eastAsia="宋体" w:hint="default"/>
                <w:sz w:val="21"/>
                <w:szCs w:val="21"/>
              </w:rPr>
            </w:r>
          </w:p>
          <w:p>
            <w:pPr>
              <w:pStyle w:val="TableParagraph"/>
              <w:spacing w:line="237" w:lineRule="auto" w:before="2"/>
              <w:ind w:left="122" w:right="78"/>
              <w:jc w:val="both"/>
              <w:rPr>
                <w:rFonts w:ascii="宋体" w:hAnsi="宋体" w:cs="宋体" w:eastAsia="宋体" w:hint="default"/>
                <w:sz w:val="21"/>
                <w:szCs w:val="21"/>
              </w:rPr>
            </w:pPr>
            <w:r>
              <w:rPr>
                <w:rFonts w:ascii="宋体" w:hAnsi="宋体" w:cs="宋体" w:eastAsia="宋体" w:hint="default"/>
                <w:spacing w:val="8"/>
                <w:sz w:val="21"/>
                <w:szCs w:val="21"/>
              </w:rPr>
              <w:t>新天地信</w:t>
            </w:r>
            <w:r>
              <w:rPr>
                <w:rFonts w:ascii="宋体" w:hAnsi="宋体" w:cs="宋体" w:eastAsia="宋体" w:hint="default"/>
                <w:spacing w:val="-97"/>
                <w:sz w:val="21"/>
                <w:szCs w:val="21"/>
              </w:rPr>
              <w:t> </w:t>
            </w:r>
            <w:r>
              <w:rPr>
                <w:rFonts w:ascii="宋体" w:hAnsi="宋体" w:cs="宋体" w:eastAsia="宋体" w:hint="default"/>
                <w:spacing w:val="8"/>
                <w:sz w:val="21"/>
                <w:szCs w:val="21"/>
              </w:rPr>
              <w:t>息技术有</w:t>
            </w:r>
            <w:r>
              <w:rPr>
                <w:rFonts w:ascii="宋体" w:hAnsi="宋体" w:cs="宋体" w:eastAsia="宋体" w:hint="default"/>
                <w:spacing w:val="-97"/>
                <w:sz w:val="21"/>
                <w:szCs w:val="21"/>
              </w:rPr>
              <w:t> </w:t>
            </w:r>
            <w:r>
              <w:rPr>
                <w:rFonts w:ascii="宋体" w:hAnsi="宋体" w:cs="宋体" w:eastAsia="宋体" w:hint="default"/>
                <w:sz w:val="21"/>
                <w:szCs w:val="21"/>
              </w:rPr>
              <w:t>限公司</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46" w:right="0"/>
              <w:jc w:val="left"/>
              <w:rPr>
                <w:rFonts w:ascii="Arial Narrow" w:hAnsi="Arial Narrow" w:cs="Arial Narrow" w:eastAsia="Arial Narrow" w:hint="default"/>
                <w:sz w:val="21"/>
                <w:szCs w:val="21"/>
              </w:rPr>
            </w:pPr>
            <w:r>
              <w:rPr>
                <w:rFonts w:ascii="Arial Narrow"/>
                <w:sz w:val="21"/>
              </w:rPr>
              <w:t>2,000,000.00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01" w:right="0"/>
              <w:jc w:val="left"/>
              <w:rPr>
                <w:rFonts w:ascii="Arial Narrow" w:hAnsi="Arial Narrow" w:cs="Arial Narrow" w:eastAsia="Arial Narrow" w:hint="default"/>
                <w:sz w:val="21"/>
                <w:szCs w:val="21"/>
              </w:rPr>
            </w:pPr>
            <w:r>
              <w:rPr>
                <w:rFonts w:ascii="Arial Narrow"/>
                <w:sz w:val="21"/>
              </w:rPr>
              <w:t>9,522,464.58</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53" w:right="0"/>
              <w:jc w:val="left"/>
              <w:rPr>
                <w:rFonts w:ascii="Arial Narrow" w:hAnsi="Arial Narrow" w:cs="Arial Narrow" w:eastAsia="Arial Narrow" w:hint="default"/>
                <w:sz w:val="21"/>
                <w:szCs w:val="21"/>
              </w:rPr>
            </w:pPr>
            <w:r>
              <w:rPr>
                <w:rFonts w:ascii="Arial Narrow"/>
                <w:sz w:val="21"/>
              </w:rPr>
              <w:t>1,891,743.74</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65" w:right="0"/>
              <w:jc w:val="left"/>
              <w:rPr>
                <w:rFonts w:ascii="Arial Narrow" w:hAnsi="Arial Narrow" w:cs="Arial Narrow" w:eastAsia="Arial Narrow" w:hint="default"/>
                <w:sz w:val="21"/>
                <w:szCs w:val="21"/>
              </w:rPr>
            </w:pPr>
            <w:r>
              <w:rPr>
                <w:rFonts w:ascii="Arial Narrow"/>
                <w:sz w:val="21"/>
              </w:rPr>
              <w:t>11,414,208.32</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59"/>
              <w:jc w:val="right"/>
              <w:rPr>
                <w:rFonts w:ascii="Arial Narrow" w:hAnsi="Arial Narrow" w:cs="Arial Narrow" w:eastAsia="Arial Narrow" w:hint="default"/>
                <w:sz w:val="21"/>
                <w:szCs w:val="21"/>
              </w:rPr>
            </w:pPr>
            <w:r>
              <w:rPr>
                <w:rFonts w:ascii="Arial Narrow"/>
                <w:spacing w:val="-1"/>
                <w:sz w:val="21"/>
              </w:rPr>
              <w:t>40.00</w:t>
            </w:r>
            <w:r>
              <w:rPr>
                <w:rFonts w:ascii="Arial Narrow"/>
                <w:sz w:val="21"/>
              </w:rPr>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78"/>
              <w:jc w:val="right"/>
              <w:rPr>
                <w:rFonts w:ascii="Arial Narrow" w:hAnsi="Arial Narrow" w:cs="Arial Narrow" w:eastAsia="Arial Narrow" w:hint="default"/>
                <w:sz w:val="21"/>
                <w:szCs w:val="21"/>
              </w:rPr>
            </w:pPr>
            <w:r>
              <w:rPr>
                <w:rFonts w:ascii="Arial Narrow"/>
                <w:spacing w:val="-1"/>
                <w:sz w:val="21"/>
              </w:rPr>
              <w:t>40.00</w:t>
            </w:r>
            <w:r>
              <w:rPr>
                <w:rFonts w:ascii="Arial Narrow"/>
                <w:sz w:val="21"/>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30"/>
              <w:jc w:val="right"/>
              <w:rPr>
                <w:rFonts w:ascii="Arial Narrow" w:hAnsi="Arial Narrow" w:cs="Arial Narrow" w:eastAsia="Arial Narrow" w:hint="default"/>
                <w:sz w:val="21"/>
                <w:szCs w:val="21"/>
              </w:rPr>
            </w:pPr>
            <w:r>
              <w:rPr>
                <w:rFonts w:ascii="Arial Narrow"/>
                <w:w w:val="100"/>
                <w:sz w:val="21"/>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29"/>
              <w:jc w:val="right"/>
              <w:rPr>
                <w:rFonts w:ascii="Arial Narrow" w:hAnsi="Arial Narrow" w:cs="Arial Narrow" w:eastAsia="Arial Narrow" w:hint="default"/>
                <w:sz w:val="21"/>
                <w:szCs w:val="21"/>
              </w:rPr>
            </w:pPr>
            <w:r>
              <w:rPr>
                <w:rFonts w:ascii="Arial Narrow"/>
                <w:w w:val="100"/>
                <w:sz w:val="21"/>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22"/>
              <w:jc w:val="right"/>
              <w:rPr>
                <w:rFonts w:ascii="Arial Narrow" w:hAnsi="Arial Narrow" w:cs="Arial Narrow" w:eastAsia="Arial Narrow" w:hint="default"/>
                <w:sz w:val="21"/>
                <w:szCs w:val="21"/>
              </w:rPr>
            </w:pPr>
            <w:r>
              <w:rPr>
                <w:rFonts w:ascii="Arial Narrow"/>
                <w:w w:val="100"/>
                <w:sz w:val="21"/>
              </w:rPr>
              <w:t>-</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06"/>
              <w:jc w:val="right"/>
              <w:rPr>
                <w:rFonts w:ascii="Arial Narrow" w:hAnsi="Arial Narrow" w:cs="Arial Narrow" w:eastAsia="Arial Narrow" w:hint="default"/>
                <w:sz w:val="21"/>
                <w:szCs w:val="21"/>
              </w:rPr>
            </w:pPr>
            <w:r>
              <w:rPr>
                <w:rFonts w:ascii="Arial Narrow"/>
                <w:w w:val="100"/>
                <w:sz w:val="21"/>
              </w:rPr>
              <w:t>-</w:t>
            </w:r>
          </w:p>
        </w:tc>
      </w:tr>
      <w:tr>
        <w:trPr>
          <w:trHeight w:val="540"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③对其他</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07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222"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113"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
        </w:tc>
      </w:tr>
      <w:tr>
        <w:trPr>
          <w:trHeight w:val="740"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left="122" w:right="165"/>
              <w:jc w:val="left"/>
              <w:rPr>
                <w:rFonts w:ascii="Arial Narrow" w:hAnsi="Arial Narrow" w:cs="Arial Narrow" w:eastAsia="Arial Narrow" w:hint="default"/>
                <w:sz w:val="21"/>
                <w:szCs w:val="21"/>
              </w:rPr>
            </w:pPr>
            <w:r>
              <w:rPr>
                <w:rFonts w:ascii="Arial Narrow"/>
                <w:spacing w:val="-1"/>
                <w:sz w:val="21"/>
              </w:rPr>
              <w:t>Sawayaka</w:t>
            </w:r>
            <w:r>
              <w:rPr>
                <w:rFonts w:ascii="Arial Narrow"/>
                <w:spacing w:val="-44"/>
                <w:sz w:val="21"/>
              </w:rPr>
              <w:t> </w:t>
            </w:r>
            <w:r>
              <w:rPr>
                <w:rFonts w:ascii="Arial Narrow"/>
                <w:sz w:val="21"/>
              </w:rPr>
              <w:t>Shinkin</w:t>
            </w:r>
            <w:r>
              <w:rPr>
                <w:rFonts w:ascii="Arial Narrow"/>
                <w:spacing w:val="-1"/>
                <w:w w:val="100"/>
                <w:sz w:val="21"/>
              </w:rPr>
              <w:t> </w:t>
            </w:r>
            <w:r>
              <w:rPr>
                <w:rFonts w:ascii="Arial Narrow"/>
                <w:sz w:val="21"/>
              </w:rPr>
              <w:t>Bank</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31"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25"/>
              <w:ind w:left="290" w:right="0"/>
              <w:jc w:val="left"/>
              <w:rPr>
                <w:rFonts w:ascii="Arial Narrow" w:hAnsi="Arial Narrow" w:cs="Arial Narrow" w:eastAsia="Arial Narrow" w:hint="default"/>
                <w:sz w:val="21"/>
                <w:szCs w:val="21"/>
              </w:rPr>
            </w:pPr>
            <w:r>
              <w:rPr>
                <w:rFonts w:ascii="Arial Narrow"/>
                <w:sz w:val="21"/>
              </w:rPr>
              <w:t>100,000.00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62"/>
              <w:jc w:val="right"/>
              <w:rPr>
                <w:rFonts w:ascii="Arial Narrow" w:hAnsi="Arial Narrow" w:cs="Arial Narrow" w:eastAsia="Arial Narrow" w:hint="default"/>
                <w:sz w:val="21"/>
                <w:szCs w:val="21"/>
              </w:rPr>
            </w:pPr>
            <w:r>
              <w:rPr>
                <w:rFonts w:ascii="Arial Narrow"/>
                <w:w w:val="100"/>
                <w:sz w:val="21"/>
              </w:rPr>
              <w:t>-</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1" w:right="0"/>
              <w:jc w:val="left"/>
              <w:rPr>
                <w:rFonts w:ascii="Arial Narrow" w:hAnsi="Arial Narrow" w:cs="Arial Narrow" w:eastAsia="Arial Narrow" w:hint="default"/>
                <w:sz w:val="21"/>
                <w:szCs w:val="21"/>
              </w:rPr>
            </w:pPr>
            <w:r>
              <w:rPr>
                <w:rFonts w:ascii="Arial Narrow"/>
                <w:sz w:val="21"/>
              </w:rPr>
              <w:t>8,110.30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9"/>
              <w:jc w:val="right"/>
              <w:rPr>
                <w:rFonts w:ascii="Arial Narrow" w:hAnsi="Arial Narrow" w:cs="Arial Narrow" w:eastAsia="Arial Narrow" w:hint="default"/>
                <w:sz w:val="21"/>
                <w:szCs w:val="21"/>
              </w:rPr>
            </w:pPr>
            <w:r>
              <w:rPr>
                <w:rFonts w:ascii="Arial Narrow"/>
                <w:spacing w:val="-2"/>
                <w:sz w:val="21"/>
              </w:rPr>
              <w:t>8,110.30</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56"/>
              <w:jc w:val="right"/>
              <w:rPr>
                <w:rFonts w:ascii="Arial Narrow" w:hAnsi="Arial Narrow" w:cs="Arial Narrow" w:eastAsia="Arial Narrow" w:hint="default"/>
                <w:sz w:val="21"/>
                <w:szCs w:val="21"/>
              </w:rPr>
            </w:pPr>
            <w:r>
              <w:rPr>
                <w:rFonts w:ascii="Arial Narrow"/>
                <w:spacing w:val="-1"/>
                <w:sz w:val="21"/>
              </w:rPr>
              <w:t>0.00063</w:t>
            </w:r>
            <w:r>
              <w:rPr>
                <w:rFonts w:ascii="Arial Narrow"/>
                <w:sz w:val="21"/>
              </w:rPr>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75"/>
              <w:jc w:val="right"/>
              <w:rPr>
                <w:rFonts w:ascii="Arial Narrow" w:hAnsi="Arial Narrow" w:cs="Arial Narrow" w:eastAsia="Arial Narrow" w:hint="default"/>
                <w:sz w:val="21"/>
                <w:szCs w:val="21"/>
              </w:rPr>
            </w:pPr>
            <w:r>
              <w:rPr>
                <w:rFonts w:ascii="Arial Narrow"/>
                <w:spacing w:val="-1"/>
                <w:sz w:val="21"/>
              </w:rPr>
              <w:t>0.00063</w:t>
            </w:r>
            <w:r>
              <w:rPr>
                <w:rFonts w:ascii="Arial Narrow"/>
                <w:sz w:val="21"/>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30"/>
              <w:jc w:val="right"/>
              <w:rPr>
                <w:rFonts w:ascii="Arial Narrow" w:hAnsi="Arial Narrow" w:cs="Arial Narrow" w:eastAsia="Arial Narrow" w:hint="default"/>
                <w:sz w:val="21"/>
                <w:szCs w:val="21"/>
              </w:rPr>
            </w:pPr>
            <w:r>
              <w:rPr>
                <w:rFonts w:ascii="Arial Narrow"/>
                <w:w w:val="100"/>
                <w:sz w:val="21"/>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9"/>
              <w:jc w:val="right"/>
              <w:rPr>
                <w:rFonts w:ascii="Arial Narrow" w:hAnsi="Arial Narrow" w:cs="Arial Narrow" w:eastAsia="Arial Narrow" w:hint="default"/>
                <w:sz w:val="21"/>
                <w:szCs w:val="21"/>
              </w:rPr>
            </w:pPr>
            <w:r>
              <w:rPr>
                <w:rFonts w:ascii="Arial Narrow"/>
                <w:w w:val="100"/>
                <w:sz w:val="21"/>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2"/>
              <w:jc w:val="right"/>
              <w:rPr>
                <w:rFonts w:ascii="Arial Narrow" w:hAnsi="Arial Narrow" w:cs="Arial Narrow" w:eastAsia="Arial Narrow" w:hint="default"/>
                <w:sz w:val="21"/>
                <w:szCs w:val="21"/>
              </w:rPr>
            </w:pPr>
            <w:r>
              <w:rPr>
                <w:rFonts w:ascii="Arial Narrow"/>
                <w:w w:val="100"/>
                <w:sz w:val="21"/>
              </w:rPr>
              <w:t>-</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r>
      <w:tr>
        <w:trPr>
          <w:trHeight w:val="1112" w:hRule="exact"/>
        </w:trPr>
        <w:tc>
          <w:tcPr>
            <w:tcW w:w="1086" w:type="dxa"/>
            <w:tcBorders>
              <w:top w:val="nil" w:sz="6" w:space="0" w:color="auto"/>
              <w:left w:val="nil" w:sz="6" w:space="0" w:color="auto"/>
              <w:bottom w:val="nil" w:sz="6" w:space="0" w:color="auto"/>
              <w:right w:val="nil" w:sz="6" w:space="0" w:color="auto"/>
            </w:tcBorders>
          </w:tcPr>
          <w:p>
            <w:pPr>
              <w:pStyle w:val="TableParagraph"/>
              <w:spacing w:line="230" w:lineRule="exact"/>
              <w:ind w:left="122" w:right="0"/>
              <w:jc w:val="both"/>
              <w:rPr>
                <w:rFonts w:ascii="宋体" w:hAnsi="宋体" w:cs="宋体" w:eastAsia="宋体" w:hint="default"/>
                <w:sz w:val="21"/>
                <w:szCs w:val="21"/>
              </w:rPr>
            </w:pPr>
            <w:r>
              <w:rPr>
                <w:rFonts w:ascii="宋体" w:hAnsi="宋体" w:cs="宋体" w:eastAsia="宋体" w:hint="default"/>
                <w:spacing w:val="8"/>
                <w:sz w:val="21"/>
                <w:szCs w:val="21"/>
              </w:rPr>
              <w:t>东京中小</w:t>
            </w:r>
            <w:r>
              <w:rPr>
                <w:rFonts w:ascii="宋体" w:hAnsi="宋体" w:cs="宋体" w:eastAsia="宋体" w:hint="default"/>
                <w:sz w:val="21"/>
                <w:szCs w:val="21"/>
              </w:rPr>
            </w:r>
          </w:p>
          <w:p>
            <w:pPr>
              <w:pStyle w:val="TableParagraph"/>
              <w:spacing w:line="237" w:lineRule="auto"/>
              <w:ind w:left="122" w:right="78"/>
              <w:jc w:val="both"/>
              <w:rPr>
                <w:rFonts w:ascii="宋体" w:hAnsi="宋体" w:cs="宋体" w:eastAsia="宋体" w:hint="default"/>
                <w:sz w:val="21"/>
                <w:szCs w:val="21"/>
              </w:rPr>
            </w:pPr>
            <w:r>
              <w:rPr>
                <w:rFonts w:ascii="宋体" w:hAnsi="宋体" w:cs="宋体" w:eastAsia="宋体" w:hint="default"/>
                <w:spacing w:val="8"/>
                <w:sz w:val="21"/>
                <w:szCs w:val="21"/>
              </w:rPr>
              <w:t>企业经友</w:t>
            </w:r>
            <w:r>
              <w:rPr>
                <w:rFonts w:ascii="宋体" w:hAnsi="宋体" w:cs="宋体" w:eastAsia="宋体" w:hint="default"/>
                <w:spacing w:val="-97"/>
                <w:sz w:val="21"/>
                <w:szCs w:val="21"/>
              </w:rPr>
              <w:t> </w:t>
            </w:r>
            <w:r>
              <w:rPr>
                <w:rFonts w:ascii="宋体" w:hAnsi="宋体" w:cs="宋体" w:eastAsia="宋体" w:hint="default"/>
                <w:spacing w:val="8"/>
                <w:sz w:val="21"/>
                <w:szCs w:val="21"/>
              </w:rPr>
              <w:t>会事业协</w:t>
            </w:r>
            <w:r>
              <w:rPr>
                <w:rFonts w:ascii="宋体" w:hAnsi="宋体" w:cs="宋体" w:eastAsia="宋体" w:hint="default"/>
                <w:spacing w:val="-97"/>
                <w:sz w:val="21"/>
                <w:szCs w:val="21"/>
              </w:rPr>
              <w:t> </w:t>
            </w:r>
            <w:r>
              <w:rPr>
                <w:rFonts w:ascii="宋体" w:hAnsi="宋体" w:cs="宋体" w:eastAsia="宋体" w:hint="default"/>
                <w:sz w:val="21"/>
                <w:szCs w:val="21"/>
              </w:rPr>
              <w:t>同组合</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31"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25"/>
              <w:ind w:left="386" w:right="0"/>
              <w:jc w:val="left"/>
              <w:rPr>
                <w:rFonts w:ascii="Arial Narrow" w:hAnsi="Arial Narrow" w:cs="Arial Narrow" w:eastAsia="Arial Narrow" w:hint="default"/>
                <w:sz w:val="21"/>
                <w:szCs w:val="21"/>
              </w:rPr>
            </w:pPr>
            <w:r>
              <w:rPr>
                <w:rFonts w:ascii="Arial Narrow"/>
                <w:sz w:val="21"/>
              </w:rPr>
              <w:t>10,000.00</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62"/>
              <w:jc w:val="right"/>
              <w:rPr>
                <w:rFonts w:ascii="Arial Narrow" w:hAnsi="Arial Narrow" w:cs="Arial Narrow" w:eastAsia="Arial Narrow" w:hint="default"/>
                <w:sz w:val="21"/>
                <w:szCs w:val="21"/>
              </w:rPr>
            </w:pPr>
            <w:r>
              <w:rPr>
                <w:rFonts w:ascii="Arial Narrow"/>
                <w:w w:val="100"/>
                <w:sz w:val="21"/>
              </w:rPr>
              <w:t>-</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57"/>
              <w:jc w:val="right"/>
              <w:rPr>
                <w:rFonts w:ascii="Arial Narrow" w:hAnsi="Arial Narrow" w:cs="Arial Narrow" w:eastAsia="Arial Narrow" w:hint="default"/>
                <w:sz w:val="21"/>
                <w:szCs w:val="21"/>
              </w:rPr>
            </w:pPr>
            <w:r>
              <w:rPr>
                <w:rFonts w:ascii="Arial Narrow"/>
                <w:spacing w:val="-2"/>
                <w:sz w:val="21"/>
              </w:rPr>
              <w:t>811.030</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59"/>
              <w:jc w:val="right"/>
              <w:rPr>
                <w:rFonts w:ascii="Arial Narrow" w:hAnsi="Arial Narrow" w:cs="Arial Narrow" w:eastAsia="Arial Narrow" w:hint="default"/>
                <w:sz w:val="21"/>
                <w:szCs w:val="21"/>
              </w:rPr>
            </w:pPr>
            <w:r>
              <w:rPr>
                <w:rFonts w:ascii="Arial Narrow"/>
                <w:spacing w:val="-2"/>
                <w:sz w:val="21"/>
              </w:rPr>
              <w:t>811.030</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59"/>
              <w:jc w:val="right"/>
              <w:rPr>
                <w:rFonts w:ascii="Arial Narrow" w:hAnsi="Arial Narrow" w:cs="Arial Narrow" w:eastAsia="Arial Narrow" w:hint="default"/>
                <w:sz w:val="21"/>
                <w:szCs w:val="21"/>
              </w:rPr>
            </w:pPr>
            <w:r>
              <w:rPr>
                <w:rFonts w:ascii="Arial Narrow"/>
                <w:spacing w:val="-1"/>
                <w:sz w:val="21"/>
              </w:rPr>
              <w:t>0.014</w:t>
            </w:r>
            <w:r>
              <w:rPr>
                <w:rFonts w:ascii="Arial Narrow"/>
                <w:sz w:val="21"/>
              </w:rPr>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78"/>
              <w:jc w:val="right"/>
              <w:rPr>
                <w:rFonts w:ascii="Arial Narrow" w:hAnsi="Arial Narrow" w:cs="Arial Narrow" w:eastAsia="Arial Narrow" w:hint="default"/>
                <w:sz w:val="21"/>
                <w:szCs w:val="21"/>
              </w:rPr>
            </w:pPr>
            <w:r>
              <w:rPr>
                <w:rFonts w:ascii="Arial Narrow"/>
                <w:spacing w:val="-1"/>
                <w:sz w:val="21"/>
              </w:rPr>
              <w:t>0.014</w:t>
            </w:r>
            <w:r>
              <w:rPr>
                <w:rFonts w:ascii="Arial Narrow"/>
                <w:sz w:val="21"/>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230"/>
              <w:jc w:val="right"/>
              <w:rPr>
                <w:rFonts w:ascii="Arial Narrow" w:hAnsi="Arial Narrow" w:cs="Arial Narrow" w:eastAsia="Arial Narrow" w:hint="default"/>
                <w:sz w:val="21"/>
                <w:szCs w:val="21"/>
              </w:rPr>
            </w:pPr>
            <w:r>
              <w:rPr>
                <w:rFonts w:ascii="Arial Narrow"/>
                <w:w w:val="100"/>
                <w:sz w:val="21"/>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229"/>
              <w:jc w:val="right"/>
              <w:rPr>
                <w:rFonts w:ascii="Arial Narrow" w:hAnsi="Arial Narrow" w:cs="Arial Narrow" w:eastAsia="Arial Narrow" w:hint="default"/>
                <w:sz w:val="21"/>
                <w:szCs w:val="21"/>
              </w:rPr>
            </w:pPr>
            <w:r>
              <w:rPr>
                <w:rFonts w:ascii="Arial Narrow"/>
                <w:w w:val="100"/>
                <w:sz w:val="21"/>
              </w:rPr>
              <w:t>-</w:t>
            </w: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222"/>
              <w:jc w:val="right"/>
              <w:rPr>
                <w:rFonts w:ascii="Arial Narrow" w:hAnsi="Arial Narrow" w:cs="Arial Narrow" w:eastAsia="Arial Narrow" w:hint="default"/>
                <w:sz w:val="21"/>
                <w:szCs w:val="21"/>
              </w:rPr>
            </w:pPr>
            <w:r>
              <w:rPr>
                <w:rFonts w:ascii="Arial Narrow"/>
                <w:w w:val="100"/>
                <w:sz w:val="21"/>
              </w:rPr>
              <w:t>-</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06"/>
              <w:jc w:val="right"/>
              <w:rPr>
                <w:rFonts w:ascii="Arial Narrow" w:hAnsi="Arial Narrow" w:cs="Arial Narrow" w:eastAsia="Arial Narrow" w:hint="default"/>
                <w:sz w:val="21"/>
                <w:szCs w:val="21"/>
              </w:rPr>
            </w:pPr>
            <w:r>
              <w:rPr>
                <w:rFonts w:ascii="Arial Narrow"/>
                <w:w w:val="100"/>
                <w:sz w:val="21"/>
              </w:rPr>
              <w:t>-</w:t>
            </w:r>
          </w:p>
        </w:tc>
      </w:tr>
      <w:tr>
        <w:trPr>
          <w:trHeight w:val="384" w:hRule="exact"/>
        </w:trPr>
        <w:tc>
          <w:tcPr>
            <w:tcW w:w="1086" w:type="dxa"/>
            <w:tcBorders>
              <w:top w:val="nil" w:sz="6" w:space="0" w:color="auto"/>
              <w:left w:val="nil" w:sz="6" w:space="0" w:color="auto"/>
              <w:bottom w:val="single" w:sz="8" w:space="0" w:color="000000"/>
              <w:right w:val="nil" w:sz="6" w:space="0" w:color="auto"/>
            </w:tcBorders>
          </w:tcPr>
          <w:p>
            <w:pPr>
              <w:pStyle w:val="TableParagraph"/>
              <w:tabs>
                <w:tab w:pos="545" w:val="left" w:leader="none"/>
              </w:tabs>
              <w:spacing w:line="240" w:lineRule="auto"/>
              <w:ind w:left="12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072" w:type="dxa"/>
            <w:tcBorders>
              <w:top w:val="nil" w:sz="6" w:space="0" w:color="auto"/>
              <w:left w:val="nil" w:sz="6" w:space="0" w:color="auto"/>
              <w:bottom w:val="single" w:sz="8" w:space="0" w:color="000000"/>
              <w:right w:val="nil" w:sz="6" w:space="0" w:color="auto"/>
            </w:tcBorders>
          </w:tcPr>
          <w:p>
            <w:pPr/>
          </w:p>
        </w:tc>
        <w:tc>
          <w:tcPr>
            <w:tcW w:w="1364" w:type="dxa"/>
            <w:tcBorders>
              <w:top w:val="nil" w:sz="6" w:space="0" w:color="auto"/>
              <w:left w:val="nil" w:sz="6" w:space="0" w:color="auto"/>
              <w:bottom w:val="single" w:sz="8" w:space="0" w:color="000000"/>
              <w:right w:val="nil" w:sz="6" w:space="0" w:color="auto"/>
            </w:tcBorders>
          </w:tcPr>
          <w:p>
            <w:pPr/>
          </w:p>
        </w:tc>
        <w:tc>
          <w:tcPr>
            <w:tcW w:w="1271"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4" w:right="0"/>
              <w:jc w:val="left"/>
              <w:rPr>
                <w:rFonts w:ascii="Arial Narrow" w:hAnsi="Arial Narrow" w:cs="Arial Narrow" w:eastAsia="Arial Narrow" w:hint="default"/>
                <w:sz w:val="21"/>
                <w:szCs w:val="21"/>
              </w:rPr>
            </w:pPr>
            <w:r>
              <w:rPr>
                <w:rFonts w:ascii="Arial Narrow"/>
                <w:b/>
                <w:sz w:val="21"/>
              </w:rPr>
              <w:t>12,187,580.48</w:t>
            </w:r>
            <w:r>
              <w:rPr>
                <w:rFonts w:ascii="Arial Narrow"/>
                <w:sz w:val="21"/>
              </w:rPr>
            </w:r>
          </w:p>
        </w:tc>
        <w:tc>
          <w:tcPr>
            <w:tcW w:w="1222"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53" w:right="0"/>
              <w:jc w:val="left"/>
              <w:rPr>
                <w:rFonts w:ascii="Arial Narrow" w:hAnsi="Arial Narrow" w:cs="Arial Narrow" w:eastAsia="Arial Narrow" w:hint="default"/>
                <w:sz w:val="21"/>
                <w:szCs w:val="21"/>
              </w:rPr>
            </w:pPr>
            <w:r>
              <w:rPr>
                <w:rFonts w:ascii="Arial Narrow"/>
                <w:b/>
                <w:sz w:val="21"/>
              </w:rPr>
              <w:t>1,573,246.52</w:t>
            </w:r>
            <w:r>
              <w:rPr>
                <w:rFonts w:ascii="Arial Narrow"/>
                <w:sz w:val="21"/>
              </w:rPr>
            </w:r>
          </w:p>
        </w:tc>
        <w:tc>
          <w:tcPr>
            <w:tcW w:w="1320" w:type="dxa"/>
            <w:tcBorders>
              <w:top w:val="nil" w:sz="6" w:space="0" w:color="auto"/>
              <w:left w:val="nil" w:sz="6" w:space="0" w:color="auto"/>
              <w:bottom w:val="single" w:sz="8" w:space="0" w:color="000000"/>
              <w:right w:val="nil" w:sz="6" w:space="0" w:color="auto"/>
            </w:tcBorders>
          </w:tcPr>
          <w:p>
            <w:pPr>
              <w:pStyle w:val="TableParagraph"/>
              <w:spacing w:line="240" w:lineRule="auto" w:before="46"/>
              <w:ind w:left="53" w:right="0"/>
              <w:jc w:val="left"/>
              <w:rPr>
                <w:rFonts w:ascii="Arial Narrow" w:hAnsi="Arial Narrow" w:cs="Arial Narrow" w:eastAsia="Arial Narrow" w:hint="default"/>
                <w:sz w:val="21"/>
                <w:szCs w:val="21"/>
              </w:rPr>
            </w:pPr>
            <w:r>
              <w:rPr>
                <w:rFonts w:ascii="Arial Narrow"/>
                <w:b/>
                <w:sz w:val="21"/>
              </w:rPr>
              <w:t>13,760,827.00</w:t>
            </w:r>
            <w:r>
              <w:rPr>
                <w:rFonts w:ascii="Arial Narrow"/>
                <w:sz w:val="21"/>
              </w:rPr>
            </w:r>
          </w:p>
        </w:tc>
        <w:tc>
          <w:tcPr>
            <w:tcW w:w="1058" w:type="dxa"/>
            <w:tcBorders>
              <w:top w:val="nil" w:sz="6" w:space="0" w:color="auto"/>
              <w:left w:val="nil" w:sz="6" w:space="0" w:color="auto"/>
              <w:bottom w:val="single" w:sz="8" w:space="0" w:color="000000"/>
              <w:right w:val="nil" w:sz="6" w:space="0" w:color="auto"/>
            </w:tcBorders>
          </w:tcPr>
          <w:p>
            <w:pPr/>
          </w:p>
        </w:tc>
        <w:tc>
          <w:tcPr>
            <w:tcW w:w="1113" w:type="dxa"/>
            <w:tcBorders>
              <w:top w:val="nil" w:sz="6" w:space="0" w:color="auto"/>
              <w:left w:val="nil" w:sz="6" w:space="0" w:color="auto"/>
              <w:bottom w:val="single" w:sz="8" w:space="0" w:color="000000"/>
              <w:right w:val="nil" w:sz="6" w:space="0" w:color="auto"/>
            </w:tcBorders>
          </w:tcPr>
          <w:p>
            <w:pPr/>
          </w:p>
        </w:tc>
        <w:tc>
          <w:tcPr>
            <w:tcW w:w="1148" w:type="dxa"/>
            <w:tcBorders>
              <w:top w:val="nil" w:sz="6" w:space="0" w:color="auto"/>
              <w:left w:val="nil" w:sz="6" w:space="0" w:color="auto"/>
              <w:bottom w:val="single" w:sz="8" w:space="0" w:color="000000"/>
              <w:right w:val="nil" w:sz="6" w:space="0" w:color="auto"/>
            </w:tcBorders>
          </w:tcPr>
          <w:p>
            <w:pPr/>
          </w:p>
        </w:tc>
        <w:tc>
          <w:tcPr>
            <w:tcW w:w="1093" w:type="dxa"/>
            <w:tcBorders>
              <w:top w:val="nil" w:sz="6" w:space="0" w:color="auto"/>
              <w:left w:val="nil" w:sz="6" w:space="0" w:color="auto"/>
              <w:bottom w:val="single" w:sz="8" w:space="0" w:color="000000"/>
              <w:right w:val="nil" w:sz="6" w:space="0" w:color="auto"/>
            </w:tcBorders>
          </w:tcPr>
          <w:p>
            <w:pPr/>
          </w:p>
        </w:tc>
        <w:tc>
          <w:tcPr>
            <w:tcW w:w="1085" w:type="dxa"/>
            <w:tcBorders>
              <w:top w:val="nil" w:sz="6" w:space="0" w:color="auto"/>
              <w:left w:val="nil" w:sz="6" w:space="0" w:color="auto"/>
              <w:bottom w:val="single" w:sz="8" w:space="0" w:color="000000"/>
              <w:right w:val="nil" w:sz="6" w:space="0" w:color="auto"/>
            </w:tcBorders>
          </w:tcPr>
          <w:p>
            <w:pPr/>
          </w:p>
        </w:tc>
        <w:tc>
          <w:tcPr>
            <w:tcW w:w="961" w:type="dxa"/>
            <w:tcBorders>
              <w:top w:val="nil" w:sz="6" w:space="0" w:color="auto"/>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0"/>
        <w:ind w:left="7276" w:right="6870" w:firstLine="0"/>
        <w:jc w:val="center"/>
        <w:rPr>
          <w:rFonts w:ascii="Calibri" w:hAnsi="Calibri" w:cs="Calibri" w:eastAsia="Calibri" w:hint="default"/>
          <w:sz w:val="18"/>
          <w:szCs w:val="18"/>
        </w:rPr>
      </w:pPr>
      <w:r>
        <w:rPr>
          <w:rFonts w:ascii="Calibri"/>
          <w:sz w:val="18"/>
        </w:rPr>
        <w:t>140</w:t>
      </w:r>
    </w:p>
    <w:p>
      <w:pPr>
        <w:spacing w:after="0"/>
        <w:jc w:val="center"/>
        <w:rPr>
          <w:rFonts w:ascii="Calibri" w:hAnsi="Calibri" w:cs="Calibri" w:eastAsia="Calibri" w:hint="default"/>
          <w:sz w:val="18"/>
          <w:szCs w:val="18"/>
        </w:rPr>
        <w:sectPr>
          <w:headerReference w:type="default" r:id="rId62"/>
          <w:footerReference w:type="default" r:id="rId63"/>
          <w:pgSz w:w="16850" w:h="11900" w:orient="landscape"/>
          <w:pgMar w:header="0" w:footer="0" w:top="680" w:bottom="280" w:left="560" w:right="1820"/>
        </w:sectPr>
      </w:pPr>
    </w:p>
    <w:p>
      <w:pPr>
        <w:spacing w:line="240" w:lineRule="auto" w:before="5"/>
        <w:rPr>
          <w:rFonts w:ascii="Calibri" w:hAnsi="Calibri" w:cs="Calibri" w:eastAsia="Calibri" w:hint="default"/>
          <w:sz w:val="5"/>
          <w:szCs w:val="5"/>
        </w:rPr>
      </w:pPr>
    </w:p>
    <w:p>
      <w:pPr>
        <w:spacing w:line="20" w:lineRule="exact"/>
        <w:ind w:left="106" w:right="0" w:firstLine="0"/>
        <w:rPr>
          <w:rFonts w:ascii="Calibri" w:hAnsi="Calibri" w:cs="Calibri" w:eastAsia="Calibri" w:hint="default"/>
          <w:sz w:val="2"/>
          <w:szCs w:val="2"/>
        </w:rPr>
      </w:pPr>
      <w:r>
        <w:rPr>
          <w:rFonts w:ascii="Calibri" w:hAnsi="Calibri" w:cs="Calibri" w:eastAsia="Calibri" w:hint="default"/>
          <w:sz w:val="2"/>
          <w:szCs w:val="2"/>
        </w:rPr>
        <w:pict>
          <v:group style="width:477.95pt;height:.75pt;mso-position-horizontal-relative:char;mso-position-vertical-relative:line" coordorigin="0,0" coordsize="9559,15">
            <v:group style="position:absolute;left:7;top:7;width:9545;height:2" coordorigin="7,7" coordsize="9545,2">
              <v:shape style="position:absolute;left:7;top:7;width:9545;height:2" coordorigin="7,7" coordsize="9545,0" path="m7,7l9552,7e" filled="false" stroked="true" strokeweight=".72pt" strokecolor="#000000">
                <v:path arrowok="t"/>
              </v:shape>
            </v:group>
          </v:group>
        </w:pict>
      </w:r>
      <w:r>
        <w:rPr>
          <w:rFonts w:ascii="Calibri" w:hAnsi="Calibri" w:cs="Calibri" w:eastAsia="Calibri" w:hint="default"/>
          <w:sz w:val="2"/>
          <w:szCs w:val="2"/>
        </w:rPr>
      </w:r>
    </w:p>
    <w:p>
      <w:pPr>
        <w:pStyle w:val="BodyText"/>
        <w:spacing w:line="384" w:lineRule="auto" w:before="43"/>
        <w:ind w:left="559" w:right="6320" w:hanging="418"/>
        <w:jc w:val="left"/>
      </w:pPr>
      <w:r>
        <w:rPr>
          <w:rFonts w:ascii="Arial Narrow" w:hAnsi="Arial Narrow" w:cs="Arial Narrow" w:eastAsia="Arial Narrow" w:hint="default"/>
        </w:rPr>
        <w:t>11</w:t>
      </w:r>
      <w:r>
        <w:rPr/>
        <w:t>、投资性房地产 按成本计量的投资性房地产</w:t>
      </w:r>
    </w:p>
    <w:p>
      <w:pPr>
        <w:spacing w:line="240" w:lineRule="auto" w:before="3"/>
        <w:rPr>
          <w:rFonts w:ascii="宋体" w:hAnsi="宋体" w:cs="宋体" w:eastAsia="宋体" w:hint="default"/>
          <w:sz w:val="8"/>
          <w:szCs w:val="8"/>
        </w:rPr>
      </w:pPr>
    </w:p>
    <w:tbl>
      <w:tblPr>
        <w:tblW w:w="0" w:type="auto"/>
        <w:jc w:val="left"/>
        <w:tblInd w:w="518" w:type="dxa"/>
        <w:tblLayout w:type="fixed"/>
        <w:tblCellMar>
          <w:top w:w="0" w:type="dxa"/>
          <w:left w:w="0" w:type="dxa"/>
          <w:bottom w:w="0" w:type="dxa"/>
          <w:right w:w="0" w:type="dxa"/>
        </w:tblCellMar>
        <w:tblLook w:val="01E0"/>
      </w:tblPr>
      <w:tblGrid>
        <w:gridCol w:w="2607"/>
        <w:gridCol w:w="1145"/>
        <w:gridCol w:w="998"/>
        <w:gridCol w:w="1285"/>
        <w:gridCol w:w="963"/>
        <w:gridCol w:w="991"/>
        <w:gridCol w:w="1150"/>
      </w:tblGrid>
      <w:tr>
        <w:trPr>
          <w:trHeight w:val="429" w:hRule="exact"/>
        </w:trPr>
        <w:tc>
          <w:tcPr>
            <w:tcW w:w="9139" w:type="dxa"/>
            <w:gridSpan w:val="7"/>
            <w:tcBorders>
              <w:top w:val="single" w:sz="8" w:space="0" w:color="000000"/>
              <w:left w:val="nil" w:sz="6" w:space="0" w:color="auto"/>
              <w:bottom w:val="nil" w:sz="6" w:space="0" w:color="auto"/>
              <w:right w:val="nil" w:sz="6" w:space="0" w:color="auto"/>
            </w:tcBorders>
          </w:tcPr>
          <w:p>
            <w:pPr>
              <w:pStyle w:val="TableParagraph"/>
              <w:spacing w:line="240" w:lineRule="auto" w:before="18"/>
              <w:ind w:left="511" w:right="0"/>
              <w:jc w:val="center"/>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r>
      <w:tr>
        <w:trPr>
          <w:trHeight w:val="326" w:hRule="exact"/>
        </w:trPr>
        <w:tc>
          <w:tcPr>
            <w:tcW w:w="2607"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62"/>
              <w:ind w:right="118"/>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63"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998" w:type="dxa"/>
            <w:vMerge w:val="restart"/>
            <w:tcBorders>
              <w:top w:val="nil" w:sz="6" w:space="0" w:color="auto"/>
              <w:left w:val="nil" w:sz="6" w:space="0" w:color="auto"/>
              <w:right w:val="nil" w:sz="6" w:space="0" w:color="auto"/>
            </w:tcBorders>
          </w:tcPr>
          <w:p>
            <w:pPr>
              <w:pStyle w:val="TableParagraph"/>
              <w:spacing w:line="240" w:lineRule="auto" w:before="112"/>
              <w:ind w:left="247" w:right="220" w:hanging="106"/>
              <w:jc w:val="left"/>
              <w:rPr>
                <w:rFonts w:ascii="宋体" w:hAnsi="宋体" w:cs="宋体" w:eastAsia="宋体" w:hint="default"/>
                <w:sz w:val="21"/>
                <w:szCs w:val="21"/>
              </w:rPr>
            </w:pPr>
            <w:r>
              <w:rPr>
                <w:rFonts w:ascii="宋体" w:hAnsi="宋体" w:cs="宋体" w:eastAsia="宋体" w:hint="default"/>
                <w:b/>
                <w:bCs/>
                <w:sz w:val="21"/>
                <w:szCs w:val="21"/>
              </w:rPr>
              <w:t>购置或</w:t>
            </w:r>
            <w:r>
              <w:rPr>
                <w:rFonts w:ascii="宋体" w:hAnsi="宋体" w:cs="宋体" w:eastAsia="宋体" w:hint="default"/>
                <w:b/>
                <w:bCs/>
                <w:w w:val="100"/>
                <w:sz w:val="21"/>
                <w:szCs w:val="21"/>
              </w:rPr>
              <w:t> </w:t>
            </w:r>
            <w:r>
              <w:rPr>
                <w:rFonts w:ascii="宋体" w:hAnsi="宋体" w:cs="宋体" w:eastAsia="宋体" w:hint="default"/>
                <w:b/>
                <w:bCs/>
                <w:sz w:val="21"/>
                <w:szCs w:val="21"/>
              </w:rPr>
              <w:t>计提</w:t>
            </w:r>
            <w:r>
              <w:rPr>
                <w:rFonts w:ascii="宋体" w:hAnsi="宋体" w:cs="宋体" w:eastAsia="宋体" w:hint="default"/>
                <w:sz w:val="21"/>
                <w:szCs w:val="21"/>
              </w:rPr>
            </w:r>
          </w:p>
        </w:tc>
        <w:tc>
          <w:tcPr>
            <w:tcW w:w="1285" w:type="dxa"/>
            <w:vMerge w:val="restart"/>
            <w:tcBorders>
              <w:top w:val="nil" w:sz="6" w:space="0" w:color="auto"/>
              <w:left w:val="nil" w:sz="6" w:space="0" w:color="auto"/>
              <w:right w:val="nil" w:sz="6" w:space="0" w:color="auto"/>
            </w:tcBorders>
          </w:tcPr>
          <w:p>
            <w:pPr>
              <w:pStyle w:val="TableParagraph"/>
              <w:spacing w:line="240" w:lineRule="auto" w:before="112"/>
              <w:ind w:left="55" w:right="171"/>
              <w:jc w:val="left"/>
              <w:rPr>
                <w:rFonts w:ascii="宋体" w:hAnsi="宋体" w:cs="宋体" w:eastAsia="宋体" w:hint="default"/>
                <w:sz w:val="21"/>
                <w:szCs w:val="21"/>
              </w:rPr>
            </w:pPr>
            <w:r>
              <w:rPr>
                <w:rFonts w:ascii="宋体" w:hAnsi="宋体" w:cs="宋体" w:eastAsia="宋体" w:hint="default"/>
                <w:b/>
                <w:bCs/>
                <w:sz w:val="21"/>
                <w:szCs w:val="21"/>
              </w:rPr>
              <w:t>自用房地产</w:t>
            </w:r>
            <w:r>
              <w:rPr>
                <w:rFonts w:ascii="宋体" w:hAnsi="宋体" w:cs="宋体" w:eastAsia="宋体" w:hint="default"/>
                <w:b/>
                <w:bCs/>
                <w:w w:val="100"/>
                <w:sz w:val="21"/>
                <w:szCs w:val="21"/>
              </w:rPr>
              <w:t> </w:t>
            </w:r>
            <w:r>
              <w:rPr>
                <w:rFonts w:ascii="宋体" w:hAnsi="宋体" w:cs="宋体" w:eastAsia="宋体" w:hint="default"/>
                <w:b/>
                <w:bCs/>
                <w:sz w:val="21"/>
                <w:szCs w:val="21"/>
              </w:rPr>
              <w:t>或存货转入</w:t>
            </w:r>
            <w:r>
              <w:rPr>
                <w:rFonts w:ascii="宋体" w:hAnsi="宋体" w:cs="宋体" w:eastAsia="宋体" w:hint="default"/>
                <w:sz w:val="21"/>
                <w:szCs w:val="21"/>
              </w:rPr>
            </w:r>
          </w:p>
        </w:tc>
        <w:tc>
          <w:tcPr>
            <w:tcW w:w="963" w:type="dxa"/>
            <w:tcBorders>
              <w:top w:val="nil" w:sz="6" w:space="0" w:color="auto"/>
              <w:left w:val="nil" w:sz="6" w:space="0" w:color="auto"/>
              <w:bottom w:val="nil" w:sz="6" w:space="0" w:color="auto"/>
              <w:right w:val="nil" w:sz="6" w:space="0" w:color="auto"/>
            </w:tcBorders>
          </w:tcPr>
          <w:p>
            <w:pPr/>
          </w:p>
        </w:tc>
        <w:tc>
          <w:tcPr>
            <w:tcW w:w="991" w:type="dxa"/>
            <w:vMerge w:val="restart"/>
            <w:tcBorders>
              <w:top w:val="nil" w:sz="6" w:space="0" w:color="auto"/>
              <w:left w:val="nil" w:sz="6" w:space="0" w:color="auto"/>
              <w:right w:val="nil" w:sz="6" w:space="0" w:color="auto"/>
            </w:tcBorders>
          </w:tcPr>
          <w:p>
            <w:pPr>
              <w:pStyle w:val="TableParagraph"/>
              <w:spacing w:line="240" w:lineRule="auto" w:before="112"/>
              <w:ind w:left="163" w:right="86" w:hanging="106"/>
              <w:jc w:val="left"/>
              <w:rPr>
                <w:rFonts w:ascii="宋体" w:hAnsi="宋体" w:cs="宋体" w:eastAsia="宋体" w:hint="default"/>
                <w:sz w:val="21"/>
                <w:szCs w:val="21"/>
              </w:rPr>
            </w:pPr>
            <w:r>
              <w:rPr>
                <w:rFonts w:ascii="宋体" w:hAnsi="宋体" w:cs="宋体" w:eastAsia="宋体" w:hint="default"/>
                <w:b/>
                <w:bCs/>
                <w:sz w:val="21"/>
                <w:szCs w:val="21"/>
              </w:rPr>
              <w:t>转为自用</w:t>
            </w:r>
            <w:r>
              <w:rPr>
                <w:rFonts w:ascii="宋体" w:hAnsi="宋体" w:cs="宋体" w:eastAsia="宋体" w:hint="default"/>
                <w:b/>
                <w:bCs/>
                <w:w w:val="100"/>
                <w:sz w:val="21"/>
                <w:szCs w:val="21"/>
              </w:rPr>
              <w:t> </w:t>
            </w:r>
            <w:r>
              <w:rPr>
                <w:rFonts w:ascii="宋体" w:hAnsi="宋体" w:cs="宋体" w:eastAsia="宋体" w:hint="default"/>
                <w:b/>
                <w:bCs/>
                <w:sz w:val="21"/>
                <w:szCs w:val="21"/>
              </w:rPr>
              <w:t>房地产</w:t>
            </w:r>
            <w:r>
              <w:rPr>
                <w:rFonts w:ascii="宋体" w:hAnsi="宋体" w:cs="宋体" w:eastAsia="宋体" w:hint="default"/>
                <w:sz w:val="21"/>
                <w:szCs w:val="21"/>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56"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560" w:hRule="exact"/>
        </w:trPr>
        <w:tc>
          <w:tcPr>
            <w:tcW w:w="2607" w:type="dxa"/>
            <w:tcBorders>
              <w:top w:val="nil" w:sz="6" w:space="0" w:color="auto"/>
              <w:left w:val="nil" w:sz="6" w:space="0" w:color="auto"/>
              <w:bottom w:val="single" w:sz="4" w:space="0" w:color="000000"/>
              <w:right w:val="nil" w:sz="6" w:space="0" w:color="auto"/>
            </w:tcBorders>
          </w:tcPr>
          <w:p>
            <w:pPr/>
          </w:p>
        </w:tc>
        <w:tc>
          <w:tcPr>
            <w:tcW w:w="1145" w:type="dxa"/>
            <w:tcBorders>
              <w:top w:val="nil" w:sz="6" w:space="0" w:color="auto"/>
              <w:left w:val="nil" w:sz="6" w:space="0" w:color="auto"/>
              <w:bottom w:val="single" w:sz="4" w:space="0" w:color="000000"/>
              <w:right w:val="nil" w:sz="6" w:space="0" w:color="auto"/>
            </w:tcBorders>
          </w:tcPr>
          <w:p>
            <w:pPr/>
          </w:p>
        </w:tc>
        <w:tc>
          <w:tcPr>
            <w:tcW w:w="998" w:type="dxa"/>
            <w:vMerge/>
            <w:tcBorders>
              <w:left w:val="nil" w:sz="6" w:space="0" w:color="auto"/>
              <w:bottom w:val="single" w:sz="4" w:space="0" w:color="000000"/>
              <w:right w:val="nil" w:sz="6" w:space="0" w:color="auto"/>
            </w:tcBorders>
          </w:tcPr>
          <w:p>
            <w:pPr/>
          </w:p>
        </w:tc>
        <w:tc>
          <w:tcPr>
            <w:tcW w:w="1285" w:type="dxa"/>
            <w:vMerge/>
            <w:tcBorders>
              <w:left w:val="nil" w:sz="6" w:space="0" w:color="auto"/>
              <w:bottom w:val="single" w:sz="4" w:space="0" w:color="000000"/>
              <w:right w:val="nil" w:sz="6" w:space="0" w:color="auto"/>
            </w:tcBorders>
          </w:tcPr>
          <w:p>
            <w:pPr/>
          </w:p>
        </w:tc>
        <w:tc>
          <w:tcPr>
            <w:tcW w:w="963" w:type="dxa"/>
            <w:tcBorders>
              <w:top w:val="nil" w:sz="6" w:space="0" w:color="auto"/>
              <w:left w:val="nil" w:sz="6" w:space="0" w:color="auto"/>
              <w:bottom w:val="single" w:sz="4" w:space="0" w:color="000000"/>
              <w:right w:val="nil" w:sz="6" w:space="0" w:color="auto"/>
            </w:tcBorders>
          </w:tcPr>
          <w:p>
            <w:pPr>
              <w:pStyle w:val="TableParagraph"/>
              <w:spacing w:line="198"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处</w:t>
            </w:r>
            <w:r>
              <w:rPr>
                <w:rFonts w:ascii="宋体" w:hAnsi="宋体" w:cs="宋体" w:eastAsia="宋体" w:hint="default"/>
                <w:b/>
                <w:bCs/>
                <w:spacing w:val="-1"/>
                <w:sz w:val="21"/>
                <w:szCs w:val="21"/>
              </w:rPr>
              <w:t> </w:t>
            </w:r>
            <w:r>
              <w:rPr>
                <w:rFonts w:ascii="宋体" w:hAnsi="宋体" w:cs="宋体" w:eastAsia="宋体" w:hint="default"/>
                <w:b/>
                <w:bCs/>
                <w:sz w:val="21"/>
                <w:szCs w:val="21"/>
              </w:rPr>
              <w:t>置</w:t>
            </w:r>
            <w:r>
              <w:rPr>
                <w:rFonts w:ascii="宋体" w:hAnsi="宋体" w:cs="宋体" w:eastAsia="宋体" w:hint="default"/>
                <w:sz w:val="21"/>
                <w:szCs w:val="21"/>
              </w:rPr>
            </w:r>
          </w:p>
        </w:tc>
        <w:tc>
          <w:tcPr>
            <w:tcW w:w="991" w:type="dxa"/>
            <w:vMerge/>
            <w:tcBorders>
              <w:left w:val="nil" w:sz="6" w:space="0" w:color="auto"/>
              <w:bottom w:val="single" w:sz="4" w:space="0" w:color="000000"/>
              <w:right w:val="nil" w:sz="6" w:space="0" w:color="auto"/>
            </w:tcBorders>
          </w:tcPr>
          <w:p>
            <w:pPr/>
          </w:p>
        </w:tc>
        <w:tc>
          <w:tcPr>
            <w:tcW w:w="1150" w:type="dxa"/>
            <w:tcBorders>
              <w:top w:val="nil" w:sz="6" w:space="0" w:color="auto"/>
              <w:left w:val="nil" w:sz="6" w:space="0" w:color="auto"/>
              <w:bottom w:val="single" w:sz="4" w:space="0" w:color="000000"/>
              <w:right w:val="nil" w:sz="6" w:space="0" w:color="auto"/>
            </w:tcBorders>
          </w:tcPr>
          <w:p>
            <w:pPr/>
          </w:p>
        </w:tc>
      </w:tr>
      <w:tr>
        <w:trPr>
          <w:trHeight w:val="398" w:hRule="exact"/>
        </w:trPr>
        <w:tc>
          <w:tcPr>
            <w:tcW w:w="2607"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43" w:right="0"/>
              <w:jc w:val="left"/>
              <w:rPr>
                <w:rFonts w:ascii="宋体" w:hAnsi="宋体" w:cs="宋体" w:eastAsia="宋体" w:hint="default"/>
                <w:sz w:val="21"/>
                <w:szCs w:val="21"/>
              </w:rPr>
            </w:pPr>
            <w:r>
              <w:rPr>
                <w:rFonts w:ascii="宋体" w:hAnsi="宋体" w:cs="宋体" w:eastAsia="宋体" w:hint="default"/>
                <w:b/>
                <w:bCs/>
                <w:sz w:val="21"/>
                <w:szCs w:val="21"/>
              </w:rPr>
              <w:t>一、账面原值合计</w:t>
            </w:r>
            <w:r>
              <w:rPr>
                <w:rFonts w:ascii="宋体" w:hAnsi="宋体" w:cs="宋体" w:eastAsia="宋体" w:hint="default"/>
                <w:sz w:val="21"/>
                <w:szCs w:val="21"/>
              </w:rPr>
            </w:r>
          </w:p>
        </w:tc>
        <w:tc>
          <w:tcPr>
            <w:tcW w:w="114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77"/>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55"/>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28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10"/>
              <w:jc w:val="right"/>
              <w:rPr>
                <w:rFonts w:ascii="Arial Narrow" w:hAnsi="Arial Narrow" w:cs="Arial Narrow" w:eastAsia="Arial Narrow" w:hint="default"/>
                <w:sz w:val="21"/>
                <w:szCs w:val="21"/>
              </w:rPr>
            </w:pPr>
            <w:r>
              <w:rPr>
                <w:rFonts w:ascii="Arial Narrow"/>
                <w:b/>
                <w:spacing w:val="-1"/>
                <w:sz w:val="21"/>
              </w:rPr>
              <w:t>11,232,858.00</w:t>
            </w:r>
            <w:r>
              <w:rPr>
                <w:rFonts w:ascii="Arial Narrow"/>
                <w:spacing w:val="-1"/>
                <w:sz w:val="21"/>
              </w:rPr>
            </w:r>
          </w:p>
        </w:tc>
        <w:tc>
          <w:tcPr>
            <w:tcW w:w="96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55"/>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6"/>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4"/>
              <w:jc w:val="right"/>
              <w:rPr>
                <w:rFonts w:ascii="Arial Narrow" w:hAnsi="Arial Narrow" w:cs="Arial Narrow" w:eastAsia="Arial Narrow" w:hint="default"/>
                <w:sz w:val="21"/>
                <w:szCs w:val="21"/>
              </w:rPr>
            </w:pPr>
            <w:r>
              <w:rPr>
                <w:rFonts w:ascii="Arial Narrow"/>
                <w:b/>
                <w:spacing w:val="-1"/>
                <w:sz w:val="21"/>
              </w:rPr>
              <w:t>11,232,858.00</w:t>
            </w:r>
            <w:r>
              <w:rPr>
                <w:rFonts w:ascii="Arial Narrow"/>
                <w:spacing w:val="-1"/>
                <w:sz w:val="21"/>
              </w:rPr>
            </w:r>
          </w:p>
        </w:tc>
      </w:tr>
      <w:tr>
        <w:trPr>
          <w:trHeight w:val="396"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5"/>
              <w:jc w:val="right"/>
              <w:rPr>
                <w:rFonts w:ascii="Arial Narrow" w:hAnsi="Arial Narrow" w:cs="Arial Narrow" w:eastAsia="Arial Narrow" w:hint="default"/>
                <w:sz w:val="21"/>
                <w:szCs w:val="21"/>
              </w:rPr>
            </w:pPr>
            <w:r>
              <w:rPr>
                <w:rFonts w:ascii="Arial Narrow"/>
                <w:w w:val="100"/>
                <w:sz w:val="21"/>
              </w:rPr>
              <w:t>-</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0"/>
              <w:jc w:val="right"/>
              <w:rPr>
                <w:rFonts w:ascii="Arial Narrow" w:hAnsi="Arial Narrow" w:cs="Arial Narrow" w:eastAsia="Arial Narrow" w:hint="default"/>
                <w:sz w:val="21"/>
                <w:szCs w:val="21"/>
              </w:rPr>
            </w:pPr>
            <w:r>
              <w:rPr>
                <w:rFonts w:ascii="Arial Narrow"/>
                <w:spacing w:val="-2"/>
                <w:sz w:val="21"/>
              </w:rPr>
              <w:t>11,232,858.00</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5"/>
              <w:jc w:val="right"/>
              <w:rPr>
                <w:rFonts w:ascii="Arial Narrow" w:hAnsi="Arial Narrow" w:cs="Arial Narrow" w:eastAsia="Arial Narrow" w:hint="default"/>
                <w:sz w:val="21"/>
                <w:szCs w:val="21"/>
              </w:rPr>
            </w:pPr>
            <w:r>
              <w:rPr>
                <w:rFonts w:ascii="Arial Narrow"/>
                <w:w w:val="100"/>
                <w:sz w:val="21"/>
              </w:rPr>
              <w:t>-</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
              <w:jc w:val="right"/>
              <w:rPr>
                <w:rFonts w:ascii="Arial Narrow" w:hAnsi="Arial Narrow" w:cs="Arial Narrow" w:eastAsia="Arial Narrow" w:hint="default"/>
                <w:sz w:val="21"/>
                <w:szCs w:val="21"/>
              </w:rPr>
            </w:pPr>
            <w:r>
              <w:rPr>
                <w:rFonts w:ascii="Arial Narrow"/>
                <w:w w:val="100"/>
                <w:sz w:val="21"/>
              </w:rPr>
              <w:t>-</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4"/>
              <w:jc w:val="right"/>
              <w:rPr>
                <w:rFonts w:ascii="Arial Narrow" w:hAnsi="Arial Narrow" w:cs="Arial Narrow" w:eastAsia="Arial Narrow" w:hint="default"/>
                <w:sz w:val="21"/>
                <w:szCs w:val="21"/>
              </w:rPr>
            </w:pPr>
            <w:r>
              <w:rPr>
                <w:rFonts w:ascii="Arial Narrow"/>
                <w:spacing w:val="-2"/>
                <w:sz w:val="21"/>
              </w:rPr>
              <w:t>11,232,858.00</w:t>
            </w:r>
          </w:p>
        </w:tc>
      </w:tr>
      <w:tr>
        <w:trPr>
          <w:trHeight w:val="392"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
              <w:jc w:val="right"/>
              <w:rPr>
                <w:rFonts w:ascii="Arial Narrow" w:hAnsi="Arial Narrow" w:cs="Arial Narrow" w:eastAsia="Arial Narrow" w:hint="default"/>
                <w:sz w:val="21"/>
                <w:szCs w:val="21"/>
              </w:rPr>
            </w:pPr>
            <w:r>
              <w:rPr>
                <w:rFonts w:ascii="Arial Narrow"/>
                <w:w w:val="100"/>
                <w:sz w:val="21"/>
              </w:rPr>
              <w:t>-</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3"/>
              <w:jc w:val="right"/>
              <w:rPr>
                <w:rFonts w:ascii="Arial Narrow" w:hAnsi="Arial Narrow" w:cs="Arial Narrow" w:eastAsia="Arial Narrow" w:hint="default"/>
                <w:sz w:val="21"/>
                <w:szCs w:val="21"/>
              </w:rPr>
            </w:pPr>
            <w:r>
              <w:rPr>
                <w:rFonts w:ascii="Arial Narrow"/>
                <w:w w:val="100"/>
                <w:sz w:val="21"/>
              </w:rPr>
              <w:t>-</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
              <w:jc w:val="right"/>
              <w:rPr>
                <w:rFonts w:ascii="Arial Narrow" w:hAnsi="Arial Narrow" w:cs="Arial Narrow" w:eastAsia="Arial Narrow" w:hint="default"/>
                <w:sz w:val="21"/>
                <w:szCs w:val="21"/>
              </w:rPr>
            </w:pPr>
            <w:r>
              <w:rPr>
                <w:rFonts w:ascii="Arial Narrow"/>
                <w:w w:val="100"/>
                <w:sz w:val="21"/>
              </w:rPr>
              <w:t>-</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
              <w:jc w:val="right"/>
              <w:rPr>
                <w:rFonts w:ascii="Arial Narrow" w:hAnsi="Arial Narrow" w:cs="Arial Narrow" w:eastAsia="Arial Narrow" w:hint="default"/>
                <w:sz w:val="21"/>
                <w:szCs w:val="21"/>
              </w:rPr>
            </w:pPr>
            <w:r>
              <w:rPr>
                <w:rFonts w:ascii="Arial Narrow"/>
                <w:w w:val="100"/>
                <w:sz w:val="21"/>
              </w:rPr>
              <w:t>-</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
              <w:jc w:val="right"/>
              <w:rPr>
                <w:rFonts w:ascii="Arial Narrow" w:hAnsi="Arial Narrow" w:cs="Arial Narrow" w:eastAsia="Arial Narrow" w:hint="default"/>
                <w:sz w:val="21"/>
                <w:szCs w:val="21"/>
              </w:rPr>
            </w:pPr>
            <w:r>
              <w:rPr>
                <w:rFonts w:ascii="Arial Narrow"/>
                <w:w w:val="100"/>
                <w:sz w:val="21"/>
              </w:rPr>
              <w:t>-</w:t>
            </w:r>
          </w:p>
        </w:tc>
      </w:tr>
      <w:tr>
        <w:trPr>
          <w:trHeight w:val="655"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72" w:lineRule="exact" w:before="48"/>
              <w:ind w:left="43" w:right="161"/>
              <w:jc w:val="left"/>
              <w:rPr>
                <w:rFonts w:ascii="宋体" w:hAnsi="宋体" w:cs="宋体" w:eastAsia="宋体" w:hint="default"/>
                <w:sz w:val="21"/>
                <w:szCs w:val="21"/>
              </w:rPr>
            </w:pPr>
            <w:r>
              <w:rPr>
                <w:rFonts w:ascii="宋体" w:hAnsi="宋体" w:cs="宋体" w:eastAsia="宋体" w:hint="default"/>
                <w:b/>
                <w:bCs/>
                <w:spacing w:val="6"/>
                <w:sz w:val="21"/>
                <w:szCs w:val="21"/>
              </w:rPr>
              <w:t>二、累计折旧和累计摊销</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合计</w:t>
            </w:r>
            <w:r>
              <w:rPr>
                <w:rFonts w:ascii="宋体" w:hAnsi="宋体" w:cs="宋体" w:eastAsia="宋体" w:hint="default"/>
                <w:sz w:val="21"/>
                <w:szCs w:val="21"/>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77"/>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3"/>
              <w:jc w:val="right"/>
              <w:rPr>
                <w:rFonts w:ascii="Arial Narrow" w:hAnsi="Arial Narrow" w:cs="Arial Narrow" w:eastAsia="Arial Narrow" w:hint="default"/>
                <w:sz w:val="21"/>
                <w:szCs w:val="21"/>
              </w:rPr>
            </w:pPr>
            <w:r>
              <w:rPr>
                <w:rFonts w:ascii="Arial Narrow"/>
                <w:b/>
                <w:spacing w:val="-1"/>
                <w:sz w:val="21"/>
              </w:rPr>
              <w:t>400,170.51</w:t>
            </w:r>
            <w:r>
              <w:rPr>
                <w:rFonts w:ascii="Arial Narrow"/>
                <w:sz w:val="21"/>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11"/>
              <w:jc w:val="right"/>
              <w:rPr>
                <w:rFonts w:ascii="Arial Narrow" w:hAnsi="Arial Narrow" w:cs="Arial Narrow" w:eastAsia="Arial Narrow" w:hint="default"/>
                <w:sz w:val="21"/>
                <w:szCs w:val="21"/>
              </w:rPr>
            </w:pPr>
            <w:r>
              <w:rPr>
                <w:rFonts w:ascii="Arial Narrow"/>
                <w:b/>
                <w:spacing w:val="-1"/>
                <w:sz w:val="21"/>
              </w:rPr>
              <w:t>3,940,524.80</w:t>
            </w:r>
            <w:r>
              <w:rPr>
                <w:rFonts w:ascii="Arial Narrow"/>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5"/>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b/>
                <w:spacing w:val="-1"/>
                <w:sz w:val="21"/>
              </w:rPr>
              <w:t>4,340,695.31</w:t>
            </w:r>
            <w:r>
              <w:rPr>
                <w:rFonts w:ascii="Arial Narrow"/>
                <w:sz w:val="21"/>
              </w:rPr>
            </w:r>
          </w:p>
        </w:tc>
      </w:tr>
      <w:tr>
        <w:trPr>
          <w:trHeight w:val="397"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3"/>
              <w:jc w:val="right"/>
              <w:rPr>
                <w:rFonts w:ascii="Arial Narrow" w:hAnsi="Arial Narrow" w:cs="Arial Narrow" w:eastAsia="Arial Narrow" w:hint="default"/>
                <w:sz w:val="21"/>
                <w:szCs w:val="21"/>
              </w:rPr>
            </w:pPr>
            <w:r>
              <w:rPr>
                <w:rFonts w:ascii="Arial Narrow"/>
                <w:spacing w:val="-1"/>
                <w:sz w:val="21"/>
              </w:rPr>
              <w:t>400,170.51</w:t>
            </w:r>
            <w:r>
              <w:rPr>
                <w:rFonts w:ascii="Arial Narrow"/>
                <w:sz w:val="21"/>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1"/>
              <w:jc w:val="right"/>
              <w:rPr>
                <w:rFonts w:ascii="Arial Narrow" w:hAnsi="Arial Narrow" w:cs="Arial Narrow" w:eastAsia="Arial Narrow" w:hint="default"/>
                <w:sz w:val="21"/>
                <w:szCs w:val="21"/>
              </w:rPr>
            </w:pPr>
            <w:r>
              <w:rPr>
                <w:rFonts w:ascii="Arial Narrow"/>
                <w:spacing w:val="-1"/>
                <w:sz w:val="21"/>
              </w:rPr>
              <w:t>3,940,524.80</w:t>
            </w:r>
            <w:r>
              <w:rPr>
                <w:rFonts w:ascii="Arial Narrow"/>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55"/>
              <w:jc w:val="right"/>
              <w:rPr>
                <w:rFonts w:ascii="Arial Narrow" w:hAnsi="Arial Narrow" w:cs="Arial Narrow" w:eastAsia="Arial Narrow" w:hint="default"/>
                <w:sz w:val="21"/>
                <w:szCs w:val="21"/>
              </w:rPr>
            </w:pPr>
            <w:r>
              <w:rPr>
                <w:rFonts w:ascii="Arial Narrow"/>
                <w:w w:val="100"/>
                <w:sz w:val="21"/>
              </w:rPr>
              <w:t>-</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
              <w:jc w:val="right"/>
              <w:rPr>
                <w:rFonts w:ascii="Arial Narrow" w:hAnsi="Arial Narrow" w:cs="Arial Narrow" w:eastAsia="Arial Narrow" w:hint="default"/>
                <w:sz w:val="21"/>
                <w:szCs w:val="21"/>
              </w:rPr>
            </w:pPr>
            <w:r>
              <w:rPr>
                <w:rFonts w:ascii="Arial Narrow"/>
                <w:w w:val="100"/>
                <w:sz w:val="21"/>
              </w:rPr>
              <w:t>-</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5"/>
              <w:jc w:val="right"/>
              <w:rPr>
                <w:rFonts w:ascii="Arial Narrow" w:hAnsi="Arial Narrow" w:cs="Arial Narrow" w:eastAsia="Arial Narrow" w:hint="default"/>
                <w:sz w:val="21"/>
                <w:szCs w:val="21"/>
              </w:rPr>
            </w:pPr>
            <w:r>
              <w:rPr>
                <w:rFonts w:ascii="Arial Narrow"/>
                <w:spacing w:val="-1"/>
                <w:sz w:val="21"/>
              </w:rPr>
              <w:t>4,340,695.31</w:t>
            </w:r>
            <w:r>
              <w:rPr>
                <w:rFonts w:ascii="Arial Narrow"/>
                <w:sz w:val="21"/>
              </w:rPr>
            </w:r>
          </w:p>
        </w:tc>
      </w:tr>
      <w:tr>
        <w:trPr>
          <w:trHeight w:val="383"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
              <w:jc w:val="right"/>
              <w:rPr>
                <w:rFonts w:ascii="Arial Narrow" w:hAnsi="Arial Narrow" w:cs="Arial Narrow" w:eastAsia="Arial Narrow" w:hint="default"/>
                <w:sz w:val="21"/>
                <w:szCs w:val="21"/>
              </w:rPr>
            </w:pPr>
            <w:r>
              <w:rPr>
                <w:rFonts w:ascii="Arial Narrow"/>
                <w:w w:val="100"/>
                <w:sz w:val="21"/>
              </w:rPr>
              <w:t>-</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3"/>
              <w:jc w:val="right"/>
              <w:rPr>
                <w:rFonts w:ascii="Arial Narrow" w:hAnsi="Arial Narrow" w:cs="Arial Narrow" w:eastAsia="Arial Narrow" w:hint="default"/>
                <w:sz w:val="21"/>
                <w:szCs w:val="21"/>
              </w:rPr>
            </w:pPr>
            <w:r>
              <w:rPr>
                <w:rFonts w:ascii="Arial Narrow"/>
                <w:w w:val="100"/>
                <w:sz w:val="21"/>
              </w:rPr>
              <w:t>-</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
              <w:jc w:val="right"/>
              <w:rPr>
                <w:rFonts w:ascii="Arial Narrow" w:hAnsi="Arial Narrow" w:cs="Arial Narrow" w:eastAsia="Arial Narrow" w:hint="default"/>
                <w:sz w:val="21"/>
                <w:szCs w:val="21"/>
              </w:rPr>
            </w:pPr>
            <w:r>
              <w:rPr>
                <w:rFonts w:ascii="Arial Narrow"/>
                <w:w w:val="100"/>
                <w:sz w:val="21"/>
              </w:rPr>
              <w:t>-</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
              <w:jc w:val="right"/>
              <w:rPr>
                <w:rFonts w:ascii="Arial Narrow" w:hAnsi="Arial Narrow" w:cs="Arial Narrow" w:eastAsia="Arial Narrow" w:hint="default"/>
                <w:sz w:val="21"/>
                <w:szCs w:val="21"/>
              </w:rPr>
            </w:pPr>
            <w:r>
              <w:rPr>
                <w:rFonts w:ascii="Arial Narrow"/>
                <w:w w:val="100"/>
                <w:sz w:val="21"/>
              </w:rPr>
              <w:t>-</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
              <w:jc w:val="right"/>
              <w:rPr>
                <w:rFonts w:ascii="Arial Narrow" w:hAnsi="Arial Narrow" w:cs="Arial Narrow" w:eastAsia="Arial Narrow" w:hint="default"/>
                <w:sz w:val="21"/>
                <w:szCs w:val="21"/>
              </w:rPr>
            </w:pPr>
            <w:r>
              <w:rPr>
                <w:rFonts w:ascii="Arial Narrow"/>
                <w:w w:val="100"/>
                <w:sz w:val="21"/>
              </w:rPr>
              <w:t>-</w:t>
            </w:r>
          </w:p>
        </w:tc>
      </w:tr>
      <w:tr>
        <w:trPr>
          <w:trHeight w:val="636"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72" w:lineRule="exact" w:before="38"/>
              <w:ind w:left="43" w:right="161"/>
              <w:jc w:val="left"/>
              <w:rPr>
                <w:rFonts w:ascii="宋体" w:hAnsi="宋体" w:cs="宋体" w:eastAsia="宋体" w:hint="default"/>
                <w:sz w:val="21"/>
                <w:szCs w:val="21"/>
              </w:rPr>
            </w:pPr>
            <w:r>
              <w:rPr>
                <w:rFonts w:ascii="宋体" w:hAnsi="宋体" w:cs="宋体" w:eastAsia="宋体" w:hint="default"/>
                <w:b/>
                <w:bCs/>
                <w:spacing w:val="6"/>
                <w:sz w:val="21"/>
                <w:szCs w:val="21"/>
              </w:rPr>
              <w:t>三、投资性房地产账面净</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值合计</w:t>
            </w:r>
            <w:r>
              <w:rPr>
                <w:rFonts w:ascii="宋体" w:hAnsi="宋体" w:cs="宋体" w:eastAsia="宋体" w:hint="default"/>
                <w:sz w:val="21"/>
                <w:szCs w:val="21"/>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77"/>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98"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b/>
                <w:spacing w:val="-1"/>
                <w:sz w:val="21"/>
              </w:rPr>
              <w:t>6,892,162.69</w:t>
            </w:r>
            <w:r>
              <w:rPr>
                <w:rFonts w:ascii="Arial Narrow"/>
                <w:sz w:val="21"/>
              </w:rPr>
            </w:r>
          </w:p>
        </w:tc>
      </w:tr>
      <w:tr>
        <w:trPr>
          <w:trHeight w:val="388"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5"/>
              <w:jc w:val="right"/>
              <w:rPr>
                <w:rFonts w:ascii="Arial Narrow" w:hAnsi="Arial Narrow" w:cs="Arial Narrow" w:eastAsia="Arial Narrow" w:hint="default"/>
                <w:sz w:val="21"/>
                <w:szCs w:val="21"/>
              </w:rPr>
            </w:pPr>
            <w:r>
              <w:rPr>
                <w:rFonts w:ascii="Arial Narrow"/>
                <w:spacing w:val="-1"/>
                <w:sz w:val="21"/>
              </w:rPr>
              <w:t>6,892,162.69</w:t>
            </w:r>
            <w:r>
              <w:rPr>
                <w:rFonts w:ascii="Arial Narrow"/>
                <w:sz w:val="21"/>
              </w:rPr>
            </w:r>
          </w:p>
        </w:tc>
      </w:tr>
      <w:tr>
        <w:trPr>
          <w:trHeight w:val="377"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
              <w:jc w:val="right"/>
              <w:rPr>
                <w:rFonts w:ascii="Arial Narrow" w:hAnsi="Arial Narrow" w:cs="Arial Narrow" w:eastAsia="Arial Narrow" w:hint="default"/>
                <w:sz w:val="21"/>
                <w:szCs w:val="21"/>
              </w:rPr>
            </w:pPr>
            <w:r>
              <w:rPr>
                <w:rFonts w:ascii="Arial Narrow"/>
                <w:w w:val="100"/>
                <w:sz w:val="21"/>
              </w:rPr>
              <w:t>-</w:t>
            </w:r>
          </w:p>
        </w:tc>
      </w:tr>
      <w:tr>
        <w:trPr>
          <w:trHeight w:val="627"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4"/>
              <w:ind w:left="43" w:right="161"/>
              <w:jc w:val="left"/>
              <w:rPr>
                <w:rFonts w:ascii="宋体" w:hAnsi="宋体" w:cs="宋体" w:eastAsia="宋体" w:hint="default"/>
                <w:sz w:val="21"/>
                <w:szCs w:val="21"/>
              </w:rPr>
            </w:pPr>
            <w:r>
              <w:rPr>
                <w:rFonts w:ascii="宋体" w:hAnsi="宋体" w:cs="宋体" w:eastAsia="宋体" w:hint="default"/>
                <w:b/>
                <w:bCs/>
                <w:spacing w:val="6"/>
                <w:sz w:val="21"/>
                <w:szCs w:val="21"/>
              </w:rPr>
              <w:t>四、投资性房地产减值准</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备累计金额合计</w:t>
            </w:r>
            <w:r>
              <w:rPr>
                <w:rFonts w:ascii="宋体" w:hAnsi="宋体" w:cs="宋体" w:eastAsia="宋体" w:hint="default"/>
                <w:sz w:val="21"/>
                <w:szCs w:val="21"/>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7"/>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5"/>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3"/>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5"/>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r>
      <w:tr>
        <w:trPr>
          <w:trHeight w:val="383"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9"/>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Narrow" w:hAnsi="Arial Narrow" w:cs="Arial Narrow" w:eastAsia="Arial Narrow" w:hint="default"/>
                <w:sz w:val="21"/>
                <w:szCs w:val="21"/>
              </w:rPr>
            </w:pPr>
            <w:r>
              <w:rPr>
                <w:rFonts w:ascii="Arial Narrow"/>
                <w:w w:val="100"/>
                <w:sz w:val="21"/>
              </w:rPr>
              <w:t>-</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3"/>
              <w:jc w:val="right"/>
              <w:rPr>
                <w:rFonts w:ascii="Arial Narrow" w:hAnsi="Arial Narrow" w:cs="Arial Narrow" w:eastAsia="Arial Narrow" w:hint="default"/>
                <w:sz w:val="21"/>
                <w:szCs w:val="21"/>
              </w:rPr>
            </w:pPr>
            <w:r>
              <w:rPr>
                <w:rFonts w:ascii="Arial Narrow"/>
                <w:w w:val="100"/>
                <w:sz w:val="21"/>
              </w:rPr>
              <w:t>-</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Narrow" w:hAnsi="Arial Narrow" w:cs="Arial Narrow" w:eastAsia="Arial Narrow" w:hint="default"/>
                <w:sz w:val="21"/>
                <w:szCs w:val="21"/>
              </w:rPr>
            </w:pPr>
            <w:r>
              <w:rPr>
                <w:rFonts w:ascii="Arial Narrow"/>
                <w:w w:val="100"/>
                <w:sz w:val="21"/>
              </w:rPr>
              <w:t>-</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Arial Narrow" w:hAnsi="Arial Narrow" w:cs="Arial Narrow" w:eastAsia="Arial Narrow" w:hint="default"/>
                <w:sz w:val="21"/>
                <w:szCs w:val="21"/>
              </w:rPr>
            </w:pPr>
            <w:r>
              <w:rPr>
                <w:rFonts w:ascii="Arial Narrow"/>
                <w:w w:val="100"/>
                <w:sz w:val="21"/>
              </w:rPr>
              <w:t>-</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Arial Narrow" w:hAnsi="Arial Narrow" w:cs="Arial Narrow" w:eastAsia="Arial Narrow" w:hint="default"/>
                <w:sz w:val="21"/>
                <w:szCs w:val="21"/>
              </w:rPr>
            </w:pPr>
            <w:r>
              <w:rPr>
                <w:rFonts w:ascii="Arial Narrow"/>
                <w:w w:val="100"/>
                <w:sz w:val="21"/>
              </w:rPr>
              <w:t>-</w:t>
            </w:r>
          </w:p>
        </w:tc>
      </w:tr>
      <w:tr>
        <w:trPr>
          <w:trHeight w:val="382"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5"/>
              <w:jc w:val="right"/>
              <w:rPr>
                <w:rFonts w:ascii="Arial Narrow" w:hAnsi="Arial Narrow" w:cs="Arial Narrow" w:eastAsia="Arial Narrow" w:hint="default"/>
                <w:sz w:val="21"/>
                <w:szCs w:val="21"/>
              </w:rPr>
            </w:pPr>
            <w:r>
              <w:rPr>
                <w:rFonts w:ascii="Arial Narrow"/>
                <w:w w:val="100"/>
                <w:sz w:val="21"/>
              </w:rPr>
              <w:t>-</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3"/>
              <w:jc w:val="right"/>
              <w:rPr>
                <w:rFonts w:ascii="Arial Narrow" w:hAnsi="Arial Narrow" w:cs="Arial Narrow" w:eastAsia="Arial Narrow" w:hint="default"/>
                <w:sz w:val="21"/>
                <w:szCs w:val="21"/>
              </w:rPr>
            </w:pPr>
            <w:r>
              <w:rPr>
                <w:rFonts w:ascii="Arial Narrow"/>
                <w:w w:val="100"/>
                <w:sz w:val="21"/>
              </w:rPr>
              <w:t>-</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5"/>
              <w:jc w:val="right"/>
              <w:rPr>
                <w:rFonts w:ascii="Arial Narrow" w:hAnsi="Arial Narrow" w:cs="Arial Narrow" w:eastAsia="Arial Narrow" w:hint="default"/>
                <w:sz w:val="21"/>
                <w:szCs w:val="21"/>
              </w:rPr>
            </w:pPr>
            <w:r>
              <w:rPr>
                <w:rFonts w:ascii="Arial Narrow"/>
                <w:w w:val="100"/>
                <w:sz w:val="21"/>
              </w:rPr>
              <w:t>-</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
              <w:jc w:val="right"/>
              <w:rPr>
                <w:rFonts w:ascii="Arial Narrow" w:hAnsi="Arial Narrow" w:cs="Arial Narrow" w:eastAsia="Arial Narrow" w:hint="default"/>
                <w:sz w:val="21"/>
                <w:szCs w:val="21"/>
              </w:rPr>
            </w:pPr>
            <w:r>
              <w:rPr>
                <w:rFonts w:ascii="Arial Narrow"/>
                <w:w w:val="100"/>
                <w:sz w:val="21"/>
              </w:rPr>
              <w:t>-</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
              <w:jc w:val="right"/>
              <w:rPr>
                <w:rFonts w:ascii="Arial Narrow" w:hAnsi="Arial Narrow" w:cs="Arial Narrow" w:eastAsia="Arial Narrow" w:hint="default"/>
                <w:sz w:val="21"/>
                <w:szCs w:val="21"/>
              </w:rPr>
            </w:pPr>
            <w:r>
              <w:rPr>
                <w:rFonts w:ascii="Arial Narrow"/>
                <w:w w:val="100"/>
                <w:sz w:val="21"/>
              </w:rPr>
              <w:t>-</w:t>
            </w:r>
          </w:p>
        </w:tc>
      </w:tr>
      <w:tr>
        <w:trPr>
          <w:trHeight w:val="634"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8"/>
              <w:ind w:left="43" w:right="161"/>
              <w:jc w:val="left"/>
              <w:rPr>
                <w:rFonts w:ascii="宋体" w:hAnsi="宋体" w:cs="宋体" w:eastAsia="宋体" w:hint="default"/>
                <w:sz w:val="21"/>
                <w:szCs w:val="21"/>
              </w:rPr>
            </w:pPr>
            <w:r>
              <w:rPr>
                <w:rFonts w:ascii="宋体" w:hAnsi="宋体" w:cs="宋体" w:eastAsia="宋体" w:hint="default"/>
                <w:b/>
                <w:bCs/>
                <w:spacing w:val="6"/>
                <w:sz w:val="21"/>
                <w:szCs w:val="21"/>
              </w:rPr>
              <w:t>五、投资性房地产账面价</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z w:val="21"/>
                <w:szCs w:val="21"/>
              </w:rPr>
              <w:t>值合计</w:t>
            </w:r>
            <w:r>
              <w:rPr>
                <w:rFonts w:ascii="宋体" w:hAnsi="宋体" w:cs="宋体" w:eastAsia="宋体" w:hint="default"/>
                <w:sz w:val="21"/>
                <w:szCs w:val="21"/>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7"/>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98"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b/>
                <w:spacing w:val="-1"/>
                <w:sz w:val="21"/>
              </w:rPr>
              <w:t>6,892,162.69</w:t>
            </w:r>
            <w:r>
              <w:rPr>
                <w:rFonts w:ascii="Arial Narrow"/>
                <w:sz w:val="21"/>
              </w:rPr>
            </w:r>
          </w:p>
        </w:tc>
      </w:tr>
      <w:tr>
        <w:trPr>
          <w:trHeight w:val="385"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13"/>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nil" w:sz="6" w:space="0" w:color="auto"/>
              <w:right w:val="nil" w:sz="6" w:space="0" w:color="auto"/>
            </w:tcBorders>
          </w:tcPr>
          <w:p>
            <w:pPr/>
          </w:p>
        </w:tc>
        <w:tc>
          <w:tcPr>
            <w:tcW w:w="1285"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
              <w:jc w:val="right"/>
              <w:rPr>
                <w:rFonts w:ascii="Arial Narrow" w:hAnsi="Arial Narrow" w:cs="Arial Narrow" w:eastAsia="Arial Narrow" w:hint="default"/>
                <w:sz w:val="21"/>
                <w:szCs w:val="21"/>
              </w:rPr>
            </w:pPr>
            <w:r>
              <w:rPr>
                <w:rFonts w:ascii="Arial Narrow"/>
                <w:spacing w:val="-1"/>
                <w:sz w:val="21"/>
              </w:rPr>
              <w:t>6,892,162.69</w:t>
            </w:r>
            <w:r>
              <w:rPr>
                <w:rFonts w:ascii="Arial Narrow"/>
                <w:sz w:val="21"/>
              </w:rPr>
            </w:r>
          </w:p>
        </w:tc>
      </w:tr>
      <w:tr>
        <w:trPr>
          <w:trHeight w:val="404" w:hRule="exact"/>
        </w:trPr>
        <w:tc>
          <w:tcPr>
            <w:tcW w:w="2607"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tc>
        <w:tc>
          <w:tcPr>
            <w:tcW w:w="1145"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right="77"/>
              <w:jc w:val="right"/>
              <w:rPr>
                <w:rFonts w:ascii="Arial Narrow" w:hAnsi="Arial Narrow" w:cs="Arial Narrow" w:eastAsia="Arial Narrow" w:hint="default"/>
                <w:sz w:val="21"/>
                <w:szCs w:val="21"/>
              </w:rPr>
            </w:pPr>
            <w:r>
              <w:rPr>
                <w:rFonts w:ascii="Arial Narrow"/>
                <w:w w:val="100"/>
                <w:sz w:val="21"/>
              </w:rPr>
              <w:t>-</w:t>
            </w:r>
          </w:p>
        </w:tc>
        <w:tc>
          <w:tcPr>
            <w:tcW w:w="998" w:type="dxa"/>
            <w:tcBorders>
              <w:top w:val="nil" w:sz="6" w:space="0" w:color="auto"/>
              <w:left w:val="nil" w:sz="6" w:space="0" w:color="auto"/>
              <w:bottom w:val="single" w:sz="8" w:space="0" w:color="000000"/>
              <w:right w:val="nil" w:sz="6" w:space="0" w:color="auto"/>
            </w:tcBorders>
          </w:tcPr>
          <w:p>
            <w:pPr/>
          </w:p>
        </w:tc>
        <w:tc>
          <w:tcPr>
            <w:tcW w:w="1285" w:type="dxa"/>
            <w:tcBorders>
              <w:top w:val="nil" w:sz="6" w:space="0" w:color="auto"/>
              <w:left w:val="nil" w:sz="6" w:space="0" w:color="auto"/>
              <w:bottom w:val="single" w:sz="8" w:space="0" w:color="000000"/>
              <w:right w:val="nil" w:sz="6" w:space="0" w:color="auto"/>
            </w:tcBorders>
          </w:tcPr>
          <w:p>
            <w:pPr/>
          </w:p>
        </w:tc>
        <w:tc>
          <w:tcPr>
            <w:tcW w:w="963" w:type="dxa"/>
            <w:tcBorders>
              <w:top w:val="nil" w:sz="6" w:space="0" w:color="auto"/>
              <w:left w:val="nil" w:sz="6" w:space="0" w:color="auto"/>
              <w:bottom w:val="single" w:sz="8" w:space="0" w:color="000000"/>
              <w:right w:val="nil" w:sz="6" w:space="0" w:color="auto"/>
            </w:tcBorders>
          </w:tcPr>
          <w:p>
            <w:pPr/>
          </w:p>
        </w:tc>
        <w:tc>
          <w:tcPr>
            <w:tcW w:w="991" w:type="dxa"/>
            <w:tcBorders>
              <w:top w:val="nil" w:sz="6" w:space="0" w:color="auto"/>
              <w:left w:val="nil" w:sz="6" w:space="0" w:color="auto"/>
              <w:bottom w:val="single" w:sz="8" w:space="0" w:color="000000"/>
              <w:right w:val="nil" w:sz="6" w:space="0" w:color="auto"/>
            </w:tcBorders>
          </w:tcPr>
          <w:p>
            <w:pPr/>
          </w:p>
        </w:tc>
        <w:tc>
          <w:tcPr>
            <w:tcW w:w="1150"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right="26"/>
              <w:jc w:val="right"/>
              <w:rPr>
                <w:rFonts w:ascii="Arial Narrow" w:hAnsi="Arial Narrow" w:cs="Arial Narrow" w:eastAsia="Arial Narrow" w:hint="default"/>
                <w:sz w:val="21"/>
                <w:szCs w:val="21"/>
              </w:rPr>
            </w:pPr>
            <w:r>
              <w:rPr>
                <w:rFonts w:ascii="Arial Narrow"/>
                <w:w w:val="100"/>
                <w:sz w:val="21"/>
              </w:rPr>
              <w:t>-</w:t>
            </w:r>
          </w:p>
        </w:tc>
      </w:tr>
    </w:tbl>
    <w:p>
      <w:pPr>
        <w:pStyle w:val="BodyText"/>
        <w:spacing w:line="240" w:lineRule="auto" w:before="79"/>
        <w:ind w:left="562" w:right="2957"/>
        <w:jc w:val="left"/>
      </w:pPr>
      <w:r>
        <w:rPr/>
        <w:t>说明：</w:t>
      </w:r>
    </w:p>
    <w:p>
      <w:pPr>
        <w:pStyle w:val="BodyText"/>
        <w:spacing w:line="240" w:lineRule="auto" w:before="214"/>
        <w:ind w:left="562" w:right="2957"/>
        <w:jc w:val="left"/>
      </w:pPr>
      <w:r>
        <w:rPr/>
        <w:t>①</w:t>
      </w:r>
      <w:r>
        <w:rPr>
          <w:spacing w:val="-4"/>
        </w:rPr>
        <w:t> </w:t>
      </w:r>
      <w:r>
        <w:rPr/>
        <w:t>本期折旧额</w:t>
      </w:r>
      <w:r>
        <w:rPr>
          <w:spacing w:val="-62"/>
        </w:rPr>
        <w:t> </w:t>
      </w:r>
      <w:r>
        <w:rPr>
          <w:rFonts w:ascii="Arial Narrow" w:hAnsi="Arial Narrow" w:cs="Arial Narrow" w:eastAsia="Arial Narrow" w:hint="default"/>
        </w:rPr>
        <w:t>400,170.51</w:t>
      </w:r>
      <w:r>
        <w:rPr>
          <w:rFonts w:ascii="Arial Narrow" w:hAnsi="Arial Narrow" w:cs="Arial Narrow" w:eastAsia="Arial Narrow" w:hint="default"/>
          <w:spacing w:val="6"/>
        </w:rPr>
        <w:t> </w:t>
      </w:r>
      <w:r>
        <w:rPr/>
        <w:t>元。</w:t>
      </w:r>
    </w:p>
    <w:p>
      <w:pPr>
        <w:pStyle w:val="BodyText"/>
        <w:spacing w:line="240" w:lineRule="auto" w:before="194"/>
        <w:ind w:left="562" w:right="2957"/>
        <w:jc w:val="left"/>
      </w:pPr>
      <w:r>
        <w:rPr/>
        <w:t>②</w:t>
      </w:r>
      <w:r>
        <w:rPr>
          <w:spacing w:val="-1"/>
        </w:rPr>
        <w:t> </w:t>
      </w:r>
      <w:r>
        <w:rPr/>
        <w:t>投资性房地产为科技财富中心房产出租转入。</w:t>
      </w:r>
    </w:p>
    <w:p>
      <w:pPr>
        <w:pStyle w:val="BodyText"/>
        <w:spacing w:line="240" w:lineRule="auto" w:before="214"/>
        <w:ind w:left="124" w:right="8196"/>
        <w:jc w:val="center"/>
      </w:pPr>
      <w:r>
        <w:rPr>
          <w:rFonts w:ascii="Arial Narrow" w:hAnsi="Arial Narrow" w:cs="Arial Narrow" w:eastAsia="Arial Narrow" w:hint="default"/>
        </w:rPr>
        <w:t>12</w:t>
      </w:r>
      <w:r>
        <w:rPr/>
        <w:t>、固定资产</w:t>
      </w:r>
    </w:p>
    <w:p>
      <w:pPr>
        <w:pStyle w:val="BodyText"/>
        <w:spacing w:line="240" w:lineRule="auto" w:before="197"/>
        <w:ind w:left="559" w:right="2957"/>
        <w:jc w:val="left"/>
      </w:pPr>
      <w:r>
        <w:rPr/>
        <w:t>（</w:t>
      </w:r>
      <w:r>
        <w:rPr>
          <w:rFonts w:ascii="Arial Narrow" w:hAnsi="Arial Narrow" w:cs="Arial Narrow" w:eastAsia="Arial Narrow" w:hint="default"/>
        </w:rPr>
        <w:t>1</w:t>
      </w:r>
      <w:r>
        <w:rPr/>
        <w:t>）固定资产情况</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2137"/>
        <w:gridCol w:w="2147"/>
        <w:gridCol w:w="2037"/>
        <w:gridCol w:w="1395"/>
        <w:gridCol w:w="1357"/>
      </w:tblGrid>
      <w:tr>
        <w:trPr>
          <w:trHeight w:val="394" w:hRule="exact"/>
        </w:trPr>
        <w:tc>
          <w:tcPr>
            <w:tcW w:w="2137" w:type="dxa"/>
            <w:tcBorders>
              <w:top w:val="single" w:sz="8" w:space="0" w:color="000000"/>
              <w:left w:val="nil" w:sz="6" w:space="0" w:color="auto"/>
              <w:bottom w:val="single" w:sz="4" w:space="0" w:color="000000"/>
              <w:right w:val="nil" w:sz="6" w:space="0" w:color="auto"/>
            </w:tcBorders>
          </w:tcPr>
          <w:p>
            <w:pPr>
              <w:pStyle w:val="TableParagraph"/>
              <w:spacing w:line="308" w:lineRule="exact"/>
              <w:ind w:left="26"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147"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819"/>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2037"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64"/>
              <w:jc w:val="righ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395"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67"/>
              <w:jc w:val="righ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357"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27"/>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r>
      <w:tr>
        <w:trPr>
          <w:trHeight w:val="395"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b/>
                <w:bCs/>
                <w:sz w:val="24"/>
                <w:szCs w:val="24"/>
              </w:rPr>
              <w:t>一、账面原值合计</w:t>
            </w:r>
            <w:r>
              <w:rPr>
                <w:rFonts w:ascii="宋体" w:hAnsi="宋体" w:cs="宋体" w:eastAsia="宋体" w:hint="default"/>
                <w:sz w:val="24"/>
                <w:szCs w:val="24"/>
              </w:rPr>
            </w:r>
          </w:p>
        </w:tc>
        <w:tc>
          <w:tcPr>
            <w:tcW w:w="214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19"/>
              <w:jc w:val="right"/>
              <w:rPr>
                <w:rFonts w:ascii="Arial Narrow" w:hAnsi="Arial Narrow" w:cs="Arial Narrow" w:eastAsia="Arial Narrow" w:hint="default"/>
                <w:sz w:val="24"/>
                <w:szCs w:val="24"/>
              </w:rPr>
            </w:pPr>
            <w:r>
              <w:rPr>
                <w:rFonts w:ascii="Arial Narrow"/>
                <w:b/>
                <w:spacing w:val="-1"/>
                <w:sz w:val="24"/>
              </w:rPr>
              <w:t>82,032,782.57</w:t>
            </w:r>
            <w:r>
              <w:rPr>
                <w:rFonts w:ascii="Arial Narrow"/>
                <w:spacing w:val="-1"/>
                <w:sz w:val="24"/>
              </w:rPr>
            </w:r>
          </w:p>
        </w:tc>
        <w:tc>
          <w:tcPr>
            <w:tcW w:w="203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64"/>
              <w:jc w:val="right"/>
              <w:rPr>
                <w:rFonts w:ascii="Arial Narrow" w:hAnsi="Arial Narrow" w:cs="Arial Narrow" w:eastAsia="Arial Narrow" w:hint="default"/>
                <w:sz w:val="24"/>
                <w:szCs w:val="24"/>
              </w:rPr>
            </w:pPr>
            <w:r>
              <w:rPr>
                <w:rFonts w:ascii="Arial Narrow"/>
                <w:b/>
                <w:spacing w:val="-1"/>
                <w:sz w:val="24"/>
              </w:rPr>
              <w:t>4,858,255.42</w:t>
            </w:r>
            <w:r>
              <w:rPr>
                <w:rFonts w:ascii="Arial Narrow"/>
                <w:spacing w:val="-1"/>
                <w:sz w:val="24"/>
              </w:rPr>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67"/>
              <w:jc w:val="right"/>
              <w:rPr>
                <w:rFonts w:ascii="Arial Narrow" w:hAnsi="Arial Narrow" w:cs="Arial Narrow" w:eastAsia="Arial Narrow" w:hint="default"/>
                <w:sz w:val="24"/>
                <w:szCs w:val="24"/>
              </w:rPr>
            </w:pPr>
            <w:r>
              <w:rPr>
                <w:rFonts w:ascii="Arial Narrow"/>
                <w:b/>
                <w:spacing w:val="-1"/>
                <w:sz w:val="24"/>
              </w:rPr>
              <w:t>16,241,302.66</w:t>
            </w:r>
            <w:r>
              <w:rPr>
                <w:rFonts w:ascii="Arial Narrow"/>
                <w:spacing w:val="-1"/>
                <w:sz w:val="24"/>
              </w:rPr>
            </w:r>
          </w:p>
        </w:tc>
        <w:tc>
          <w:tcPr>
            <w:tcW w:w="135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b/>
                <w:spacing w:val="-1"/>
                <w:sz w:val="24"/>
              </w:rPr>
              <w:t>70,649,735.33</w:t>
            </w:r>
            <w:r>
              <w:rPr>
                <w:rFonts w:ascii="Arial Narrow"/>
                <w:spacing w:val="-1"/>
                <w:sz w:val="24"/>
              </w:rPr>
            </w:r>
          </w:p>
        </w:tc>
      </w:tr>
      <w:tr>
        <w:trPr>
          <w:trHeight w:val="396"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16"/>
                <w:sz w:val="24"/>
                <w:szCs w:val="24"/>
              </w:rPr>
              <w:t>：</w:t>
            </w:r>
            <w:r>
              <w:rPr>
                <w:rFonts w:ascii="宋体" w:hAnsi="宋体" w:cs="宋体" w:eastAsia="宋体" w:hint="default"/>
                <w:sz w:val="24"/>
                <w:szCs w:val="24"/>
              </w:rPr>
              <w:t>房屋及建筑物</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19"/>
              <w:jc w:val="right"/>
              <w:rPr>
                <w:rFonts w:ascii="Arial Narrow" w:hAnsi="Arial Narrow" w:cs="Arial Narrow" w:eastAsia="Arial Narrow" w:hint="default"/>
                <w:sz w:val="24"/>
                <w:szCs w:val="24"/>
              </w:rPr>
            </w:pPr>
            <w:r>
              <w:rPr>
                <w:rFonts w:ascii="Arial Narrow"/>
                <w:spacing w:val="-1"/>
                <w:sz w:val="24"/>
              </w:rPr>
              <w:t>67,747,405.25</w:t>
            </w:r>
          </w:p>
        </w:tc>
        <w:tc>
          <w:tcPr>
            <w:tcW w:w="203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3"/>
              <w:jc w:val="right"/>
              <w:rPr>
                <w:rFonts w:ascii="Arial Narrow" w:hAnsi="Arial Narrow" w:cs="Arial Narrow" w:eastAsia="Arial Narrow" w:hint="default"/>
                <w:sz w:val="24"/>
                <w:szCs w:val="24"/>
              </w:rPr>
            </w:pPr>
            <w:r>
              <w:rPr>
                <w:rFonts w:ascii="Arial Narrow"/>
                <w:spacing w:val="-1"/>
                <w:sz w:val="24"/>
              </w:rPr>
              <w:t>212,581.50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8"/>
              <w:jc w:val="right"/>
              <w:rPr>
                <w:rFonts w:ascii="Arial Narrow" w:hAnsi="Arial Narrow" w:cs="Arial Narrow" w:eastAsia="Arial Narrow" w:hint="default"/>
                <w:sz w:val="24"/>
                <w:szCs w:val="24"/>
              </w:rPr>
            </w:pPr>
            <w:r>
              <w:rPr>
                <w:rFonts w:ascii="Arial Narrow"/>
                <w:spacing w:val="-2"/>
                <w:sz w:val="24"/>
              </w:rPr>
              <w:t>11,232,858.00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56,727,128.75</w:t>
            </w:r>
          </w:p>
        </w:tc>
      </w:tr>
      <w:tr>
        <w:trPr>
          <w:trHeight w:val="399" w:hRule="exact"/>
        </w:trPr>
        <w:tc>
          <w:tcPr>
            <w:tcW w:w="213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626"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214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19"/>
              <w:jc w:val="right"/>
              <w:rPr>
                <w:rFonts w:ascii="Arial Narrow" w:hAnsi="Arial Narrow" w:cs="Arial Narrow" w:eastAsia="Arial Narrow" w:hint="default"/>
                <w:sz w:val="24"/>
                <w:szCs w:val="24"/>
              </w:rPr>
            </w:pPr>
            <w:r>
              <w:rPr>
                <w:rFonts w:ascii="Arial Narrow"/>
                <w:spacing w:val="-1"/>
                <w:sz w:val="24"/>
              </w:rPr>
              <w:t>12,578,409.82</w:t>
            </w:r>
          </w:p>
        </w:tc>
        <w:tc>
          <w:tcPr>
            <w:tcW w:w="203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64"/>
              <w:jc w:val="right"/>
              <w:rPr>
                <w:rFonts w:ascii="Arial Narrow" w:hAnsi="Arial Narrow" w:cs="Arial Narrow" w:eastAsia="Arial Narrow" w:hint="default"/>
                <w:sz w:val="24"/>
                <w:szCs w:val="24"/>
              </w:rPr>
            </w:pPr>
            <w:r>
              <w:rPr>
                <w:rFonts w:ascii="Arial Narrow"/>
                <w:spacing w:val="-1"/>
                <w:sz w:val="24"/>
              </w:rPr>
              <w:t>4,609,041.44</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66"/>
              <w:jc w:val="right"/>
              <w:rPr>
                <w:rFonts w:ascii="Arial Narrow" w:hAnsi="Arial Narrow" w:cs="Arial Narrow" w:eastAsia="Arial Narrow" w:hint="default"/>
                <w:sz w:val="24"/>
                <w:szCs w:val="24"/>
              </w:rPr>
            </w:pPr>
            <w:r>
              <w:rPr>
                <w:rFonts w:ascii="Arial Narrow"/>
                <w:spacing w:val="-1"/>
                <w:sz w:val="24"/>
              </w:rPr>
              <w:t>4,996,844.66</w:t>
            </w:r>
          </w:p>
        </w:tc>
        <w:tc>
          <w:tcPr>
            <w:tcW w:w="135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12,190,606.60</w:t>
            </w:r>
          </w:p>
        </w:tc>
      </w:tr>
    </w:tbl>
    <w:p>
      <w:pPr>
        <w:spacing w:after="0" w:line="240" w:lineRule="auto"/>
        <w:jc w:val="right"/>
        <w:rPr>
          <w:rFonts w:ascii="Arial Narrow" w:hAnsi="Arial Narrow" w:cs="Arial Narrow" w:eastAsia="Arial Narrow" w:hint="default"/>
          <w:sz w:val="24"/>
          <w:szCs w:val="24"/>
        </w:rPr>
        <w:sectPr>
          <w:footerReference w:type="default" r:id="rId64"/>
          <w:pgSz w:w="11900" w:h="16850"/>
          <w:pgMar w:footer="919" w:header="0" w:top="1640" w:bottom="1100" w:left="1140" w:right="980"/>
          <w:pgNumType w:start="141"/>
        </w:sectPr>
      </w:pPr>
    </w:p>
    <w:p>
      <w:pPr>
        <w:spacing w:line="240" w:lineRule="auto" w:before="3"/>
        <w:rPr>
          <w:rFonts w:ascii="宋体" w:hAnsi="宋体" w:cs="宋体" w:eastAsia="宋体" w:hint="default"/>
          <w:sz w:val="5"/>
          <w:szCs w:val="5"/>
        </w:rPr>
      </w:pPr>
      <w:r>
        <w:rPr/>
        <w:pict>
          <v:group style="position:absolute;margin-left:62.664001pt;margin-top:85.93998pt;width:477.25pt;height:.1pt;mso-position-horizontal-relative:page;mso-position-vertical-relative:page;z-index:-764824" coordorigin="1253,1719" coordsize="9545,2">
            <v:shape style="position:absolute;left:1253;top:1719;width:9545;height:2" coordorigin="1253,1719" coordsize="9545,0" path="m1253,1719l10798,1719e" filled="false" stroked="true" strokeweight=".72pt" strokecolor="#000000">
              <v:path arrowok="t"/>
            </v:shape>
            <w10:wrap type="none"/>
          </v:group>
        </w:pict>
      </w:r>
    </w:p>
    <w:tbl>
      <w:tblPr>
        <w:tblW w:w="0" w:type="auto"/>
        <w:jc w:val="left"/>
        <w:tblInd w:w="562" w:type="dxa"/>
        <w:tblLayout w:type="fixed"/>
        <w:tblCellMar>
          <w:top w:w="0" w:type="dxa"/>
          <w:left w:w="0" w:type="dxa"/>
          <w:bottom w:w="0" w:type="dxa"/>
          <w:right w:w="0" w:type="dxa"/>
        </w:tblCellMar>
        <w:tblLook w:val="01E0"/>
      </w:tblPr>
      <w:tblGrid>
        <w:gridCol w:w="2137"/>
        <w:gridCol w:w="1992"/>
        <w:gridCol w:w="853"/>
        <w:gridCol w:w="1394"/>
        <w:gridCol w:w="1395"/>
        <w:gridCol w:w="1302"/>
      </w:tblGrid>
      <w:tr>
        <w:trPr>
          <w:trHeight w:val="503" w:hRule="exact"/>
        </w:trPr>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626"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9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663"/>
              <w:jc w:val="right"/>
              <w:rPr>
                <w:rFonts w:ascii="Arial Narrow" w:hAnsi="Arial Narrow" w:cs="Arial Narrow" w:eastAsia="Arial Narrow" w:hint="default"/>
                <w:sz w:val="24"/>
                <w:szCs w:val="24"/>
              </w:rPr>
            </w:pPr>
            <w:r>
              <w:rPr>
                <w:rFonts w:ascii="Arial Narrow"/>
                <w:spacing w:val="-1"/>
                <w:sz w:val="24"/>
              </w:rPr>
              <w:t>1,706,967.50</w:t>
            </w:r>
          </w:p>
        </w:tc>
        <w:tc>
          <w:tcPr>
            <w:tcW w:w="853" w:type="dxa"/>
            <w:tcBorders>
              <w:top w:val="single" w:sz="4" w:space="0" w:color="000000"/>
              <w:left w:val="nil" w:sz="6" w:space="0" w:color="auto"/>
              <w:bottom w:val="nil" w:sz="6" w:space="0" w:color="auto"/>
              <w:right w:val="nil" w:sz="6" w:space="0" w:color="auto"/>
            </w:tcBorders>
          </w:tcPr>
          <w:p>
            <w:pP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19"/>
              <w:jc w:val="right"/>
              <w:rPr>
                <w:rFonts w:ascii="Arial Narrow" w:hAnsi="Arial Narrow" w:cs="Arial Narrow" w:eastAsia="Arial Narrow" w:hint="default"/>
                <w:sz w:val="24"/>
                <w:szCs w:val="24"/>
              </w:rPr>
            </w:pPr>
            <w:r>
              <w:rPr>
                <w:rFonts w:ascii="Arial Narrow"/>
                <w:spacing w:val="-1"/>
                <w:sz w:val="24"/>
              </w:rPr>
              <w:t>36,632.48</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1"/>
              <w:jc w:val="right"/>
              <w:rPr>
                <w:rFonts w:ascii="Arial Narrow" w:hAnsi="Arial Narrow" w:cs="Arial Narrow" w:eastAsia="Arial Narrow" w:hint="default"/>
                <w:sz w:val="24"/>
                <w:szCs w:val="24"/>
              </w:rPr>
            </w:pPr>
            <w:r>
              <w:rPr>
                <w:rFonts w:ascii="Arial Narrow"/>
                <w:spacing w:val="-2"/>
                <w:sz w:val="24"/>
              </w:rPr>
              <w:t>11,600.00</w:t>
            </w:r>
          </w:p>
        </w:tc>
        <w:tc>
          <w:tcPr>
            <w:tcW w:w="130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7"/>
              <w:jc w:val="right"/>
              <w:rPr>
                <w:rFonts w:ascii="Arial Narrow" w:hAnsi="Arial Narrow" w:cs="Arial Narrow" w:eastAsia="Arial Narrow" w:hint="default"/>
                <w:sz w:val="24"/>
                <w:szCs w:val="24"/>
              </w:rPr>
            </w:pPr>
            <w:r>
              <w:rPr>
                <w:rFonts w:ascii="Arial Narrow"/>
                <w:spacing w:val="-1"/>
                <w:sz w:val="24"/>
              </w:rPr>
              <w:t>1,731,999.98</w:t>
            </w:r>
          </w:p>
        </w:tc>
      </w:tr>
      <w:tr>
        <w:trPr>
          <w:trHeight w:val="394" w:hRule="exact"/>
        </w:trPr>
        <w:tc>
          <w:tcPr>
            <w:tcW w:w="2137" w:type="dxa"/>
            <w:tcBorders>
              <w:top w:val="nil" w:sz="6" w:space="0" w:color="auto"/>
              <w:left w:val="nil" w:sz="6" w:space="0" w:color="auto"/>
              <w:bottom w:val="nil" w:sz="6" w:space="0" w:color="auto"/>
              <w:right w:val="nil" w:sz="6" w:space="0" w:color="auto"/>
            </w:tcBorders>
          </w:tcPr>
          <w:p>
            <w:pPr/>
          </w:p>
        </w:tc>
        <w:tc>
          <w:tcPr>
            <w:tcW w:w="284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1755" w:right="0"/>
              <w:jc w:val="left"/>
              <w:rPr>
                <w:rFonts w:ascii="宋体" w:hAnsi="宋体" w:cs="宋体" w:eastAsia="宋体" w:hint="default"/>
                <w:sz w:val="24"/>
                <w:szCs w:val="24"/>
              </w:rPr>
            </w:pPr>
            <w:r>
              <w:rPr>
                <w:rFonts w:ascii="宋体" w:hAnsi="宋体" w:cs="宋体" w:eastAsia="宋体" w:hint="default"/>
                <w:b/>
                <w:bCs/>
                <w:sz w:val="24"/>
                <w:szCs w:val="24"/>
              </w:rPr>
              <w:t>本期新增</w:t>
            </w:r>
            <w:r>
              <w:rPr>
                <w:rFonts w:ascii="宋体" w:hAnsi="宋体" w:cs="宋体" w:eastAsia="宋体" w:hint="default"/>
                <w:sz w:val="24"/>
                <w:szCs w:val="24"/>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20"/>
              <w:jc w:val="right"/>
              <w:rPr>
                <w:rFonts w:ascii="宋体" w:hAnsi="宋体" w:cs="宋体" w:eastAsia="宋体" w:hint="default"/>
                <w:sz w:val="24"/>
                <w:szCs w:val="24"/>
              </w:rPr>
            </w:pPr>
            <w:r>
              <w:rPr>
                <w:rFonts w:ascii="宋体" w:hAnsi="宋体" w:cs="宋体" w:eastAsia="宋体" w:hint="default"/>
                <w:b/>
                <w:bCs/>
                <w:sz w:val="24"/>
                <w:szCs w:val="24"/>
              </w:rPr>
              <w:t>本期计提</w:t>
            </w:r>
            <w:r>
              <w:rPr>
                <w:rFonts w:ascii="宋体" w:hAnsi="宋体" w:cs="宋体" w:eastAsia="宋体" w:hint="default"/>
                <w:sz w:val="24"/>
                <w:szCs w:val="24"/>
              </w:rPr>
            </w:r>
          </w:p>
        </w:tc>
        <w:tc>
          <w:tcPr>
            <w:tcW w:w="139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r>
      <w:tr>
        <w:trPr>
          <w:trHeight w:val="400"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5"/>
              <w:ind w:left="26" w:right="0"/>
              <w:jc w:val="left"/>
              <w:rPr>
                <w:rFonts w:ascii="宋体" w:hAnsi="宋体" w:cs="宋体" w:eastAsia="宋体" w:hint="default"/>
                <w:sz w:val="24"/>
                <w:szCs w:val="24"/>
              </w:rPr>
            </w:pPr>
            <w:r>
              <w:rPr>
                <w:rFonts w:ascii="宋体" w:hAnsi="宋体" w:cs="宋体" w:eastAsia="宋体" w:hint="default"/>
                <w:b/>
                <w:bCs/>
                <w:sz w:val="24"/>
                <w:szCs w:val="24"/>
              </w:rPr>
              <w:t>二、累计折旧合计</w:t>
            </w:r>
            <w:r>
              <w:rPr>
                <w:rFonts w:ascii="宋体" w:hAnsi="宋体" w:cs="宋体" w:eastAsia="宋体" w:hint="default"/>
                <w:sz w:val="24"/>
                <w:szCs w:val="24"/>
              </w:rPr>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63"/>
              <w:jc w:val="right"/>
              <w:rPr>
                <w:rFonts w:ascii="Arial Narrow" w:hAnsi="Arial Narrow" w:cs="Arial Narrow" w:eastAsia="Arial Narrow" w:hint="default"/>
                <w:sz w:val="24"/>
                <w:szCs w:val="24"/>
              </w:rPr>
            </w:pPr>
            <w:r>
              <w:rPr>
                <w:rFonts w:ascii="Arial Narrow"/>
                <w:b/>
                <w:spacing w:val="-1"/>
                <w:sz w:val="24"/>
              </w:rPr>
              <w:t>12,347,253.37</w:t>
            </w:r>
            <w:r>
              <w:rPr>
                <w:rFonts w:ascii="Arial Narrow"/>
                <w:spacing w:val="-1"/>
                <w:sz w:val="24"/>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1"/>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9"/>
              <w:jc w:val="right"/>
              <w:rPr>
                <w:rFonts w:ascii="Arial Narrow" w:hAnsi="Arial Narrow" w:cs="Arial Narrow" w:eastAsia="Arial Narrow" w:hint="default"/>
                <w:sz w:val="24"/>
                <w:szCs w:val="24"/>
              </w:rPr>
            </w:pPr>
            <w:r>
              <w:rPr>
                <w:rFonts w:ascii="Arial Narrow"/>
                <w:b/>
                <w:spacing w:val="-1"/>
                <w:sz w:val="24"/>
              </w:rPr>
              <w:t>4,701,724.25</w:t>
            </w:r>
            <w:r>
              <w:rPr>
                <w:rFonts w:ascii="Arial Narrow"/>
                <w:spacing w:val="-1"/>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22"/>
              <w:jc w:val="right"/>
              <w:rPr>
                <w:rFonts w:ascii="Arial Narrow" w:hAnsi="Arial Narrow" w:cs="Arial Narrow" w:eastAsia="Arial Narrow" w:hint="default"/>
                <w:sz w:val="24"/>
                <w:szCs w:val="24"/>
              </w:rPr>
            </w:pPr>
            <w:r>
              <w:rPr>
                <w:rFonts w:ascii="Arial Narrow"/>
                <w:b/>
                <w:spacing w:val="-1"/>
                <w:sz w:val="24"/>
              </w:rPr>
              <w:t>8,335,836.90</w:t>
            </w:r>
            <w:r>
              <w:rPr>
                <w:rFonts w:ascii="Arial Narrow"/>
                <w:spacing w:val="-1"/>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7"/>
              <w:jc w:val="right"/>
              <w:rPr>
                <w:rFonts w:ascii="Arial Narrow" w:hAnsi="Arial Narrow" w:cs="Arial Narrow" w:eastAsia="Arial Narrow" w:hint="default"/>
                <w:sz w:val="24"/>
                <w:szCs w:val="24"/>
              </w:rPr>
            </w:pPr>
            <w:r>
              <w:rPr>
                <w:rFonts w:ascii="Arial Narrow"/>
                <w:b/>
                <w:spacing w:val="-1"/>
                <w:sz w:val="24"/>
              </w:rPr>
              <w:t>8,713,140.72</w:t>
            </w:r>
            <w:r>
              <w:rPr>
                <w:rFonts w:ascii="Arial Narrow"/>
                <w:spacing w:val="-1"/>
                <w:sz w:val="24"/>
              </w:rPr>
            </w:r>
          </w:p>
        </w:tc>
      </w:tr>
      <w:tr>
        <w:trPr>
          <w:trHeight w:val="39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16"/>
                <w:sz w:val="24"/>
                <w:szCs w:val="24"/>
              </w:rPr>
              <w:t>：</w:t>
            </w:r>
            <w:r>
              <w:rPr>
                <w:rFonts w:ascii="宋体" w:hAnsi="宋体" w:cs="宋体" w:eastAsia="宋体" w:hint="default"/>
                <w:sz w:val="24"/>
                <w:szCs w:val="24"/>
              </w:rPr>
              <w:t>房屋及建筑物</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3"/>
              <w:jc w:val="right"/>
              <w:rPr>
                <w:rFonts w:ascii="Arial Narrow" w:hAnsi="Arial Narrow" w:cs="Arial Narrow" w:eastAsia="Arial Narrow" w:hint="default"/>
                <w:sz w:val="24"/>
                <w:szCs w:val="24"/>
              </w:rPr>
            </w:pPr>
            <w:r>
              <w:rPr>
                <w:rFonts w:ascii="Arial Narrow"/>
                <w:spacing w:val="-1"/>
                <w:sz w:val="24"/>
              </w:rPr>
              <w:t>5,408,102.89</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
              <w:jc w:val="right"/>
              <w:rPr>
                <w:rFonts w:ascii="Arial Narrow" w:hAnsi="Arial Narrow" w:cs="Arial Narrow" w:eastAsia="Arial Narrow" w:hint="default"/>
                <w:sz w:val="24"/>
                <w:szCs w:val="24"/>
              </w:rPr>
            </w:pPr>
            <w:r>
              <w:rPr>
                <w:rFonts w:ascii="Arial Narrow"/>
                <w:sz w:val="24"/>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9"/>
              <w:jc w:val="right"/>
              <w:rPr>
                <w:rFonts w:ascii="Arial Narrow" w:hAnsi="Arial Narrow" w:cs="Arial Narrow" w:eastAsia="Arial Narrow" w:hint="default"/>
                <w:sz w:val="24"/>
                <w:szCs w:val="24"/>
              </w:rPr>
            </w:pPr>
            <w:r>
              <w:rPr>
                <w:rFonts w:ascii="Arial Narrow"/>
                <w:spacing w:val="-1"/>
                <w:sz w:val="24"/>
              </w:rPr>
              <w:t>2,588,560.55</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2"/>
              <w:jc w:val="right"/>
              <w:rPr>
                <w:rFonts w:ascii="Arial Narrow" w:hAnsi="Arial Narrow" w:cs="Arial Narrow" w:eastAsia="Arial Narrow" w:hint="default"/>
                <w:sz w:val="24"/>
                <w:szCs w:val="24"/>
              </w:rPr>
            </w:pPr>
            <w:r>
              <w:rPr>
                <w:rFonts w:ascii="Arial Narrow"/>
                <w:spacing w:val="-1"/>
                <w:sz w:val="24"/>
              </w:rPr>
              <w:t>3,940,524.80</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4,056,138.64</w:t>
            </w:r>
          </w:p>
        </w:tc>
      </w:tr>
      <w:tr>
        <w:trPr>
          <w:trHeight w:val="396"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left="626"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3"/>
              <w:jc w:val="right"/>
              <w:rPr>
                <w:rFonts w:ascii="Arial Narrow" w:hAnsi="Arial Narrow" w:cs="Arial Narrow" w:eastAsia="Arial Narrow" w:hint="default"/>
                <w:sz w:val="24"/>
                <w:szCs w:val="24"/>
              </w:rPr>
            </w:pPr>
            <w:r>
              <w:rPr>
                <w:rFonts w:ascii="Arial Narrow"/>
                <w:spacing w:val="-1"/>
                <w:sz w:val="24"/>
              </w:rPr>
              <w:t>5,971,471.41</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Arial Narrow" w:hAnsi="Arial Narrow" w:cs="Arial Narrow" w:eastAsia="Arial Narrow" w:hint="default"/>
                <w:sz w:val="24"/>
                <w:szCs w:val="24"/>
              </w:rPr>
            </w:pPr>
            <w:r>
              <w:rPr>
                <w:rFonts w:ascii="Arial Narrow"/>
                <w:sz w:val="24"/>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9"/>
              <w:jc w:val="right"/>
              <w:rPr>
                <w:rFonts w:ascii="Arial Narrow" w:hAnsi="Arial Narrow" w:cs="Arial Narrow" w:eastAsia="Arial Narrow" w:hint="default"/>
                <w:sz w:val="24"/>
                <w:szCs w:val="24"/>
              </w:rPr>
            </w:pPr>
            <w:r>
              <w:rPr>
                <w:rFonts w:ascii="Arial Narrow"/>
                <w:spacing w:val="-1"/>
                <w:sz w:val="24"/>
              </w:rPr>
              <w:t>1,874,049.81</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2"/>
              <w:jc w:val="right"/>
              <w:rPr>
                <w:rFonts w:ascii="Arial Narrow" w:hAnsi="Arial Narrow" w:cs="Arial Narrow" w:eastAsia="Arial Narrow" w:hint="default"/>
                <w:sz w:val="24"/>
                <w:szCs w:val="24"/>
              </w:rPr>
            </w:pPr>
            <w:r>
              <w:rPr>
                <w:rFonts w:ascii="Arial Narrow"/>
                <w:spacing w:val="-1"/>
                <w:sz w:val="24"/>
              </w:rPr>
              <w:t>4,390,536.71</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3,454,984.51</w:t>
            </w:r>
          </w:p>
        </w:tc>
      </w:tr>
      <w:tr>
        <w:trPr>
          <w:trHeight w:val="382"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left="626"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3"/>
              <w:jc w:val="right"/>
              <w:rPr>
                <w:rFonts w:ascii="Arial Narrow" w:hAnsi="Arial Narrow" w:cs="Arial Narrow" w:eastAsia="Arial Narrow" w:hint="default"/>
                <w:sz w:val="24"/>
                <w:szCs w:val="24"/>
              </w:rPr>
            </w:pPr>
            <w:r>
              <w:rPr>
                <w:rFonts w:ascii="Arial Narrow"/>
                <w:spacing w:val="-1"/>
                <w:sz w:val="24"/>
              </w:rPr>
              <w:t>967,679.07</w:t>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Arial Narrow" w:hAnsi="Arial Narrow" w:cs="Arial Narrow" w:eastAsia="Arial Narrow" w:hint="default"/>
                <w:sz w:val="24"/>
                <w:szCs w:val="24"/>
              </w:rPr>
            </w:pPr>
            <w:r>
              <w:rPr>
                <w:rFonts w:ascii="Arial Narrow"/>
                <w:sz w:val="24"/>
              </w:rPr>
              <w:t>-</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9"/>
              <w:jc w:val="right"/>
              <w:rPr>
                <w:rFonts w:ascii="Arial Narrow" w:hAnsi="Arial Narrow" w:cs="Arial Narrow" w:eastAsia="Arial Narrow" w:hint="default"/>
                <w:sz w:val="24"/>
                <w:szCs w:val="24"/>
              </w:rPr>
            </w:pPr>
            <w:r>
              <w:rPr>
                <w:rFonts w:ascii="Arial Narrow"/>
                <w:spacing w:val="-2"/>
                <w:sz w:val="24"/>
              </w:rPr>
              <w:t>239,113.89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Arial Narrow" w:hAnsi="Arial Narrow" w:cs="Arial Narrow" w:eastAsia="Arial Narrow" w:hint="default"/>
                <w:sz w:val="24"/>
                <w:szCs w:val="24"/>
              </w:rPr>
            </w:pPr>
            <w:r>
              <w:rPr>
                <w:rFonts w:ascii="Arial Narrow"/>
                <w:spacing w:val="-1"/>
                <w:sz w:val="24"/>
              </w:rPr>
              <w:t>4,775.39</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1,202,017.57</w:t>
            </w:r>
          </w:p>
        </w:tc>
      </w:tr>
      <w:tr>
        <w:trPr>
          <w:trHeight w:val="67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312" w:lineRule="exact" w:before="17"/>
              <w:ind w:left="26" w:right="65"/>
              <w:jc w:val="left"/>
              <w:rPr>
                <w:rFonts w:ascii="宋体" w:hAnsi="宋体" w:cs="宋体" w:eastAsia="宋体" w:hint="default"/>
                <w:sz w:val="24"/>
                <w:szCs w:val="24"/>
              </w:rPr>
            </w:pPr>
            <w:r>
              <w:rPr>
                <w:rFonts w:ascii="宋体" w:hAnsi="宋体" w:cs="宋体" w:eastAsia="宋体" w:hint="default"/>
                <w:b/>
                <w:bCs/>
                <w:spacing w:val="14"/>
                <w:sz w:val="24"/>
                <w:szCs w:val="24"/>
              </w:rPr>
              <w:t>三、固定资产账面</w:t>
            </w:r>
            <w:r>
              <w:rPr>
                <w:rFonts w:ascii="宋体" w:hAnsi="宋体" w:cs="宋体" w:eastAsia="宋体" w:hint="default"/>
                <w:b/>
                <w:bCs/>
                <w:w w:val="99"/>
                <w:sz w:val="24"/>
                <w:szCs w:val="24"/>
              </w:rPr>
              <w:t> </w:t>
            </w:r>
            <w:r>
              <w:rPr>
                <w:rFonts w:ascii="宋体" w:hAnsi="宋体" w:cs="宋体" w:eastAsia="宋体" w:hint="default"/>
                <w:b/>
                <w:bCs/>
                <w:sz w:val="24"/>
                <w:szCs w:val="24"/>
              </w:rPr>
              <w:t>净值合计</w:t>
            </w:r>
            <w:r>
              <w:rPr>
                <w:rFonts w:ascii="宋体" w:hAnsi="宋体" w:cs="宋体" w:eastAsia="宋体" w:hint="default"/>
                <w:sz w:val="24"/>
                <w:szCs w:val="24"/>
              </w:rPr>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663"/>
              <w:jc w:val="right"/>
              <w:rPr>
                <w:rFonts w:ascii="Arial Narrow" w:hAnsi="Arial Narrow" w:cs="Arial Narrow" w:eastAsia="Arial Narrow" w:hint="default"/>
                <w:sz w:val="24"/>
                <w:szCs w:val="24"/>
              </w:rPr>
            </w:pPr>
            <w:r>
              <w:rPr>
                <w:rFonts w:ascii="Arial Narrow"/>
                <w:b/>
                <w:spacing w:val="-1"/>
                <w:sz w:val="24"/>
              </w:rPr>
              <w:t>69,685,529.20</w:t>
            </w:r>
            <w:r>
              <w:rPr>
                <w:rFonts w:ascii="Arial Narrow"/>
                <w:spacing w:val="-1"/>
                <w:sz w:val="24"/>
              </w:rPr>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95"/>
              <w:ind w:right="27"/>
              <w:jc w:val="right"/>
              <w:rPr>
                <w:rFonts w:ascii="Arial Narrow" w:hAnsi="Arial Narrow" w:cs="Arial Narrow" w:eastAsia="Arial Narrow" w:hint="default"/>
                <w:sz w:val="24"/>
                <w:szCs w:val="24"/>
              </w:rPr>
            </w:pPr>
            <w:r>
              <w:rPr>
                <w:rFonts w:ascii="Arial Narrow"/>
                <w:b/>
                <w:spacing w:val="-1"/>
                <w:sz w:val="24"/>
              </w:rPr>
              <w:t>61,936,594.61</w:t>
            </w:r>
            <w:r>
              <w:rPr>
                <w:rFonts w:ascii="Arial Narrow"/>
                <w:spacing w:val="-1"/>
                <w:sz w:val="24"/>
              </w:rPr>
            </w:r>
          </w:p>
        </w:tc>
      </w:tr>
      <w:tr>
        <w:trPr>
          <w:trHeight w:val="386"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305"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16"/>
                <w:sz w:val="24"/>
                <w:szCs w:val="24"/>
              </w:rPr>
              <w:t>：</w:t>
            </w:r>
            <w:r>
              <w:rPr>
                <w:rFonts w:ascii="宋体" w:hAnsi="宋体" w:cs="宋体" w:eastAsia="宋体" w:hint="default"/>
                <w:sz w:val="24"/>
                <w:szCs w:val="24"/>
              </w:rPr>
              <w:t>房屋及建筑物</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663"/>
              <w:jc w:val="right"/>
              <w:rPr>
                <w:rFonts w:ascii="Arial Narrow" w:hAnsi="Arial Narrow" w:cs="Arial Narrow" w:eastAsia="Arial Narrow" w:hint="default"/>
                <w:sz w:val="24"/>
                <w:szCs w:val="24"/>
              </w:rPr>
            </w:pPr>
            <w:r>
              <w:rPr>
                <w:rFonts w:ascii="Arial Narrow"/>
                <w:spacing w:val="-1"/>
                <w:sz w:val="24"/>
              </w:rPr>
              <w:t>62,339,302.36</w:t>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7"/>
              <w:jc w:val="right"/>
              <w:rPr>
                <w:rFonts w:ascii="Arial Narrow" w:hAnsi="Arial Narrow" w:cs="Arial Narrow" w:eastAsia="Arial Narrow" w:hint="default"/>
                <w:sz w:val="24"/>
                <w:szCs w:val="24"/>
              </w:rPr>
            </w:pPr>
            <w:r>
              <w:rPr>
                <w:rFonts w:ascii="Arial Narrow"/>
                <w:spacing w:val="-2"/>
                <w:sz w:val="24"/>
              </w:rPr>
              <w:t>52,670,990.11</w:t>
            </w:r>
          </w:p>
        </w:tc>
      </w:tr>
      <w:tr>
        <w:trPr>
          <w:trHeight w:val="397"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left="626"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3"/>
              <w:jc w:val="right"/>
              <w:rPr>
                <w:rFonts w:ascii="Arial Narrow" w:hAnsi="Arial Narrow" w:cs="Arial Narrow" w:eastAsia="Arial Narrow" w:hint="default"/>
                <w:sz w:val="24"/>
                <w:szCs w:val="24"/>
              </w:rPr>
            </w:pPr>
            <w:r>
              <w:rPr>
                <w:rFonts w:ascii="Arial Narrow"/>
                <w:spacing w:val="-1"/>
                <w:sz w:val="24"/>
              </w:rPr>
              <w:t>6,606,938.41</w:t>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8,735,622.09</w:t>
            </w:r>
          </w:p>
        </w:tc>
      </w:tr>
      <w:tr>
        <w:trPr>
          <w:trHeight w:val="397"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ind w:left="626"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63"/>
              <w:jc w:val="right"/>
              <w:rPr>
                <w:rFonts w:ascii="Arial Narrow" w:hAnsi="Arial Narrow" w:cs="Arial Narrow" w:eastAsia="Arial Narrow" w:hint="default"/>
                <w:sz w:val="24"/>
                <w:szCs w:val="24"/>
              </w:rPr>
            </w:pPr>
            <w:r>
              <w:rPr>
                <w:rFonts w:ascii="Arial Narrow"/>
                <w:spacing w:val="-1"/>
                <w:sz w:val="24"/>
              </w:rPr>
              <w:t>739,288.43</w:t>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Arial Narrow" w:hAnsi="Arial Narrow" w:cs="Arial Narrow" w:eastAsia="Arial Narrow" w:hint="default"/>
                <w:sz w:val="24"/>
                <w:szCs w:val="24"/>
              </w:rPr>
            </w:pPr>
            <w:r>
              <w:rPr>
                <w:rFonts w:ascii="Arial Narrow"/>
                <w:spacing w:val="-1"/>
                <w:sz w:val="24"/>
              </w:rPr>
              <w:t>529,982.41</w:t>
            </w:r>
          </w:p>
        </w:tc>
      </w:tr>
      <w:tr>
        <w:trPr>
          <w:trHeight w:val="396"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b/>
                <w:bCs/>
                <w:sz w:val="24"/>
                <w:szCs w:val="24"/>
              </w:rPr>
              <w:t>四、减值准备合计</w:t>
            </w:r>
            <w:r>
              <w:rPr>
                <w:rFonts w:ascii="宋体" w:hAnsi="宋体" w:cs="宋体" w:eastAsia="宋体" w:hint="default"/>
                <w:sz w:val="24"/>
                <w:szCs w:val="24"/>
              </w:rPr>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2"/>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8"/>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r>
        <w:trPr>
          <w:trHeight w:val="39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16"/>
                <w:sz w:val="24"/>
                <w:szCs w:val="24"/>
              </w:rPr>
              <w:t>：</w:t>
            </w:r>
            <w:r>
              <w:rPr>
                <w:rFonts w:ascii="宋体" w:hAnsi="宋体" w:cs="宋体" w:eastAsia="宋体" w:hint="default"/>
                <w:sz w:val="24"/>
                <w:szCs w:val="24"/>
              </w:rPr>
              <w:t>房屋及建筑物</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2"/>
              <w:jc w:val="right"/>
              <w:rPr>
                <w:rFonts w:ascii="Arial Narrow" w:hAnsi="Arial Narrow" w:cs="Arial Narrow" w:eastAsia="Arial Narrow" w:hint="default"/>
                <w:sz w:val="24"/>
                <w:szCs w:val="24"/>
              </w:rPr>
            </w:pPr>
            <w:r>
              <w:rPr>
                <w:rFonts w:ascii="Arial Narrow"/>
                <w:sz w:val="24"/>
              </w:rPr>
              <w:t>-</w:t>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z w:val="24"/>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
              <w:jc w:val="right"/>
              <w:rPr>
                <w:rFonts w:ascii="Arial Narrow" w:hAnsi="Arial Narrow" w:cs="Arial Narrow" w:eastAsia="Arial Narrow" w:hint="default"/>
                <w:sz w:val="24"/>
                <w:szCs w:val="24"/>
              </w:rPr>
            </w:pPr>
            <w:r>
              <w:rPr>
                <w:rFonts w:ascii="Arial Narrow"/>
                <w:sz w:val="24"/>
              </w:rPr>
              <w:t>-</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left="626"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62"/>
              <w:jc w:val="right"/>
              <w:rPr>
                <w:rFonts w:ascii="Arial Narrow" w:hAnsi="Arial Narrow" w:cs="Arial Narrow" w:eastAsia="Arial Narrow" w:hint="default"/>
                <w:sz w:val="24"/>
                <w:szCs w:val="24"/>
              </w:rPr>
            </w:pPr>
            <w:r>
              <w:rPr>
                <w:rFonts w:ascii="Arial Narrow"/>
                <w:sz w:val="24"/>
              </w:rPr>
              <w:t>-</w:t>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8"/>
              <w:jc w:val="right"/>
              <w:rPr>
                <w:rFonts w:ascii="Arial Narrow" w:hAnsi="Arial Narrow" w:cs="Arial Narrow" w:eastAsia="Arial Narrow" w:hint="default"/>
                <w:sz w:val="24"/>
                <w:szCs w:val="24"/>
              </w:rPr>
            </w:pPr>
            <w:r>
              <w:rPr>
                <w:rFonts w:ascii="Arial Narrow"/>
                <w:sz w:val="24"/>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Arial Narrow" w:hAnsi="Arial Narrow" w:cs="Arial Narrow" w:eastAsia="Arial Narrow" w:hint="default"/>
                <w:sz w:val="24"/>
                <w:szCs w:val="24"/>
              </w:rPr>
            </w:pPr>
            <w:r>
              <w:rPr>
                <w:rFonts w:ascii="Arial Narrow"/>
                <w:sz w:val="24"/>
              </w:rPr>
              <w:t>-</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sz w:val="24"/>
              </w:rPr>
              <w:t>-</w:t>
            </w:r>
          </w:p>
        </w:tc>
      </w:tr>
      <w:tr>
        <w:trPr>
          <w:trHeight w:val="379"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left="626"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2"/>
              <w:jc w:val="right"/>
              <w:rPr>
                <w:rFonts w:ascii="Arial Narrow" w:hAnsi="Arial Narrow" w:cs="Arial Narrow" w:eastAsia="Arial Narrow" w:hint="default"/>
                <w:sz w:val="24"/>
                <w:szCs w:val="24"/>
              </w:rPr>
            </w:pPr>
            <w:r>
              <w:rPr>
                <w:rFonts w:ascii="Arial Narrow"/>
                <w:sz w:val="24"/>
              </w:rPr>
              <w:t>-</w:t>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8"/>
              <w:jc w:val="right"/>
              <w:rPr>
                <w:rFonts w:ascii="Arial Narrow" w:hAnsi="Arial Narrow" w:cs="Arial Narrow" w:eastAsia="Arial Narrow" w:hint="default"/>
                <w:sz w:val="24"/>
                <w:szCs w:val="24"/>
              </w:rPr>
            </w:pPr>
            <w:r>
              <w:rPr>
                <w:rFonts w:ascii="Arial Narrow"/>
                <w:sz w:val="24"/>
              </w:rPr>
              <w:t>-</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1"/>
              <w:jc w:val="right"/>
              <w:rPr>
                <w:rFonts w:ascii="Arial Narrow" w:hAnsi="Arial Narrow" w:cs="Arial Narrow" w:eastAsia="Arial Narrow" w:hint="default"/>
                <w:sz w:val="24"/>
                <w:szCs w:val="24"/>
              </w:rPr>
            </w:pPr>
            <w:r>
              <w:rPr>
                <w:rFonts w:ascii="Arial Narrow"/>
                <w:sz w:val="24"/>
              </w:rPr>
              <w:t>-</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4"/>
                <w:szCs w:val="24"/>
              </w:rPr>
            </w:pPr>
            <w:r>
              <w:rPr>
                <w:rFonts w:ascii="Arial Narrow"/>
                <w:sz w:val="24"/>
              </w:rPr>
              <w:t>-</w:t>
            </w:r>
          </w:p>
        </w:tc>
      </w:tr>
      <w:tr>
        <w:trPr>
          <w:trHeight w:val="66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312" w:lineRule="exact" w:before="12"/>
              <w:ind w:left="26" w:right="65"/>
              <w:jc w:val="left"/>
              <w:rPr>
                <w:rFonts w:ascii="宋体" w:hAnsi="宋体" w:cs="宋体" w:eastAsia="宋体" w:hint="default"/>
                <w:sz w:val="24"/>
                <w:szCs w:val="24"/>
              </w:rPr>
            </w:pPr>
            <w:r>
              <w:rPr>
                <w:rFonts w:ascii="宋体" w:hAnsi="宋体" w:cs="宋体" w:eastAsia="宋体" w:hint="default"/>
                <w:b/>
                <w:bCs/>
                <w:spacing w:val="14"/>
                <w:sz w:val="24"/>
                <w:szCs w:val="24"/>
              </w:rPr>
              <w:t>五、固定资产账面</w:t>
            </w:r>
            <w:r>
              <w:rPr>
                <w:rFonts w:ascii="宋体" w:hAnsi="宋体" w:cs="宋体" w:eastAsia="宋体" w:hint="default"/>
                <w:b/>
                <w:bCs/>
                <w:w w:val="99"/>
                <w:sz w:val="24"/>
                <w:szCs w:val="24"/>
              </w:rPr>
              <w:t> </w:t>
            </w:r>
            <w:r>
              <w:rPr>
                <w:rFonts w:ascii="宋体" w:hAnsi="宋体" w:cs="宋体" w:eastAsia="宋体" w:hint="default"/>
                <w:b/>
                <w:bCs/>
                <w:sz w:val="24"/>
                <w:szCs w:val="24"/>
              </w:rPr>
              <w:t>价值合计</w:t>
            </w:r>
            <w:r>
              <w:rPr>
                <w:rFonts w:ascii="宋体" w:hAnsi="宋体" w:cs="宋体" w:eastAsia="宋体" w:hint="default"/>
                <w:sz w:val="24"/>
                <w:szCs w:val="24"/>
              </w:rPr>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8"/>
              <w:ind w:right="663"/>
              <w:jc w:val="right"/>
              <w:rPr>
                <w:rFonts w:ascii="Arial Narrow" w:hAnsi="Arial Narrow" w:cs="Arial Narrow" w:eastAsia="Arial Narrow" w:hint="default"/>
                <w:sz w:val="24"/>
                <w:szCs w:val="24"/>
              </w:rPr>
            </w:pPr>
            <w:r>
              <w:rPr>
                <w:rFonts w:ascii="Arial Narrow"/>
                <w:b/>
                <w:spacing w:val="-1"/>
                <w:sz w:val="24"/>
              </w:rPr>
              <w:t>69,685,529.20</w:t>
            </w:r>
            <w:r>
              <w:rPr>
                <w:rFonts w:ascii="Arial Narrow"/>
                <w:spacing w:val="-1"/>
                <w:sz w:val="24"/>
              </w:rPr>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188"/>
              <w:ind w:right="27"/>
              <w:jc w:val="right"/>
              <w:rPr>
                <w:rFonts w:ascii="Arial Narrow" w:hAnsi="Arial Narrow" w:cs="Arial Narrow" w:eastAsia="Arial Narrow" w:hint="default"/>
                <w:sz w:val="24"/>
                <w:szCs w:val="24"/>
              </w:rPr>
            </w:pPr>
            <w:r>
              <w:rPr>
                <w:rFonts w:ascii="Arial Narrow"/>
                <w:b/>
                <w:spacing w:val="-1"/>
                <w:sz w:val="24"/>
              </w:rPr>
              <w:t>61,936,594.61</w:t>
            </w:r>
            <w:r>
              <w:rPr>
                <w:rFonts w:ascii="Arial Narrow"/>
                <w:spacing w:val="-1"/>
                <w:sz w:val="24"/>
              </w:rPr>
            </w:r>
          </w:p>
        </w:tc>
      </w:tr>
      <w:tr>
        <w:trPr>
          <w:trHeight w:val="381"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300" w:lineRule="exact"/>
              <w:ind w:left="26"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16"/>
                <w:sz w:val="24"/>
                <w:szCs w:val="24"/>
              </w:rPr>
              <w:t>：</w:t>
            </w:r>
            <w:r>
              <w:rPr>
                <w:rFonts w:ascii="宋体" w:hAnsi="宋体" w:cs="宋体" w:eastAsia="宋体" w:hint="default"/>
                <w:sz w:val="24"/>
                <w:szCs w:val="24"/>
              </w:rPr>
              <w:t>房屋及建筑物</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63"/>
              <w:jc w:val="right"/>
              <w:rPr>
                <w:rFonts w:ascii="Arial Narrow" w:hAnsi="Arial Narrow" w:cs="Arial Narrow" w:eastAsia="Arial Narrow" w:hint="default"/>
                <w:sz w:val="24"/>
                <w:szCs w:val="24"/>
              </w:rPr>
            </w:pPr>
            <w:r>
              <w:rPr>
                <w:rFonts w:ascii="Arial Narrow"/>
                <w:spacing w:val="-1"/>
                <w:sz w:val="24"/>
              </w:rPr>
              <w:t>62,339,302.36</w:t>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Narrow" w:hAnsi="Arial Narrow" w:cs="Arial Narrow" w:eastAsia="Arial Narrow" w:hint="default"/>
                <w:sz w:val="24"/>
                <w:szCs w:val="24"/>
              </w:rPr>
            </w:pPr>
            <w:r>
              <w:rPr>
                <w:rFonts w:ascii="Arial Narrow"/>
                <w:spacing w:val="-2"/>
                <w:sz w:val="24"/>
              </w:rPr>
              <w:t>52,670,990.11</w:t>
            </w:r>
          </w:p>
        </w:tc>
      </w:tr>
      <w:tr>
        <w:trPr>
          <w:trHeight w:val="398" w:hRule="exact"/>
        </w:trPr>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
              <w:ind w:left="626" w:right="0"/>
              <w:jc w:val="left"/>
              <w:rPr>
                <w:rFonts w:ascii="宋体" w:hAnsi="宋体" w:cs="宋体" w:eastAsia="宋体" w:hint="default"/>
                <w:sz w:val="24"/>
                <w:szCs w:val="24"/>
              </w:rPr>
            </w:pPr>
            <w:r>
              <w:rPr>
                <w:rFonts w:ascii="宋体" w:hAnsi="宋体" w:cs="宋体" w:eastAsia="宋体" w:hint="default"/>
                <w:sz w:val="24"/>
                <w:szCs w:val="24"/>
              </w:rPr>
              <w:t>办公设备</w:t>
            </w: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63"/>
              <w:jc w:val="right"/>
              <w:rPr>
                <w:rFonts w:ascii="Arial Narrow" w:hAnsi="Arial Narrow" w:cs="Arial Narrow" w:eastAsia="Arial Narrow" w:hint="default"/>
                <w:sz w:val="24"/>
                <w:szCs w:val="24"/>
              </w:rPr>
            </w:pPr>
            <w:r>
              <w:rPr>
                <w:rFonts w:ascii="Arial Narrow"/>
                <w:spacing w:val="-1"/>
                <w:sz w:val="24"/>
              </w:rPr>
              <w:t>6,606,938.41</w:t>
            </w:r>
          </w:p>
        </w:tc>
        <w:tc>
          <w:tcPr>
            <w:tcW w:w="853"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8,735,622.09</w:t>
            </w:r>
          </w:p>
        </w:tc>
      </w:tr>
      <w:tr>
        <w:trPr>
          <w:trHeight w:val="404" w:hRule="exact"/>
        </w:trPr>
        <w:tc>
          <w:tcPr>
            <w:tcW w:w="213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626"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992"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663"/>
              <w:jc w:val="right"/>
              <w:rPr>
                <w:rFonts w:ascii="Arial Narrow" w:hAnsi="Arial Narrow" w:cs="Arial Narrow" w:eastAsia="Arial Narrow" w:hint="default"/>
                <w:sz w:val="24"/>
                <w:szCs w:val="24"/>
              </w:rPr>
            </w:pPr>
            <w:r>
              <w:rPr>
                <w:rFonts w:ascii="Arial Narrow"/>
                <w:spacing w:val="-1"/>
                <w:sz w:val="24"/>
              </w:rPr>
              <w:t>739,288.43</w:t>
            </w:r>
          </w:p>
        </w:tc>
        <w:tc>
          <w:tcPr>
            <w:tcW w:w="853" w:type="dxa"/>
            <w:tcBorders>
              <w:top w:val="nil" w:sz="6" w:space="0" w:color="auto"/>
              <w:left w:val="nil" w:sz="6" w:space="0" w:color="auto"/>
              <w:bottom w:val="single" w:sz="8" w:space="0" w:color="000000"/>
              <w:right w:val="nil" w:sz="6" w:space="0" w:color="auto"/>
            </w:tcBorders>
          </w:tcPr>
          <w:p>
            <w:pPr/>
          </w:p>
        </w:tc>
        <w:tc>
          <w:tcPr>
            <w:tcW w:w="1394" w:type="dxa"/>
            <w:tcBorders>
              <w:top w:val="nil" w:sz="6" w:space="0" w:color="auto"/>
              <w:left w:val="nil" w:sz="6" w:space="0" w:color="auto"/>
              <w:bottom w:val="single" w:sz="8" w:space="0" w:color="000000"/>
              <w:right w:val="nil" w:sz="6" w:space="0" w:color="auto"/>
            </w:tcBorders>
          </w:tcPr>
          <w:p>
            <w:pPr/>
          </w:p>
        </w:tc>
        <w:tc>
          <w:tcPr>
            <w:tcW w:w="1395" w:type="dxa"/>
            <w:tcBorders>
              <w:top w:val="nil" w:sz="6" w:space="0" w:color="auto"/>
              <w:left w:val="nil" w:sz="6" w:space="0" w:color="auto"/>
              <w:bottom w:val="single" w:sz="8" w:space="0" w:color="000000"/>
              <w:right w:val="nil" w:sz="6" w:space="0" w:color="auto"/>
            </w:tcBorders>
          </w:tcPr>
          <w:p>
            <w:pPr/>
          </w:p>
        </w:tc>
        <w:tc>
          <w:tcPr>
            <w:tcW w:w="1302"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529,982.41</w:t>
            </w:r>
          </w:p>
        </w:tc>
      </w:tr>
    </w:tbl>
    <w:p>
      <w:pPr>
        <w:spacing w:line="240" w:lineRule="auto" w:before="8"/>
        <w:rPr>
          <w:rFonts w:ascii="宋体" w:hAnsi="宋体" w:cs="宋体" w:eastAsia="宋体" w:hint="default"/>
          <w:sz w:val="9"/>
          <w:szCs w:val="9"/>
        </w:rPr>
      </w:pPr>
    </w:p>
    <w:p>
      <w:pPr>
        <w:pStyle w:val="BodyText"/>
        <w:spacing w:line="240" w:lineRule="auto" w:before="26"/>
        <w:ind w:left="562" w:right="2957"/>
        <w:jc w:val="left"/>
      </w:pPr>
      <w:r>
        <w:rPr/>
        <w:t>说明：</w:t>
      </w:r>
    </w:p>
    <w:p>
      <w:pPr>
        <w:spacing w:before="214"/>
        <w:ind w:left="562" w:right="2957" w:firstLine="0"/>
        <w:jc w:val="left"/>
        <w:rPr>
          <w:rFonts w:ascii="宋体" w:hAnsi="宋体" w:cs="宋体" w:eastAsia="宋体" w:hint="default"/>
          <w:sz w:val="24"/>
          <w:szCs w:val="24"/>
        </w:rPr>
      </w:pPr>
      <w:r>
        <w:rPr>
          <w:rFonts w:ascii="宋体" w:hAnsi="宋体" w:cs="宋体" w:eastAsia="宋体" w:hint="default"/>
          <w:sz w:val="24"/>
          <w:szCs w:val="24"/>
        </w:rPr>
        <w:t>①</w:t>
      </w:r>
      <w:r>
        <w:rPr>
          <w:rFonts w:ascii="宋体" w:hAnsi="宋体" w:cs="宋体" w:eastAsia="宋体" w:hint="default"/>
          <w:spacing w:val="-5"/>
          <w:sz w:val="24"/>
          <w:szCs w:val="24"/>
        </w:rPr>
        <w:t> </w:t>
      </w:r>
      <w:r>
        <w:rPr>
          <w:rFonts w:ascii="宋体" w:hAnsi="宋体" w:cs="宋体" w:eastAsia="宋体" w:hint="default"/>
          <w:sz w:val="24"/>
          <w:szCs w:val="24"/>
        </w:rPr>
        <w:t>本期折旧额</w:t>
      </w:r>
      <w:r>
        <w:rPr>
          <w:rFonts w:ascii="宋体" w:hAnsi="宋体" w:cs="宋体" w:eastAsia="宋体" w:hint="default"/>
          <w:spacing w:val="-62"/>
          <w:sz w:val="24"/>
          <w:szCs w:val="24"/>
        </w:rPr>
        <w:t> </w:t>
      </w:r>
      <w:r>
        <w:rPr>
          <w:rFonts w:ascii="Arial Narrow" w:hAnsi="Arial Narrow" w:cs="Arial Narrow" w:eastAsia="Arial Narrow" w:hint="default"/>
          <w:sz w:val="21"/>
          <w:szCs w:val="21"/>
        </w:rPr>
        <w:t>4,701,724.25</w:t>
      </w:r>
      <w:r>
        <w:rPr>
          <w:rFonts w:ascii="Arial Narrow" w:hAnsi="Arial Narrow" w:cs="Arial Narrow" w:eastAsia="Arial Narrow" w:hint="default"/>
          <w:spacing w:val="3"/>
          <w:sz w:val="21"/>
          <w:szCs w:val="21"/>
        </w:rPr>
        <w:t> </w:t>
      </w:r>
      <w:r>
        <w:rPr>
          <w:rFonts w:ascii="宋体" w:hAnsi="宋体" w:cs="宋体" w:eastAsia="宋体" w:hint="default"/>
          <w:sz w:val="24"/>
          <w:szCs w:val="24"/>
        </w:rPr>
        <w:t>元。</w:t>
      </w:r>
    </w:p>
    <w:p>
      <w:pPr>
        <w:spacing w:line="240" w:lineRule="auto" w:before="1"/>
        <w:rPr>
          <w:rFonts w:ascii="宋体" w:hAnsi="宋体" w:cs="宋体" w:eastAsia="宋体" w:hint="default"/>
          <w:sz w:val="18"/>
          <w:szCs w:val="18"/>
        </w:rPr>
      </w:pPr>
    </w:p>
    <w:p>
      <w:pPr>
        <w:pStyle w:val="BodyText"/>
        <w:spacing w:line="310" w:lineRule="exact"/>
        <w:ind w:left="562" w:right="137"/>
        <w:jc w:val="left"/>
      </w:pPr>
      <w:r>
        <w:rPr/>
        <w:t>②</w:t>
      </w:r>
      <w:r>
        <w:rPr>
          <w:spacing w:val="-1"/>
        </w:rPr>
        <w:t> </w:t>
      </w:r>
      <w:r>
        <w:rPr/>
        <w:t>固定资产减值准备：截至</w:t>
      </w:r>
      <w:r>
        <w:rPr>
          <w:spacing w:val="-53"/>
        </w:rPr>
        <w:t> </w:t>
      </w:r>
      <w:r>
        <w:rPr>
          <w:rFonts w:ascii="Arial Narrow" w:hAnsi="Arial Narrow" w:cs="Arial Narrow" w:eastAsia="Arial Narrow" w:hint="default"/>
          <w:spacing w:val="-4"/>
        </w:rPr>
        <w:t>2011</w:t>
      </w:r>
      <w:r>
        <w:rPr>
          <w:rFonts w:ascii="Arial Narrow" w:hAnsi="Arial Narrow" w:cs="Arial Narrow" w:eastAsia="Arial Narrow" w:hint="default"/>
          <w:spacing w:val="13"/>
        </w:rPr>
        <w:t> </w:t>
      </w:r>
      <w:r>
        <w:rPr/>
        <w:t>年</w:t>
      </w:r>
      <w:r>
        <w:rPr>
          <w:spacing w:val="-56"/>
        </w:rPr>
        <w:t> </w:t>
      </w:r>
      <w:r>
        <w:rPr>
          <w:rFonts w:ascii="Arial Narrow" w:hAnsi="Arial Narrow" w:cs="Arial Narrow" w:eastAsia="Arial Narrow" w:hint="default"/>
        </w:rPr>
        <w:t>12</w:t>
      </w:r>
      <w:r>
        <w:rPr>
          <w:rFonts w:ascii="Arial Narrow" w:hAnsi="Arial Narrow" w:cs="Arial Narrow" w:eastAsia="Arial Narrow" w:hint="default"/>
          <w:spacing w:val="13"/>
        </w:rPr>
        <w:t> </w:t>
      </w:r>
      <w:r>
        <w:rPr/>
        <w:t>月</w:t>
      </w:r>
      <w:r>
        <w:rPr>
          <w:spacing w:val="-53"/>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日，本公司固定资产未发生减值情况，故 未计提固定资产减值准备。</w:t>
      </w:r>
    </w:p>
    <w:p>
      <w:pPr>
        <w:pStyle w:val="BodyText"/>
        <w:spacing w:line="240" w:lineRule="auto" w:before="185"/>
        <w:ind w:left="559" w:right="2957"/>
        <w:jc w:val="left"/>
      </w:pPr>
      <w:r>
        <w:rPr/>
        <w:t>（</w:t>
      </w:r>
      <w:r>
        <w:rPr>
          <w:rFonts w:ascii="Arial Narrow" w:hAnsi="Arial Narrow" w:cs="Arial Narrow" w:eastAsia="Arial Narrow" w:hint="default"/>
        </w:rPr>
        <w:t>2</w:t>
      </w:r>
      <w:r>
        <w:rPr/>
        <w:t>）未办妥产权证书的固定资产情况</w:t>
      </w:r>
    </w:p>
    <w:p>
      <w:pPr>
        <w:spacing w:line="240" w:lineRule="auto" w:before="2"/>
        <w:rPr>
          <w:rFonts w:ascii="宋体" w:hAnsi="宋体" w:cs="宋体" w:eastAsia="宋体" w:hint="default"/>
          <w:sz w:val="18"/>
          <w:szCs w:val="18"/>
        </w:rPr>
      </w:pPr>
    </w:p>
    <w:tbl>
      <w:tblPr>
        <w:tblW w:w="0" w:type="auto"/>
        <w:jc w:val="left"/>
        <w:tblInd w:w="518" w:type="dxa"/>
        <w:tblLayout w:type="fixed"/>
        <w:tblCellMar>
          <w:top w:w="0" w:type="dxa"/>
          <w:left w:w="0" w:type="dxa"/>
          <w:bottom w:w="0" w:type="dxa"/>
          <w:right w:w="0" w:type="dxa"/>
        </w:tblCellMar>
        <w:tblLook w:val="01E0"/>
      </w:tblPr>
      <w:tblGrid>
        <w:gridCol w:w="4882"/>
        <w:gridCol w:w="2756"/>
        <w:gridCol w:w="1501"/>
      </w:tblGrid>
      <w:tr>
        <w:trPr>
          <w:trHeight w:val="391" w:hRule="exact"/>
        </w:trPr>
        <w:tc>
          <w:tcPr>
            <w:tcW w:w="4882" w:type="dxa"/>
            <w:tcBorders>
              <w:top w:val="single" w:sz="8" w:space="0" w:color="000000"/>
              <w:left w:val="nil" w:sz="6" w:space="0" w:color="auto"/>
              <w:bottom w:val="single" w:sz="4" w:space="0" w:color="000000"/>
              <w:right w:val="nil" w:sz="6" w:space="0" w:color="auto"/>
            </w:tcBorders>
          </w:tcPr>
          <w:p>
            <w:pPr>
              <w:pStyle w:val="TableParagraph"/>
              <w:tabs>
                <w:tab w:pos="465" w:val="left" w:leader="none"/>
              </w:tabs>
              <w:spacing w:line="240" w:lineRule="auto" w:before="18"/>
              <w:ind w:left="4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4256"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932" w:right="0"/>
              <w:jc w:val="left"/>
              <w:rPr>
                <w:rFonts w:ascii="宋体" w:hAnsi="宋体" w:cs="宋体" w:eastAsia="宋体" w:hint="default"/>
                <w:sz w:val="21"/>
                <w:szCs w:val="21"/>
              </w:rPr>
            </w:pPr>
            <w:r>
              <w:rPr>
                <w:rFonts w:ascii="宋体" w:hAnsi="宋体" w:cs="宋体" w:eastAsia="宋体" w:hint="default"/>
                <w:b/>
                <w:bCs/>
                <w:sz w:val="21"/>
                <w:szCs w:val="21"/>
              </w:rPr>
              <w:t>预计办结产权证书时间</w:t>
            </w:r>
            <w:r>
              <w:rPr>
                <w:rFonts w:ascii="宋体" w:hAnsi="宋体" w:cs="宋体" w:eastAsia="宋体" w:hint="default"/>
                <w:sz w:val="21"/>
                <w:szCs w:val="21"/>
              </w:rPr>
            </w:r>
          </w:p>
        </w:tc>
      </w:tr>
      <w:tr>
        <w:trPr>
          <w:trHeight w:val="399" w:hRule="exact"/>
        </w:trPr>
        <w:tc>
          <w:tcPr>
            <w:tcW w:w="488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4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Arial Narrow" w:hAnsi="Arial Narrow" w:cs="Arial Narrow" w:eastAsia="Arial Narrow" w:hint="default"/>
                <w:sz w:val="21"/>
                <w:szCs w:val="21"/>
              </w:rPr>
              <w:t>IT</w:t>
            </w:r>
            <w:r>
              <w:rPr>
                <w:rFonts w:ascii="宋体" w:hAnsi="宋体" w:cs="宋体" w:eastAsia="宋体" w:hint="default"/>
                <w:sz w:val="21"/>
                <w:szCs w:val="21"/>
              </w:rPr>
              <w:t>产业园</w:t>
            </w:r>
            <w:r>
              <w:rPr>
                <w:rFonts w:ascii="Arial Narrow" w:hAnsi="Arial Narrow" w:cs="Arial Narrow" w:eastAsia="Arial Narrow" w:hint="default"/>
                <w:sz w:val="21"/>
                <w:szCs w:val="21"/>
              </w:rPr>
              <w:t>B1</w:t>
            </w:r>
            <w:r>
              <w:rPr>
                <w:rFonts w:ascii="宋体" w:hAnsi="宋体" w:cs="宋体" w:eastAsia="宋体" w:hint="default"/>
                <w:sz w:val="21"/>
                <w:szCs w:val="21"/>
              </w:rPr>
              <w:t>厂房三层</w:t>
            </w:r>
            <w:r>
              <w:rPr>
                <w:rFonts w:ascii="Arial Narrow" w:hAnsi="Arial Narrow" w:cs="Arial Narrow" w:eastAsia="Arial Narrow" w:hint="default"/>
                <w:sz w:val="21"/>
                <w:szCs w:val="21"/>
              </w:rPr>
              <w:t>304</w:t>
            </w:r>
            <w:r>
              <w:rPr>
                <w:rFonts w:ascii="宋体" w:hAnsi="宋体" w:cs="宋体" w:eastAsia="宋体" w:hint="default"/>
                <w:sz w:val="21"/>
                <w:szCs w:val="21"/>
              </w:rPr>
              <w:t>号</w:t>
            </w:r>
          </w:p>
        </w:tc>
        <w:tc>
          <w:tcPr>
            <w:tcW w:w="2756"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61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24"/>
              <w:jc w:val="right"/>
              <w:rPr>
                <w:rFonts w:ascii="宋体" w:hAnsi="宋体" w:cs="宋体" w:eastAsia="宋体" w:hint="default"/>
                <w:sz w:val="21"/>
                <w:szCs w:val="21"/>
              </w:rPr>
            </w:pPr>
            <w:r>
              <w:rPr>
                <w:rFonts w:ascii="Arial Narrow" w:hAnsi="Arial Narrow" w:cs="Arial Narrow" w:eastAsia="Arial Narrow" w:hint="default"/>
                <w:spacing w:val="-1"/>
                <w:sz w:val="21"/>
                <w:szCs w:val="21"/>
              </w:rPr>
              <w:t>2012</w:t>
            </w:r>
            <w:r>
              <w:rPr>
                <w:rFonts w:ascii="宋体" w:hAnsi="宋体" w:cs="宋体" w:eastAsia="宋体" w:hint="default"/>
                <w:spacing w:val="-1"/>
                <w:sz w:val="21"/>
                <w:szCs w:val="21"/>
              </w:rPr>
              <w:t>年</w:t>
            </w:r>
          </w:p>
        </w:tc>
      </w:tr>
      <w:tr>
        <w:trPr>
          <w:trHeight w:val="395" w:hRule="exact"/>
        </w:trPr>
        <w:tc>
          <w:tcPr>
            <w:tcW w:w="488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Arial Narrow" w:hAnsi="Arial Narrow" w:cs="Arial Narrow" w:eastAsia="Arial Narrow" w:hint="default"/>
                <w:sz w:val="21"/>
                <w:szCs w:val="21"/>
              </w:rPr>
              <w:t>IT</w:t>
            </w:r>
            <w:r>
              <w:rPr>
                <w:rFonts w:ascii="宋体" w:hAnsi="宋体" w:cs="宋体" w:eastAsia="宋体" w:hint="default"/>
                <w:sz w:val="21"/>
                <w:szCs w:val="21"/>
              </w:rPr>
              <w:t>产业园</w:t>
            </w:r>
            <w:r>
              <w:rPr>
                <w:rFonts w:ascii="Arial Narrow" w:hAnsi="Arial Narrow" w:cs="Arial Narrow" w:eastAsia="Arial Narrow" w:hint="default"/>
                <w:sz w:val="21"/>
                <w:szCs w:val="21"/>
              </w:rPr>
              <w:t>B1</w:t>
            </w:r>
            <w:r>
              <w:rPr>
                <w:rFonts w:ascii="宋体" w:hAnsi="宋体" w:cs="宋体" w:eastAsia="宋体" w:hint="default"/>
                <w:sz w:val="21"/>
                <w:szCs w:val="21"/>
              </w:rPr>
              <w:t>厂房三层</w:t>
            </w:r>
            <w:r>
              <w:rPr>
                <w:rFonts w:ascii="Arial Narrow" w:hAnsi="Arial Narrow" w:cs="Arial Narrow" w:eastAsia="Arial Narrow" w:hint="default"/>
                <w:sz w:val="21"/>
                <w:szCs w:val="21"/>
              </w:rPr>
              <w:t>305</w:t>
            </w:r>
            <w:r>
              <w:rPr>
                <w:rFonts w:ascii="宋体" w:hAnsi="宋体" w:cs="宋体" w:eastAsia="宋体" w:hint="default"/>
                <w:sz w:val="21"/>
                <w:szCs w:val="21"/>
              </w:rPr>
              <w:t>号</w:t>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61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4"/>
              <w:jc w:val="right"/>
              <w:rPr>
                <w:rFonts w:ascii="宋体" w:hAnsi="宋体" w:cs="宋体" w:eastAsia="宋体" w:hint="default"/>
                <w:sz w:val="21"/>
                <w:szCs w:val="21"/>
              </w:rPr>
            </w:pPr>
            <w:r>
              <w:rPr>
                <w:rFonts w:ascii="Arial Narrow" w:hAnsi="Arial Narrow" w:cs="Arial Narrow" w:eastAsia="Arial Narrow" w:hint="default"/>
                <w:spacing w:val="-1"/>
                <w:sz w:val="21"/>
                <w:szCs w:val="21"/>
              </w:rPr>
              <w:t>2012</w:t>
            </w:r>
            <w:r>
              <w:rPr>
                <w:rFonts w:ascii="宋体" w:hAnsi="宋体" w:cs="宋体" w:eastAsia="宋体" w:hint="default"/>
                <w:spacing w:val="-1"/>
                <w:sz w:val="21"/>
                <w:szCs w:val="21"/>
              </w:rPr>
              <w:t>年</w:t>
            </w:r>
          </w:p>
        </w:tc>
      </w:tr>
      <w:tr>
        <w:trPr>
          <w:trHeight w:val="397" w:hRule="exact"/>
        </w:trPr>
        <w:tc>
          <w:tcPr>
            <w:tcW w:w="488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Arial Narrow" w:hAnsi="Arial Narrow" w:cs="Arial Narrow" w:eastAsia="Arial Narrow" w:hint="default"/>
                <w:sz w:val="21"/>
                <w:szCs w:val="21"/>
              </w:rPr>
              <w:t>IT</w:t>
            </w:r>
            <w:r>
              <w:rPr>
                <w:rFonts w:ascii="宋体" w:hAnsi="宋体" w:cs="宋体" w:eastAsia="宋体" w:hint="default"/>
                <w:sz w:val="21"/>
                <w:szCs w:val="21"/>
              </w:rPr>
              <w:t>产业园</w:t>
            </w:r>
            <w:r>
              <w:rPr>
                <w:rFonts w:ascii="Arial Narrow" w:hAnsi="Arial Narrow" w:cs="Arial Narrow" w:eastAsia="Arial Narrow" w:hint="default"/>
                <w:sz w:val="21"/>
                <w:szCs w:val="21"/>
              </w:rPr>
              <w:t>B1</w:t>
            </w:r>
            <w:r>
              <w:rPr>
                <w:rFonts w:ascii="宋体" w:hAnsi="宋体" w:cs="宋体" w:eastAsia="宋体" w:hint="default"/>
                <w:sz w:val="21"/>
                <w:szCs w:val="21"/>
              </w:rPr>
              <w:t>厂房三层</w:t>
            </w:r>
            <w:r>
              <w:rPr>
                <w:rFonts w:ascii="Arial Narrow" w:hAnsi="Arial Narrow" w:cs="Arial Narrow" w:eastAsia="Arial Narrow" w:hint="default"/>
                <w:sz w:val="21"/>
                <w:szCs w:val="21"/>
              </w:rPr>
              <w:t>306</w:t>
            </w:r>
            <w:r>
              <w:rPr>
                <w:rFonts w:ascii="宋体" w:hAnsi="宋体" w:cs="宋体" w:eastAsia="宋体" w:hint="default"/>
                <w:sz w:val="21"/>
                <w:szCs w:val="21"/>
              </w:rPr>
              <w:t>号</w:t>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61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
              <w:jc w:val="right"/>
              <w:rPr>
                <w:rFonts w:ascii="宋体" w:hAnsi="宋体" w:cs="宋体" w:eastAsia="宋体" w:hint="default"/>
                <w:sz w:val="21"/>
                <w:szCs w:val="21"/>
              </w:rPr>
            </w:pPr>
            <w:r>
              <w:rPr>
                <w:rFonts w:ascii="Arial Narrow" w:hAnsi="Arial Narrow" w:cs="Arial Narrow" w:eastAsia="Arial Narrow" w:hint="default"/>
                <w:spacing w:val="-1"/>
                <w:sz w:val="21"/>
                <w:szCs w:val="21"/>
              </w:rPr>
              <w:t>2012</w:t>
            </w:r>
            <w:r>
              <w:rPr>
                <w:rFonts w:ascii="宋体" w:hAnsi="宋体" w:cs="宋体" w:eastAsia="宋体" w:hint="default"/>
                <w:spacing w:val="-1"/>
                <w:sz w:val="21"/>
                <w:szCs w:val="21"/>
              </w:rPr>
              <w:t>年</w:t>
            </w:r>
          </w:p>
        </w:tc>
      </w:tr>
      <w:tr>
        <w:trPr>
          <w:trHeight w:val="397" w:hRule="exact"/>
        </w:trPr>
        <w:tc>
          <w:tcPr>
            <w:tcW w:w="488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Arial Narrow" w:hAnsi="Arial Narrow" w:cs="Arial Narrow" w:eastAsia="Arial Narrow" w:hint="default"/>
                <w:sz w:val="21"/>
                <w:szCs w:val="21"/>
              </w:rPr>
              <w:t>IT</w:t>
            </w:r>
            <w:r>
              <w:rPr>
                <w:rFonts w:ascii="宋体" w:hAnsi="宋体" w:cs="宋体" w:eastAsia="宋体" w:hint="default"/>
                <w:sz w:val="21"/>
                <w:szCs w:val="21"/>
              </w:rPr>
              <w:t>产业园</w:t>
            </w:r>
            <w:r>
              <w:rPr>
                <w:rFonts w:ascii="Arial Narrow" w:hAnsi="Arial Narrow" w:cs="Arial Narrow" w:eastAsia="Arial Narrow" w:hint="default"/>
                <w:sz w:val="21"/>
                <w:szCs w:val="21"/>
              </w:rPr>
              <w:t>B1</w:t>
            </w:r>
            <w:r>
              <w:rPr>
                <w:rFonts w:ascii="宋体" w:hAnsi="宋体" w:cs="宋体" w:eastAsia="宋体" w:hint="default"/>
                <w:sz w:val="21"/>
                <w:szCs w:val="21"/>
              </w:rPr>
              <w:t>厂房四层</w:t>
            </w:r>
            <w:r>
              <w:rPr>
                <w:rFonts w:ascii="Arial Narrow" w:hAnsi="Arial Narrow" w:cs="Arial Narrow" w:eastAsia="Arial Narrow" w:hint="default"/>
                <w:sz w:val="21"/>
                <w:szCs w:val="21"/>
              </w:rPr>
              <w:t>405</w:t>
            </w:r>
            <w:r>
              <w:rPr>
                <w:rFonts w:ascii="宋体" w:hAnsi="宋体" w:cs="宋体" w:eastAsia="宋体" w:hint="default"/>
                <w:sz w:val="21"/>
                <w:szCs w:val="21"/>
              </w:rPr>
              <w:t>号</w:t>
            </w:r>
          </w:p>
        </w:tc>
        <w:tc>
          <w:tcPr>
            <w:tcW w:w="275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1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21"/>
                <w:szCs w:val="21"/>
              </w:rPr>
            </w:pPr>
            <w:r>
              <w:rPr>
                <w:rFonts w:ascii="Arial Narrow" w:hAnsi="Arial Narrow" w:cs="Arial Narrow" w:eastAsia="Arial Narrow" w:hint="default"/>
                <w:spacing w:val="-1"/>
                <w:sz w:val="21"/>
                <w:szCs w:val="21"/>
              </w:rPr>
              <w:t>2012</w:t>
            </w:r>
            <w:r>
              <w:rPr>
                <w:rFonts w:ascii="宋体" w:hAnsi="宋体" w:cs="宋体" w:eastAsia="宋体" w:hint="default"/>
                <w:spacing w:val="-1"/>
                <w:sz w:val="21"/>
                <w:szCs w:val="21"/>
              </w:rPr>
              <w:t>年</w:t>
            </w:r>
          </w:p>
        </w:tc>
      </w:tr>
      <w:tr>
        <w:trPr>
          <w:trHeight w:val="404" w:hRule="exact"/>
        </w:trPr>
        <w:tc>
          <w:tcPr>
            <w:tcW w:w="4882"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4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Arial Narrow" w:hAnsi="Arial Narrow" w:cs="Arial Narrow" w:eastAsia="Arial Narrow" w:hint="default"/>
                <w:sz w:val="21"/>
                <w:szCs w:val="21"/>
              </w:rPr>
              <w:t>IT</w:t>
            </w:r>
            <w:r>
              <w:rPr>
                <w:rFonts w:ascii="宋体" w:hAnsi="宋体" w:cs="宋体" w:eastAsia="宋体" w:hint="default"/>
                <w:sz w:val="21"/>
                <w:szCs w:val="21"/>
              </w:rPr>
              <w:t>产业园</w:t>
            </w:r>
            <w:r>
              <w:rPr>
                <w:rFonts w:ascii="Arial Narrow" w:hAnsi="Arial Narrow" w:cs="Arial Narrow" w:eastAsia="Arial Narrow" w:hint="default"/>
                <w:sz w:val="21"/>
                <w:szCs w:val="21"/>
              </w:rPr>
              <w:t>B1</w:t>
            </w:r>
            <w:r>
              <w:rPr>
                <w:rFonts w:ascii="宋体" w:hAnsi="宋体" w:cs="宋体" w:eastAsia="宋体" w:hint="default"/>
                <w:sz w:val="21"/>
                <w:szCs w:val="21"/>
              </w:rPr>
              <w:t>厂房四层</w:t>
            </w:r>
            <w:r>
              <w:rPr>
                <w:rFonts w:ascii="Arial Narrow" w:hAnsi="Arial Narrow" w:cs="Arial Narrow" w:eastAsia="Arial Narrow" w:hint="default"/>
                <w:sz w:val="21"/>
                <w:szCs w:val="21"/>
              </w:rPr>
              <w:t>406</w:t>
            </w:r>
            <w:r>
              <w:rPr>
                <w:rFonts w:ascii="宋体" w:hAnsi="宋体" w:cs="宋体" w:eastAsia="宋体" w:hint="default"/>
                <w:sz w:val="21"/>
                <w:szCs w:val="21"/>
              </w:rPr>
              <w:t>号</w:t>
            </w:r>
          </w:p>
        </w:tc>
        <w:tc>
          <w:tcPr>
            <w:tcW w:w="2756"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left="61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501" w:type="dxa"/>
            <w:tcBorders>
              <w:top w:val="nil" w:sz="6" w:space="0" w:color="auto"/>
              <w:left w:val="nil" w:sz="6" w:space="0" w:color="auto"/>
              <w:bottom w:val="single" w:sz="8" w:space="0" w:color="000000"/>
              <w:right w:val="nil" w:sz="6" w:space="0" w:color="auto"/>
            </w:tcBorders>
          </w:tcPr>
          <w:p>
            <w:pPr>
              <w:pStyle w:val="TableParagraph"/>
              <w:spacing w:line="240" w:lineRule="auto" w:before="24"/>
              <w:ind w:right="24"/>
              <w:jc w:val="right"/>
              <w:rPr>
                <w:rFonts w:ascii="宋体" w:hAnsi="宋体" w:cs="宋体" w:eastAsia="宋体" w:hint="default"/>
                <w:sz w:val="21"/>
                <w:szCs w:val="21"/>
              </w:rPr>
            </w:pPr>
            <w:r>
              <w:rPr>
                <w:rFonts w:ascii="Arial Narrow" w:hAnsi="Arial Narrow" w:cs="Arial Narrow" w:eastAsia="Arial Narrow" w:hint="default"/>
                <w:spacing w:val="-1"/>
                <w:sz w:val="21"/>
                <w:szCs w:val="21"/>
              </w:rPr>
              <w:t>2012</w:t>
            </w:r>
            <w:r>
              <w:rPr>
                <w:rFonts w:ascii="宋体" w:hAnsi="宋体" w:cs="宋体" w:eastAsia="宋体" w:hint="default"/>
                <w:spacing w:val="-1"/>
                <w:sz w:val="21"/>
                <w:szCs w:val="21"/>
              </w:rPr>
              <w:t>年</w:t>
            </w:r>
          </w:p>
        </w:tc>
      </w:tr>
    </w:tbl>
    <w:p>
      <w:pPr>
        <w:pStyle w:val="BodyText"/>
        <w:spacing w:line="381" w:lineRule="auto" w:before="79"/>
        <w:ind w:left="559" w:right="7760" w:hanging="418"/>
        <w:jc w:val="left"/>
      </w:pPr>
      <w:r>
        <w:rPr>
          <w:rFonts w:ascii="Arial Narrow" w:hAnsi="Arial Narrow" w:cs="Arial Narrow" w:eastAsia="Arial Narrow" w:hint="default"/>
        </w:rPr>
        <w:t>13</w:t>
      </w:r>
      <w:r>
        <w:rPr/>
        <w:t>、无形资产 无形资产情况</w:t>
      </w:r>
    </w:p>
    <w:p>
      <w:pPr>
        <w:spacing w:after="0" w:line="381" w:lineRule="auto"/>
        <w:jc w:val="left"/>
        <w:sectPr>
          <w:pgSz w:w="11900" w:h="16850"/>
          <w:pgMar w:header="0" w:footer="919" w:top="1640" w:bottom="1100" w:left="1140" w:right="98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3153"/>
        <w:gridCol w:w="1653"/>
        <w:gridCol w:w="1589"/>
        <w:gridCol w:w="1349"/>
        <w:gridCol w:w="1407"/>
      </w:tblGrid>
      <w:tr>
        <w:trPr>
          <w:trHeight w:val="106" w:hRule="exact"/>
        </w:trPr>
        <w:tc>
          <w:tcPr>
            <w:tcW w:w="386" w:type="dxa"/>
            <w:tcBorders>
              <w:top w:val="single" w:sz="6" w:space="0" w:color="000000"/>
              <w:left w:val="nil" w:sz="6" w:space="0" w:color="auto"/>
              <w:bottom w:val="nil" w:sz="6" w:space="0" w:color="auto"/>
              <w:right w:val="nil" w:sz="6" w:space="0" w:color="auto"/>
            </w:tcBorders>
          </w:tcPr>
          <w:p>
            <w:pPr/>
          </w:p>
        </w:tc>
        <w:tc>
          <w:tcPr>
            <w:tcW w:w="3153" w:type="dxa"/>
            <w:tcBorders>
              <w:top w:val="single" w:sz="6" w:space="0" w:color="000000"/>
              <w:left w:val="nil" w:sz="6" w:space="0" w:color="auto"/>
              <w:bottom w:val="single" w:sz="8" w:space="0" w:color="000000"/>
              <w:right w:val="nil" w:sz="6" w:space="0" w:color="auto"/>
            </w:tcBorders>
          </w:tcPr>
          <w:p>
            <w:pPr/>
          </w:p>
        </w:tc>
        <w:tc>
          <w:tcPr>
            <w:tcW w:w="1653" w:type="dxa"/>
            <w:tcBorders>
              <w:top w:val="single" w:sz="6" w:space="0" w:color="000000"/>
              <w:left w:val="nil" w:sz="6" w:space="0" w:color="auto"/>
              <w:bottom w:val="single" w:sz="8" w:space="0" w:color="000000"/>
              <w:right w:val="nil" w:sz="6" w:space="0" w:color="auto"/>
            </w:tcBorders>
          </w:tcPr>
          <w:p>
            <w:pPr/>
          </w:p>
        </w:tc>
        <w:tc>
          <w:tcPr>
            <w:tcW w:w="1589" w:type="dxa"/>
            <w:tcBorders>
              <w:top w:val="single" w:sz="6" w:space="0" w:color="000000"/>
              <w:left w:val="nil" w:sz="6" w:space="0" w:color="auto"/>
              <w:bottom w:val="single" w:sz="8" w:space="0" w:color="000000"/>
              <w:right w:val="nil" w:sz="6" w:space="0" w:color="auto"/>
            </w:tcBorders>
          </w:tcPr>
          <w:p>
            <w:pPr/>
          </w:p>
        </w:tc>
        <w:tc>
          <w:tcPr>
            <w:tcW w:w="1349" w:type="dxa"/>
            <w:tcBorders>
              <w:top w:val="single" w:sz="6" w:space="0" w:color="000000"/>
              <w:left w:val="nil" w:sz="6" w:space="0" w:color="auto"/>
              <w:bottom w:val="single" w:sz="8" w:space="0" w:color="000000"/>
              <w:right w:val="nil" w:sz="6" w:space="0" w:color="auto"/>
            </w:tcBorders>
          </w:tcPr>
          <w:p>
            <w:pPr/>
          </w:p>
        </w:tc>
        <w:tc>
          <w:tcPr>
            <w:tcW w:w="1407" w:type="dxa"/>
            <w:tcBorders>
              <w:top w:val="single" w:sz="6" w:space="0" w:color="000000"/>
              <w:left w:val="nil" w:sz="6" w:space="0" w:color="auto"/>
              <w:bottom w:val="single" w:sz="8" w:space="0" w:color="000000"/>
              <w:right w:val="nil" w:sz="6" w:space="0" w:color="auto"/>
            </w:tcBorders>
          </w:tcPr>
          <w:p>
            <w:pPr/>
          </w:p>
        </w:tc>
      </w:tr>
      <w:tr>
        <w:trPr>
          <w:trHeight w:val="391"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single" w:sz="8" w:space="0" w:color="000000"/>
              <w:left w:val="nil" w:sz="6" w:space="0" w:color="auto"/>
              <w:bottom w:val="single" w:sz="4" w:space="0" w:color="000000"/>
              <w:right w:val="nil" w:sz="6" w:space="0" w:color="auto"/>
            </w:tcBorders>
          </w:tcPr>
          <w:p>
            <w:pPr>
              <w:pStyle w:val="TableParagraph"/>
              <w:tabs>
                <w:tab w:pos="523" w:val="left" w:leader="none"/>
              </w:tabs>
              <w:spacing w:line="307" w:lineRule="exact"/>
              <w:ind w:left="40"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653" w:type="dxa"/>
            <w:tcBorders>
              <w:top w:val="single" w:sz="8" w:space="0" w:color="000000"/>
              <w:left w:val="nil" w:sz="6" w:space="0" w:color="auto"/>
              <w:bottom w:val="single" w:sz="4" w:space="0" w:color="000000"/>
              <w:right w:val="nil" w:sz="6" w:space="0" w:color="auto"/>
            </w:tcBorders>
          </w:tcPr>
          <w:p>
            <w:pPr>
              <w:pStyle w:val="TableParagraph"/>
              <w:spacing w:line="276" w:lineRule="exact"/>
              <w:ind w:right="171"/>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158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65"/>
              <w:jc w:val="righ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34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16"/>
              <w:jc w:val="righ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407"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7"/>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r>
      <w:tr>
        <w:trPr>
          <w:trHeight w:val="398"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single" w:sz="4" w:space="0" w:color="000000"/>
              <w:left w:val="nil" w:sz="6" w:space="0" w:color="auto"/>
              <w:bottom w:val="nil" w:sz="6" w:space="0" w:color="auto"/>
              <w:right w:val="nil" w:sz="6" w:space="0" w:color="auto"/>
            </w:tcBorders>
          </w:tcPr>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b/>
                <w:bCs/>
                <w:sz w:val="24"/>
                <w:szCs w:val="24"/>
              </w:rPr>
              <w:t>一、账面原值合计</w:t>
            </w:r>
            <w:r>
              <w:rPr>
                <w:rFonts w:ascii="宋体" w:hAnsi="宋体" w:cs="宋体" w:eastAsia="宋体" w:hint="default"/>
                <w:sz w:val="24"/>
                <w:szCs w:val="24"/>
              </w:rPr>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1"/>
              <w:jc w:val="right"/>
              <w:rPr>
                <w:rFonts w:ascii="Arial Narrow" w:hAnsi="Arial Narrow" w:cs="Arial Narrow" w:eastAsia="Arial Narrow" w:hint="default"/>
                <w:sz w:val="24"/>
                <w:szCs w:val="24"/>
              </w:rPr>
            </w:pPr>
            <w:r>
              <w:rPr>
                <w:rFonts w:ascii="Arial Narrow"/>
                <w:b/>
                <w:spacing w:val="-1"/>
                <w:sz w:val="24"/>
              </w:rPr>
              <w:t>25,352,647.44</w:t>
            </w:r>
            <w:r>
              <w:rPr>
                <w:rFonts w:ascii="Arial Narrow"/>
                <w:spacing w:val="-1"/>
                <w:sz w:val="24"/>
              </w:rPr>
            </w: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5"/>
              <w:jc w:val="right"/>
              <w:rPr>
                <w:rFonts w:ascii="Arial Narrow" w:hAnsi="Arial Narrow" w:cs="Arial Narrow" w:eastAsia="Arial Narrow" w:hint="default"/>
                <w:sz w:val="24"/>
                <w:szCs w:val="24"/>
              </w:rPr>
            </w:pPr>
            <w:r>
              <w:rPr>
                <w:rFonts w:ascii="Arial Narrow"/>
                <w:b/>
                <w:spacing w:val="-1"/>
                <w:sz w:val="24"/>
              </w:rPr>
              <w:t>5,835,157.41</w:t>
            </w:r>
            <w:r>
              <w:rPr>
                <w:rFonts w:ascii="Arial Narrow"/>
                <w:spacing w:val="-1"/>
                <w:sz w:val="24"/>
              </w:rPr>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5"/>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b/>
                <w:spacing w:val="-1"/>
                <w:sz w:val="24"/>
              </w:rPr>
              <w:t>31,187,804.85</w:t>
            </w:r>
            <w:r>
              <w:rPr>
                <w:rFonts w:ascii="Arial Narrow"/>
                <w:spacing w:val="-1"/>
                <w:sz w:val="24"/>
              </w:rPr>
            </w:r>
          </w:p>
        </w:tc>
      </w:tr>
      <w:tr>
        <w:trPr>
          <w:trHeight w:val="394"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71"/>
              <w:jc w:val="right"/>
              <w:rPr>
                <w:rFonts w:ascii="Arial Narrow" w:hAnsi="Arial Narrow" w:cs="Arial Narrow" w:eastAsia="Arial Narrow" w:hint="default"/>
                <w:sz w:val="24"/>
                <w:szCs w:val="24"/>
              </w:rPr>
            </w:pPr>
            <w:r>
              <w:rPr>
                <w:rFonts w:ascii="Arial Narrow"/>
                <w:spacing w:val="-1"/>
                <w:sz w:val="24"/>
              </w:rPr>
              <w:t>17,087,847.44</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5"/>
              <w:jc w:val="right"/>
              <w:rPr>
                <w:rFonts w:ascii="Arial Narrow" w:hAnsi="Arial Narrow" w:cs="Arial Narrow" w:eastAsia="Arial Narrow" w:hint="default"/>
                <w:sz w:val="24"/>
                <w:szCs w:val="24"/>
              </w:rPr>
            </w:pPr>
            <w:r>
              <w:rPr>
                <w:rFonts w:ascii="Arial Narrow"/>
                <w:spacing w:val="-1"/>
                <w:sz w:val="24"/>
              </w:rPr>
              <w:t>5,835,157.41</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5"/>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Narrow" w:hAnsi="Arial Narrow" w:cs="Arial Narrow" w:eastAsia="Arial Narrow" w:hint="default"/>
                <w:sz w:val="24"/>
                <w:szCs w:val="24"/>
              </w:rPr>
            </w:pPr>
            <w:r>
              <w:rPr>
                <w:rFonts w:ascii="Arial Narrow"/>
                <w:spacing w:val="-1"/>
                <w:sz w:val="24"/>
              </w:rPr>
              <w:t>22,923,004.85</w:t>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专利权</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Arial Narrow" w:hAnsi="Arial Narrow" w:cs="Arial Narrow" w:eastAsia="Arial Narrow" w:hint="default"/>
                <w:sz w:val="24"/>
                <w:szCs w:val="24"/>
              </w:rPr>
            </w:pPr>
            <w:r>
              <w:rPr>
                <w:rFonts w:ascii="Arial Narrow"/>
                <w:spacing w:val="-1"/>
                <w:sz w:val="24"/>
              </w:rPr>
              <w:t>8,264,800.00</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right"/>
              <w:rPr>
                <w:rFonts w:ascii="Arial Narrow" w:hAnsi="Arial Narrow" w:cs="Arial Narrow" w:eastAsia="Arial Narrow" w:hint="default"/>
                <w:sz w:val="24"/>
                <w:szCs w:val="24"/>
              </w:rPr>
            </w:pPr>
            <w:r>
              <w:rPr>
                <w:rFonts w:ascii="Arial Narrow"/>
                <w:sz w:val="24"/>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8,264,800.00</w:t>
            </w:r>
          </w:p>
        </w:tc>
      </w:tr>
      <w:tr>
        <w:trPr>
          <w:trHeight w:val="398"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b/>
                <w:bCs/>
                <w:sz w:val="24"/>
                <w:szCs w:val="24"/>
              </w:rPr>
              <w:t>二、累计摊销合计</w:t>
            </w:r>
            <w:r>
              <w:rPr>
                <w:rFonts w:ascii="宋体" w:hAnsi="宋体" w:cs="宋体" w:eastAsia="宋体" w:hint="default"/>
                <w:sz w:val="24"/>
                <w:szCs w:val="24"/>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1"/>
              <w:jc w:val="right"/>
              <w:rPr>
                <w:rFonts w:ascii="Arial Narrow" w:hAnsi="Arial Narrow" w:cs="Arial Narrow" w:eastAsia="Arial Narrow" w:hint="default"/>
                <w:sz w:val="24"/>
                <w:szCs w:val="24"/>
              </w:rPr>
            </w:pPr>
            <w:r>
              <w:rPr>
                <w:rFonts w:ascii="Arial Narrow"/>
                <w:b/>
                <w:spacing w:val="-1"/>
                <w:sz w:val="24"/>
              </w:rPr>
              <w:t>4,834,146.99</w:t>
            </w:r>
            <w:r>
              <w:rPr>
                <w:rFonts w:ascii="Arial Narrow"/>
                <w:spacing w:val="-1"/>
                <w:sz w:val="24"/>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5"/>
              <w:jc w:val="right"/>
              <w:rPr>
                <w:rFonts w:ascii="Arial Narrow" w:hAnsi="Arial Narrow" w:cs="Arial Narrow" w:eastAsia="Arial Narrow" w:hint="default"/>
                <w:sz w:val="24"/>
                <w:szCs w:val="24"/>
              </w:rPr>
            </w:pPr>
            <w:r>
              <w:rPr>
                <w:rFonts w:ascii="Arial Narrow"/>
                <w:b/>
                <w:spacing w:val="-1"/>
                <w:sz w:val="24"/>
              </w:rPr>
              <w:t>4,960,293.35</w:t>
            </w:r>
            <w:r>
              <w:rPr>
                <w:rFonts w:ascii="Arial Narrow"/>
                <w:spacing w:val="-1"/>
                <w:sz w:val="24"/>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5"/>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4"/>
                <w:szCs w:val="24"/>
              </w:rPr>
            </w:pPr>
            <w:r>
              <w:rPr>
                <w:rFonts w:ascii="Arial Narrow"/>
                <w:b/>
                <w:spacing w:val="-1"/>
                <w:sz w:val="24"/>
              </w:rPr>
              <w:t>9,794,440.34</w:t>
            </w:r>
            <w:r>
              <w:rPr>
                <w:rFonts w:ascii="Arial Narrow"/>
                <w:spacing w:val="-1"/>
                <w:sz w:val="24"/>
              </w:rPr>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Arial Narrow" w:hAnsi="Arial Narrow" w:cs="Arial Narrow" w:eastAsia="Arial Narrow" w:hint="default"/>
                <w:sz w:val="24"/>
                <w:szCs w:val="24"/>
              </w:rPr>
            </w:pPr>
            <w:r>
              <w:rPr>
                <w:rFonts w:ascii="Arial Narrow"/>
                <w:spacing w:val="-1"/>
                <w:sz w:val="24"/>
              </w:rPr>
              <w:t>4,761,329.37</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5"/>
              <w:jc w:val="right"/>
              <w:rPr>
                <w:rFonts w:ascii="Arial Narrow" w:hAnsi="Arial Narrow" w:cs="Arial Narrow" w:eastAsia="Arial Narrow" w:hint="default"/>
                <w:sz w:val="24"/>
                <w:szCs w:val="24"/>
              </w:rPr>
            </w:pPr>
            <w:r>
              <w:rPr>
                <w:rFonts w:ascii="Arial Narrow"/>
                <w:spacing w:val="-1"/>
                <w:sz w:val="24"/>
              </w:rPr>
              <w:t>4,314,336.18</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9,075,665.55</w:t>
            </w:r>
          </w:p>
        </w:tc>
      </w:tr>
      <w:tr>
        <w:trPr>
          <w:trHeight w:val="399"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专利权</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1"/>
              <w:jc w:val="right"/>
              <w:rPr>
                <w:rFonts w:ascii="Arial Narrow" w:hAnsi="Arial Narrow" w:cs="Arial Narrow" w:eastAsia="Arial Narrow" w:hint="default"/>
                <w:sz w:val="24"/>
                <w:szCs w:val="24"/>
              </w:rPr>
            </w:pPr>
            <w:r>
              <w:rPr>
                <w:rFonts w:ascii="Arial Narrow"/>
                <w:spacing w:val="-1"/>
                <w:sz w:val="24"/>
              </w:rPr>
              <w:t>72,817.62</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4"/>
              <w:jc w:val="right"/>
              <w:rPr>
                <w:rFonts w:ascii="Arial Narrow" w:hAnsi="Arial Narrow" w:cs="Arial Narrow" w:eastAsia="Arial Narrow" w:hint="default"/>
                <w:sz w:val="24"/>
                <w:szCs w:val="24"/>
              </w:rPr>
            </w:pPr>
            <w:r>
              <w:rPr>
                <w:rFonts w:ascii="Arial Narrow"/>
                <w:spacing w:val="-1"/>
                <w:sz w:val="24"/>
              </w:rPr>
              <w:t>645,957.17</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5"/>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718,774.79</w:t>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b/>
                <w:bCs/>
                <w:sz w:val="24"/>
                <w:szCs w:val="24"/>
              </w:rPr>
              <w:t>三、无形资产账面净值合计</w:t>
            </w:r>
            <w:r>
              <w:rPr>
                <w:rFonts w:ascii="宋体" w:hAnsi="宋体" w:cs="宋体" w:eastAsia="宋体" w:hint="default"/>
                <w:sz w:val="24"/>
                <w:szCs w:val="24"/>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71"/>
              <w:jc w:val="right"/>
              <w:rPr>
                <w:rFonts w:ascii="Arial Narrow" w:hAnsi="Arial Narrow" w:cs="Arial Narrow" w:eastAsia="Arial Narrow" w:hint="default"/>
                <w:sz w:val="24"/>
                <w:szCs w:val="24"/>
              </w:rPr>
            </w:pPr>
            <w:r>
              <w:rPr>
                <w:rFonts w:ascii="Arial Narrow"/>
                <w:b/>
                <w:spacing w:val="-1"/>
                <w:sz w:val="24"/>
              </w:rPr>
              <w:t>20,518,500.45</w:t>
            </w:r>
            <w:r>
              <w:rPr>
                <w:rFonts w:ascii="Arial Narrow"/>
                <w:spacing w:val="-1"/>
                <w:sz w:val="24"/>
              </w:rPr>
            </w:r>
          </w:p>
        </w:tc>
        <w:tc>
          <w:tcPr>
            <w:tcW w:w="15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4"/>
                <w:szCs w:val="24"/>
              </w:rPr>
            </w:pPr>
            <w:r>
              <w:rPr>
                <w:rFonts w:ascii="Arial Narrow"/>
                <w:b/>
                <w:spacing w:val="-1"/>
                <w:sz w:val="24"/>
              </w:rPr>
              <w:t>21,393,364.51</w:t>
            </w:r>
            <w:r>
              <w:rPr>
                <w:rFonts w:ascii="Arial Narrow"/>
                <w:spacing w:val="-1"/>
                <w:sz w:val="24"/>
              </w:rPr>
            </w: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1"/>
              <w:jc w:val="right"/>
              <w:rPr>
                <w:rFonts w:ascii="Arial Narrow" w:hAnsi="Arial Narrow" w:cs="Arial Narrow" w:eastAsia="Arial Narrow" w:hint="default"/>
                <w:sz w:val="24"/>
                <w:szCs w:val="24"/>
              </w:rPr>
            </w:pPr>
            <w:r>
              <w:rPr>
                <w:rFonts w:ascii="Arial Narrow"/>
                <w:spacing w:val="-1"/>
                <w:sz w:val="24"/>
              </w:rPr>
              <w:t>12,326,518.07</w:t>
            </w:r>
          </w:p>
        </w:tc>
        <w:tc>
          <w:tcPr>
            <w:tcW w:w="15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13,847,339.30</w:t>
            </w: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ind w:left="40" w:right="0"/>
              <w:jc w:val="left"/>
              <w:rPr>
                <w:rFonts w:ascii="宋体" w:hAnsi="宋体" w:cs="宋体" w:eastAsia="宋体" w:hint="default"/>
                <w:sz w:val="24"/>
                <w:szCs w:val="24"/>
              </w:rPr>
            </w:pPr>
            <w:r>
              <w:rPr>
                <w:rFonts w:ascii="宋体" w:hAnsi="宋体" w:cs="宋体" w:eastAsia="宋体" w:hint="default"/>
                <w:sz w:val="24"/>
                <w:szCs w:val="24"/>
              </w:rPr>
              <w:t>专利权</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1"/>
              <w:jc w:val="right"/>
              <w:rPr>
                <w:rFonts w:ascii="Arial Narrow" w:hAnsi="Arial Narrow" w:cs="Arial Narrow" w:eastAsia="Arial Narrow" w:hint="default"/>
                <w:sz w:val="24"/>
                <w:szCs w:val="24"/>
              </w:rPr>
            </w:pPr>
            <w:r>
              <w:rPr>
                <w:rFonts w:ascii="Arial Narrow"/>
                <w:spacing w:val="-1"/>
                <w:sz w:val="24"/>
              </w:rPr>
              <w:t>8,191,982.38</w:t>
            </w:r>
          </w:p>
        </w:tc>
        <w:tc>
          <w:tcPr>
            <w:tcW w:w="15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7"/>
              <w:jc w:val="right"/>
              <w:rPr>
                <w:rFonts w:ascii="Arial Narrow" w:hAnsi="Arial Narrow" w:cs="Arial Narrow" w:eastAsia="Arial Narrow" w:hint="default"/>
                <w:sz w:val="24"/>
                <w:szCs w:val="24"/>
              </w:rPr>
            </w:pPr>
            <w:r>
              <w:rPr>
                <w:rFonts w:ascii="Arial Narrow"/>
                <w:spacing w:val="-1"/>
                <w:sz w:val="24"/>
              </w:rPr>
              <w:t>7,546,025.21</w:t>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b/>
                <w:bCs/>
                <w:sz w:val="24"/>
                <w:szCs w:val="24"/>
              </w:rPr>
              <w:t>四、减值准备合计</w:t>
            </w:r>
            <w:r>
              <w:rPr>
                <w:rFonts w:ascii="宋体" w:hAnsi="宋体" w:cs="宋体" w:eastAsia="宋体" w:hint="default"/>
                <w:sz w:val="24"/>
                <w:szCs w:val="24"/>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0"/>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right"/>
              <w:rPr>
                <w:rFonts w:ascii="Arial Narrow" w:hAnsi="Arial Narrow" w:cs="Arial Narrow" w:eastAsia="Arial Narrow" w:hint="default"/>
                <w:sz w:val="24"/>
                <w:szCs w:val="24"/>
              </w:rPr>
            </w:pPr>
            <w:r>
              <w:rPr>
                <w:rFonts w:ascii="Arial Narrow"/>
                <w:sz w:val="24"/>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r>
        <w:trPr>
          <w:trHeight w:val="398"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0"/>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4"/>
              <w:jc w:val="right"/>
              <w:rPr>
                <w:rFonts w:ascii="Arial Narrow" w:hAnsi="Arial Narrow" w:cs="Arial Narrow" w:eastAsia="Arial Narrow" w:hint="default"/>
                <w:sz w:val="24"/>
                <w:szCs w:val="24"/>
              </w:rPr>
            </w:pPr>
            <w:r>
              <w:rPr>
                <w:rFonts w:ascii="Arial Narrow"/>
                <w:sz w:val="24"/>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5"/>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专利权</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0"/>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right"/>
              <w:rPr>
                <w:rFonts w:ascii="Arial Narrow" w:hAnsi="Arial Narrow" w:cs="Arial Narrow" w:eastAsia="Arial Narrow" w:hint="default"/>
                <w:sz w:val="24"/>
                <w:szCs w:val="24"/>
              </w:rPr>
            </w:pPr>
            <w:r>
              <w:rPr>
                <w:rFonts w:ascii="Arial Narrow"/>
                <w:sz w:val="24"/>
              </w:rPr>
              <w:t>-</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
              <w:jc w:val="right"/>
              <w:rPr>
                <w:rFonts w:ascii="Arial Narrow" w:hAnsi="Arial Narrow" w:cs="Arial Narrow" w:eastAsia="Arial Narrow" w:hint="default"/>
                <w:sz w:val="24"/>
                <w:szCs w:val="24"/>
              </w:rPr>
            </w:pPr>
            <w:r>
              <w:rPr>
                <w:rFonts w:ascii="Arial Narrow"/>
                <w:sz w:val="24"/>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r>
        <w:trPr>
          <w:trHeight w:val="398"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b/>
                <w:bCs/>
                <w:sz w:val="24"/>
                <w:szCs w:val="24"/>
              </w:rPr>
              <w:t>五、无形资产账面价值合计</w:t>
            </w:r>
            <w:r>
              <w:rPr>
                <w:rFonts w:ascii="宋体" w:hAnsi="宋体" w:cs="宋体" w:eastAsia="宋体" w:hint="default"/>
                <w:sz w:val="24"/>
                <w:szCs w:val="24"/>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1"/>
              <w:jc w:val="right"/>
              <w:rPr>
                <w:rFonts w:ascii="Arial Narrow" w:hAnsi="Arial Narrow" w:cs="Arial Narrow" w:eastAsia="Arial Narrow" w:hint="default"/>
                <w:sz w:val="24"/>
                <w:szCs w:val="24"/>
              </w:rPr>
            </w:pPr>
            <w:r>
              <w:rPr>
                <w:rFonts w:ascii="Arial Narrow"/>
                <w:b/>
                <w:spacing w:val="-1"/>
                <w:sz w:val="24"/>
              </w:rPr>
              <w:t>20,518,500.45</w:t>
            </w:r>
            <w:r>
              <w:rPr>
                <w:rFonts w:ascii="Arial Narrow"/>
                <w:spacing w:val="-1"/>
                <w:sz w:val="24"/>
              </w:rPr>
            </w:r>
          </w:p>
        </w:tc>
        <w:tc>
          <w:tcPr>
            <w:tcW w:w="15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b/>
                <w:spacing w:val="-1"/>
                <w:sz w:val="24"/>
              </w:rPr>
              <w:t>21,393,364.51</w:t>
            </w:r>
            <w:r>
              <w:rPr>
                <w:rFonts w:ascii="Arial Narrow"/>
                <w:spacing w:val="-1"/>
                <w:sz w:val="24"/>
              </w:rPr>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Arial Narrow" w:hAnsi="Arial Narrow" w:cs="Arial Narrow" w:eastAsia="Arial Narrow" w:hint="default"/>
                <w:sz w:val="24"/>
                <w:szCs w:val="24"/>
              </w:rPr>
            </w:pPr>
            <w:r>
              <w:rPr>
                <w:rFonts w:ascii="Arial Narrow"/>
                <w:spacing w:val="-1"/>
                <w:sz w:val="24"/>
              </w:rPr>
              <w:t>12,326,518.07</w:t>
            </w:r>
          </w:p>
        </w:tc>
        <w:tc>
          <w:tcPr>
            <w:tcW w:w="158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13,847,339.30</w:t>
            </w:r>
          </w:p>
        </w:tc>
      </w:tr>
      <w:tr>
        <w:trPr>
          <w:trHeight w:val="406" w:hRule="exact"/>
        </w:trPr>
        <w:tc>
          <w:tcPr>
            <w:tcW w:w="386" w:type="dxa"/>
            <w:tcBorders>
              <w:top w:val="nil" w:sz="6" w:space="0" w:color="auto"/>
              <w:left w:val="nil" w:sz="6" w:space="0" w:color="auto"/>
              <w:bottom w:val="nil" w:sz="6" w:space="0" w:color="auto"/>
              <w:right w:val="nil" w:sz="6" w:space="0" w:color="auto"/>
            </w:tcBorders>
          </w:tcPr>
          <w:p>
            <w:pPr/>
          </w:p>
        </w:tc>
        <w:tc>
          <w:tcPr>
            <w:tcW w:w="3153"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专利权</w:t>
            </w:r>
          </w:p>
        </w:tc>
        <w:tc>
          <w:tcPr>
            <w:tcW w:w="1653"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171"/>
              <w:jc w:val="right"/>
              <w:rPr>
                <w:rFonts w:ascii="Arial Narrow" w:hAnsi="Arial Narrow" w:cs="Arial Narrow" w:eastAsia="Arial Narrow" w:hint="default"/>
                <w:sz w:val="24"/>
                <w:szCs w:val="24"/>
              </w:rPr>
            </w:pPr>
            <w:r>
              <w:rPr>
                <w:rFonts w:ascii="Arial Narrow"/>
                <w:spacing w:val="-1"/>
                <w:sz w:val="24"/>
              </w:rPr>
              <w:t>8,191,982.38</w:t>
            </w:r>
          </w:p>
        </w:tc>
        <w:tc>
          <w:tcPr>
            <w:tcW w:w="1589" w:type="dxa"/>
            <w:tcBorders>
              <w:top w:val="nil" w:sz="6" w:space="0" w:color="auto"/>
              <w:left w:val="nil" w:sz="6" w:space="0" w:color="auto"/>
              <w:bottom w:val="single" w:sz="8" w:space="0" w:color="000000"/>
              <w:right w:val="nil" w:sz="6" w:space="0" w:color="auto"/>
            </w:tcBorders>
          </w:tcPr>
          <w:p>
            <w:pPr/>
          </w:p>
        </w:tc>
        <w:tc>
          <w:tcPr>
            <w:tcW w:w="1349" w:type="dxa"/>
            <w:tcBorders>
              <w:top w:val="nil" w:sz="6" w:space="0" w:color="auto"/>
              <w:left w:val="nil" w:sz="6" w:space="0" w:color="auto"/>
              <w:bottom w:val="single" w:sz="8" w:space="0" w:color="000000"/>
              <w:right w:val="nil" w:sz="6" w:space="0" w:color="auto"/>
            </w:tcBorders>
          </w:tcPr>
          <w:p>
            <w:pPr/>
          </w:p>
        </w:tc>
        <w:tc>
          <w:tcPr>
            <w:tcW w:w="1407"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27"/>
              <w:jc w:val="right"/>
              <w:rPr>
                <w:rFonts w:ascii="Arial Narrow" w:hAnsi="Arial Narrow" w:cs="Arial Narrow" w:eastAsia="Arial Narrow" w:hint="default"/>
                <w:sz w:val="24"/>
                <w:szCs w:val="24"/>
              </w:rPr>
            </w:pPr>
            <w:r>
              <w:rPr>
                <w:rFonts w:ascii="Arial Narrow"/>
                <w:spacing w:val="-1"/>
                <w:sz w:val="24"/>
              </w:rPr>
              <w:t>7,546,025.21</w:t>
            </w:r>
          </w:p>
        </w:tc>
      </w:tr>
    </w:tbl>
    <w:p>
      <w:pPr>
        <w:pStyle w:val="BodyText"/>
        <w:spacing w:line="240" w:lineRule="auto" w:before="79"/>
        <w:ind w:left="522" w:right="0"/>
        <w:jc w:val="left"/>
      </w:pPr>
      <w:r>
        <w:rPr/>
        <w:t>说明：本期摊销额</w:t>
      </w:r>
      <w:r>
        <w:rPr>
          <w:spacing w:val="-62"/>
        </w:rPr>
        <w:t> </w:t>
      </w:r>
      <w:r>
        <w:rPr>
          <w:rFonts w:ascii="Arial Narrow" w:hAnsi="Arial Narrow" w:cs="Arial Narrow" w:eastAsia="Arial Narrow" w:hint="default"/>
        </w:rPr>
        <w:t>4,960,293.35</w:t>
      </w:r>
      <w:r>
        <w:rPr>
          <w:rFonts w:ascii="Arial Narrow" w:hAnsi="Arial Narrow" w:cs="Arial Narrow" w:eastAsia="Arial Narrow" w:hint="default"/>
          <w:spacing w:val="5"/>
        </w:rPr>
        <w:t> </w:t>
      </w:r>
      <w:r>
        <w:rPr/>
        <w:t>元。</w:t>
      </w:r>
    </w:p>
    <w:p>
      <w:pPr>
        <w:pStyle w:val="BodyText"/>
        <w:spacing w:line="240" w:lineRule="auto" w:before="197"/>
        <w:ind w:left="102" w:right="0"/>
        <w:jc w:val="left"/>
      </w:pPr>
      <w:r>
        <w:rPr>
          <w:rFonts w:ascii="Arial Narrow" w:hAnsi="Arial Narrow" w:cs="Arial Narrow" w:eastAsia="Arial Narrow" w:hint="default"/>
        </w:rPr>
        <w:t>14</w:t>
      </w:r>
      <w:r>
        <w:rPr/>
        <w:t>、商誉</w:t>
      </w:r>
    </w:p>
    <w:p>
      <w:pPr>
        <w:spacing w:line="240" w:lineRule="auto" w:before="13"/>
        <w:rPr>
          <w:rFonts w:ascii="宋体" w:hAnsi="宋体" w:cs="宋体" w:eastAsia="宋体" w:hint="default"/>
          <w:sz w:val="17"/>
          <w:szCs w:val="17"/>
        </w:rPr>
      </w:pPr>
    </w:p>
    <w:tbl>
      <w:tblPr>
        <w:tblW w:w="0" w:type="auto"/>
        <w:jc w:val="left"/>
        <w:tblInd w:w="414" w:type="dxa"/>
        <w:tblLayout w:type="fixed"/>
        <w:tblCellMar>
          <w:top w:w="0" w:type="dxa"/>
          <w:left w:w="0" w:type="dxa"/>
          <w:bottom w:w="0" w:type="dxa"/>
          <w:right w:w="0" w:type="dxa"/>
        </w:tblCellMar>
        <w:tblLook w:val="01E0"/>
      </w:tblPr>
      <w:tblGrid>
        <w:gridCol w:w="2534"/>
        <w:gridCol w:w="1458"/>
        <w:gridCol w:w="1288"/>
        <w:gridCol w:w="1273"/>
        <w:gridCol w:w="1458"/>
        <w:gridCol w:w="1271"/>
      </w:tblGrid>
      <w:tr>
        <w:trPr>
          <w:trHeight w:val="638" w:hRule="exact"/>
        </w:trPr>
        <w:tc>
          <w:tcPr>
            <w:tcW w:w="2534"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b/>
                <w:bCs/>
                <w:spacing w:val="8"/>
                <w:sz w:val="24"/>
                <w:szCs w:val="24"/>
              </w:rPr>
              <w:t>被投资单位名称或形</w:t>
            </w:r>
            <w:r>
              <w:rPr>
                <w:rFonts w:ascii="宋体" w:hAnsi="宋体" w:cs="宋体" w:eastAsia="宋体" w:hint="default"/>
                <w:spacing w:val="8"/>
                <w:sz w:val="24"/>
                <w:szCs w:val="24"/>
              </w:rPr>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成商誉的事项</w:t>
            </w:r>
            <w:r>
              <w:rPr>
                <w:rFonts w:ascii="宋体" w:hAnsi="宋体" w:cs="宋体" w:eastAsia="宋体" w:hint="default"/>
                <w:sz w:val="24"/>
                <w:szCs w:val="24"/>
              </w:rPr>
            </w:r>
          </w:p>
        </w:tc>
        <w:tc>
          <w:tcPr>
            <w:tcW w:w="1458" w:type="dxa"/>
            <w:tcBorders>
              <w:top w:val="single" w:sz="8" w:space="0" w:color="000000"/>
              <w:left w:val="nil" w:sz="6" w:space="0" w:color="auto"/>
              <w:bottom w:val="single" w:sz="4" w:space="0" w:color="000000"/>
              <w:right w:val="nil" w:sz="6" w:space="0" w:color="auto"/>
            </w:tcBorders>
          </w:tcPr>
          <w:p>
            <w:pPr>
              <w:pStyle w:val="TableParagraph"/>
              <w:spacing w:line="240" w:lineRule="auto" w:before="115"/>
              <w:ind w:right="120"/>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1288" w:type="dxa"/>
            <w:tcBorders>
              <w:top w:val="single" w:sz="8" w:space="0" w:color="000000"/>
              <w:left w:val="nil" w:sz="6" w:space="0" w:color="auto"/>
              <w:bottom w:val="single" w:sz="4" w:space="0" w:color="000000"/>
              <w:right w:val="nil" w:sz="6" w:space="0" w:color="auto"/>
            </w:tcBorders>
          </w:tcPr>
          <w:p>
            <w:pPr>
              <w:pStyle w:val="TableParagraph"/>
              <w:spacing w:line="240" w:lineRule="auto" w:before="115"/>
              <w:ind w:right="199"/>
              <w:jc w:val="righ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273" w:type="dxa"/>
            <w:tcBorders>
              <w:top w:val="single" w:sz="8" w:space="0" w:color="000000"/>
              <w:left w:val="nil" w:sz="6" w:space="0" w:color="auto"/>
              <w:bottom w:val="single" w:sz="4" w:space="0" w:color="000000"/>
              <w:right w:val="nil" w:sz="6" w:space="0" w:color="auto"/>
            </w:tcBorders>
          </w:tcPr>
          <w:p>
            <w:pPr>
              <w:pStyle w:val="TableParagraph"/>
              <w:spacing w:line="240" w:lineRule="auto" w:before="115"/>
              <w:ind w:right="106"/>
              <w:jc w:val="righ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458" w:type="dxa"/>
            <w:tcBorders>
              <w:top w:val="single" w:sz="8" w:space="0" w:color="000000"/>
              <w:left w:val="nil" w:sz="6" w:space="0" w:color="auto"/>
              <w:bottom w:val="single" w:sz="4" w:space="0" w:color="000000"/>
              <w:right w:val="nil" w:sz="6" w:space="0" w:color="auto"/>
            </w:tcBorders>
          </w:tcPr>
          <w:p>
            <w:pPr>
              <w:pStyle w:val="TableParagraph"/>
              <w:spacing w:line="240" w:lineRule="auto" w:before="115"/>
              <w:ind w:right="196"/>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1271" w:type="dxa"/>
            <w:tcBorders>
              <w:top w:val="single" w:sz="8" w:space="0" w:color="000000"/>
              <w:left w:val="nil" w:sz="6" w:space="0" w:color="auto"/>
              <w:bottom w:val="single" w:sz="4" w:space="0" w:color="000000"/>
              <w:right w:val="nil" w:sz="6" w:space="0" w:color="auto"/>
            </w:tcBorders>
          </w:tcPr>
          <w:p>
            <w:pPr>
              <w:pStyle w:val="TableParagraph"/>
              <w:spacing w:line="274" w:lineRule="exact"/>
              <w:ind w:left="198" w:right="0" w:firstLine="482"/>
              <w:jc w:val="left"/>
              <w:rPr>
                <w:rFonts w:ascii="宋体" w:hAnsi="宋体" w:cs="宋体" w:eastAsia="宋体" w:hint="default"/>
                <w:sz w:val="24"/>
                <w:szCs w:val="24"/>
              </w:rPr>
            </w:pPr>
            <w:r>
              <w:rPr>
                <w:rFonts w:ascii="宋体" w:hAnsi="宋体" w:cs="宋体" w:eastAsia="宋体" w:hint="default"/>
                <w:b/>
                <w:bCs/>
                <w:sz w:val="24"/>
                <w:szCs w:val="24"/>
              </w:rPr>
              <w:t>期末</w:t>
            </w:r>
            <w:r>
              <w:rPr>
                <w:rFonts w:ascii="宋体" w:hAnsi="宋体" w:cs="宋体" w:eastAsia="宋体" w:hint="default"/>
                <w:sz w:val="24"/>
                <w:szCs w:val="24"/>
              </w:rPr>
            </w:r>
          </w:p>
          <w:p>
            <w:pPr>
              <w:pStyle w:val="TableParagraph"/>
              <w:spacing w:line="312" w:lineRule="exact"/>
              <w:ind w:left="198" w:right="0"/>
              <w:jc w:val="left"/>
              <w:rPr>
                <w:rFonts w:ascii="宋体" w:hAnsi="宋体" w:cs="宋体" w:eastAsia="宋体" w:hint="default"/>
                <w:sz w:val="24"/>
                <w:szCs w:val="24"/>
              </w:rPr>
            </w:pPr>
            <w:r>
              <w:rPr>
                <w:rFonts w:ascii="宋体" w:hAnsi="宋体" w:cs="宋体" w:eastAsia="宋体" w:hint="default"/>
                <w:b/>
                <w:bCs/>
                <w:sz w:val="24"/>
                <w:szCs w:val="24"/>
              </w:rPr>
              <w:t>减值准备</w:t>
            </w:r>
            <w:r>
              <w:rPr>
                <w:rFonts w:ascii="宋体" w:hAnsi="宋体" w:cs="宋体" w:eastAsia="宋体" w:hint="default"/>
                <w:sz w:val="24"/>
                <w:szCs w:val="24"/>
              </w:rPr>
            </w:r>
          </w:p>
        </w:tc>
      </w:tr>
      <w:tr>
        <w:trPr>
          <w:trHeight w:val="413" w:hRule="exact"/>
        </w:trPr>
        <w:tc>
          <w:tcPr>
            <w:tcW w:w="2534"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sz w:val="24"/>
                <w:szCs w:val="24"/>
              </w:rPr>
              <w:t>日本超图株式会社</w:t>
            </w:r>
          </w:p>
        </w:tc>
        <w:tc>
          <w:tcPr>
            <w:tcW w:w="1458"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20"/>
              <w:jc w:val="right"/>
              <w:rPr>
                <w:rFonts w:ascii="Arial Narrow" w:hAnsi="Arial Narrow" w:cs="Arial Narrow" w:eastAsia="Arial Narrow" w:hint="default"/>
                <w:sz w:val="24"/>
                <w:szCs w:val="24"/>
              </w:rPr>
            </w:pPr>
            <w:r>
              <w:rPr>
                <w:rFonts w:ascii="Arial Narrow"/>
                <w:spacing w:val="-1"/>
                <w:sz w:val="24"/>
              </w:rPr>
              <w:t>1,312,138.80</w:t>
            </w:r>
          </w:p>
        </w:tc>
        <w:tc>
          <w:tcPr>
            <w:tcW w:w="1288"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98"/>
              <w:jc w:val="right"/>
              <w:rPr>
                <w:rFonts w:ascii="Arial Narrow" w:hAnsi="Arial Narrow" w:cs="Arial Narrow" w:eastAsia="Arial Narrow" w:hint="default"/>
                <w:sz w:val="24"/>
                <w:szCs w:val="24"/>
              </w:rPr>
            </w:pPr>
            <w:r>
              <w:rPr>
                <w:rFonts w:ascii="Arial Narrow"/>
                <w:sz w:val="24"/>
              </w:rPr>
              <w:t>-</w:t>
            </w:r>
          </w:p>
        </w:tc>
        <w:tc>
          <w:tcPr>
            <w:tcW w:w="1273"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05"/>
              <w:jc w:val="right"/>
              <w:rPr>
                <w:rFonts w:ascii="Arial Narrow" w:hAnsi="Arial Narrow" w:cs="Arial Narrow" w:eastAsia="Arial Narrow" w:hint="default"/>
                <w:sz w:val="24"/>
                <w:szCs w:val="24"/>
              </w:rPr>
            </w:pPr>
            <w:r>
              <w:rPr>
                <w:rFonts w:ascii="Arial Narrow"/>
                <w:sz w:val="24"/>
              </w:rPr>
              <w:t>-</w:t>
            </w:r>
          </w:p>
        </w:tc>
        <w:tc>
          <w:tcPr>
            <w:tcW w:w="1458"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98"/>
              <w:jc w:val="right"/>
              <w:rPr>
                <w:rFonts w:ascii="Arial Narrow" w:hAnsi="Arial Narrow" w:cs="Arial Narrow" w:eastAsia="Arial Narrow" w:hint="default"/>
                <w:sz w:val="24"/>
                <w:szCs w:val="24"/>
              </w:rPr>
            </w:pPr>
            <w:r>
              <w:rPr>
                <w:rFonts w:ascii="Arial Narrow"/>
                <w:spacing w:val="-1"/>
                <w:sz w:val="24"/>
              </w:rPr>
              <w:t>1,312,138.80</w:t>
            </w:r>
          </w:p>
        </w:tc>
        <w:tc>
          <w:tcPr>
            <w:tcW w:w="1271"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05"/>
              <w:jc w:val="right"/>
              <w:rPr>
                <w:rFonts w:ascii="Arial Narrow" w:hAnsi="Arial Narrow" w:cs="Arial Narrow" w:eastAsia="Arial Narrow" w:hint="default"/>
                <w:sz w:val="24"/>
                <w:szCs w:val="24"/>
              </w:rPr>
            </w:pPr>
            <w:r>
              <w:rPr>
                <w:rFonts w:ascii="Arial Narrow"/>
                <w:sz w:val="24"/>
              </w:rPr>
              <w:t>-</w:t>
            </w:r>
          </w:p>
        </w:tc>
      </w:tr>
    </w:tbl>
    <w:p>
      <w:pPr>
        <w:pStyle w:val="BodyText"/>
        <w:spacing w:line="232" w:lineRule="auto" w:before="88"/>
        <w:ind w:left="522" w:right="427"/>
        <w:jc w:val="both"/>
      </w:pPr>
      <w:r>
        <w:rPr>
          <w:spacing w:val="-2"/>
        </w:rPr>
        <w:t>说明：本公司采用预计未来现金流现值的方法计算包含商誉的资产组的可收回金额。本</w:t>
      </w:r>
      <w:r>
        <w:rPr>
          <w:spacing w:val="-98"/>
        </w:rPr>
        <w:t> </w:t>
      </w:r>
      <w:r>
        <w:rPr>
          <w:spacing w:val="-98"/>
        </w:rPr>
      </w:r>
      <w:r>
        <w:rPr/>
        <w:t>公司根据管理层批准的财务预算预计未来</w:t>
      </w:r>
      <w:r>
        <w:rPr>
          <w:spacing w:val="-54"/>
        </w:rPr>
        <w:t> </w:t>
      </w:r>
      <w:r>
        <w:rPr>
          <w:rFonts w:ascii="Arial Narrow" w:hAnsi="Arial Narrow" w:cs="Arial Narrow" w:eastAsia="Arial Narrow" w:hint="default"/>
        </w:rPr>
        <w:t>5</w:t>
      </w:r>
      <w:r>
        <w:rPr>
          <w:rFonts w:ascii="Arial Narrow" w:hAnsi="Arial Narrow" w:cs="Arial Narrow" w:eastAsia="Arial Narrow" w:hint="default"/>
          <w:spacing w:val="11"/>
        </w:rPr>
        <w:t> </w:t>
      </w:r>
      <w:r>
        <w:rPr>
          <w:spacing w:val="-3"/>
        </w:rPr>
        <w:t>年内现金流量。管理层根据过往表现及其对</w:t>
      </w:r>
      <w:r>
        <w:rPr/>
        <w:t> </w:t>
      </w:r>
      <w:r>
        <w:rPr>
          <w:spacing w:val="-2"/>
        </w:rPr>
        <w:t>市场发展的预期编制上述财务预算。计算未来现金流现值所采用的折现率为包含商誉的</w:t>
      </w:r>
      <w:r>
        <w:rPr>
          <w:spacing w:val="-100"/>
        </w:rPr>
        <w:t> </w:t>
      </w:r>
      <w:r>
        <w:rPr>
          <w:spacing w:val="-100"/>
        </w:rPr>
      </w:r>
      <w:r>
        <w:rPr>
          <w:spacing w:val="1"/>
        </w:rPr>
        <w:t>资产组的加权平均资本成本，本期为</w:t>
      </w:r>
      <w:r>
        <w:rPr>
          <w:spacing w:val="14"/>
        </w:rPr>
        <w:t> </w:t>
      </w:r>
      <w:r>
        <w:rPr>
          <w:rFonts w:ascii="Arial Narrow" w:hAnsi="Arial Narrow" w:cs="Arial Narrow" w:eastAsia="Arial Narrow" w:hint="default"/>
          <w:spacing w:val="-4"/>
        </w:rPr>
        <w:t>17.62%</w:t>
      </w:r>
      <w:r>
        <w:rPr>
          <w:spacing w:val="-4"/>
        </w:rPr>
        <w:t>（上期：</w:t>
      </w:r>
      <w:r>
        <w:rPr>
          <w:rFonts w:ascii="Arial Narrow" w:hAnsi="Arial Narrow" w:cs="Arial Narrow" w:eastAsia="Arial Narrow" w:hint="default"/>
          <w:spacing w:val="-4"/>
        </w:rPr>
        <w:t>14.07%</w:t>
      </w:r>
      <w:r>
        <w:rPr>
          <w:spacing w:val="-4"/>
        </w:rPr>
        <w:t>），已反映了相对于有关分</w:t>
      </w:r>
      <w:r>
        <w:rPr/>
        <w:t> 部的风险。根据减值测试的结果，本期及上期期末商誉均未发生减值。</w:t>
      </w:r>
    </w:p>
    <w:p>
      <w:pPr>
        <w:pStyle w:val="BodyText"/>
        <w:spacing w:line="240" w:lineRule="auto" w:before="212"/>
        <w:ind w:left="102" w:right="0"/>
        <w:jc w:val="left"/>
      </w:pPr>
      <w:r>
        <w:rPr>
          <w:rFonts w:ascii="Arial Narrow" w:hAnsi="Arial Narrow" w:cs="Arial Narrow" w:eastAsia="Arial Narrow" w:hint="default"/>
        </w:rPr>
        <w:t>15</w:t>
      </w:r>
      <w:r>
        <w:rPr/>
        <w:t>、长期待摊费用</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1305"/>
        <w:gridCol w:w="1428"/>
        <w:gridCol w:w="1352"/>
        <w:gridCol w:w="1260"/>
        <w:gridCol w:w="1348"/>
        <w:gridCol w:w="1511"/>
        <w:gridCol w:w="1182"/>
      </w:tblGrid>
      <w:tr>
        <w:trPr>
          <w:trHeight w:val="559" w:hRule="exact"/>
        </w:trPr>
        <w:tc>
          <w:tcPr>
            <w:tcW w:w="1305" w:type="dxa"/>
            <w:tcBorders>
              <w:top w:val="single" w:sz="8"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102"/>
              <w:ind w:left="10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428"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229"/>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352"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231"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260"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185" w:right="0"/>
              <w:jc w:val="left"/>
              <w:rPr>
                <w:rFonts w:ascii="宋体" w:hAnsi="宋体" w:cs="宋体" w:eastAsia="宋体" w:hint="default"/>
                <w:sz w:val="21"/>
                <w:szCs w:val="21"/>
              </w:rPr>
            </w:pPr>
            <w:r>
              <w:rPr>
                <w:rFonts w:ascii="宋体" w:hAnsi="宋体" w:cs="宋体" w:eastAsia="宋体" w:hint="default"/>
                <w:b/>
                <w:bCs/>
                <w:sz w:val="21"/>
                <w:szCs w:val="21"/>
              </w:rPr>
              <w:t>本期摊销</w:t>
            </w:r>
            <w:r>
              <w:rPr>
                <w:rFonts w:ascii="宋体" w:hAnsi="宋体" w:cs="宋体" w:eastAsia="宋体" w:hint="default"/>
                <w:sz w:val="21"/>
                <w:szCs w:val="21"/>
              </w:rPr>
            </w:r>
          </w:p>
        </w:tc>
        <w:tc>
          <w:tcPr>
            <w:tcW w:w="1348"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270"/>
              <w:jc w:val="right"/>
              <w:rPr>
                <w:rFonts w:ascii="宋体" w:hAnsi="宋体" w:cs="宋体" w:eastAsia="宋体" w:hint="default"/>
                <w:sz w:val="21"/>
                <w:szCs w:val="21"/>
              </w:rPr>
            </w:pPr>
            <w:r>
              <w:rPr>
                <w:rFonts w:ascii="宋体" w:hAnsi="宋体" w:cs="宋体" w:eastAsia="宋体" w:hint="default"/>
                <w:b/>
                <w:bCs/>
                <w:sz w:val="21"/>
                <w:szCs w:val="21"/>
              </w:rPr>
              <w:t>其他减少</w:t>
            </w:r>
            <w:r>
              <w:rPr>
                <w:rFonts w:ascii="宋体" w:hAnsi="宋体" w:cs="宋体" w:eastAsia="宋体" w:hint="default"/>
                <w:sz w:val="21"/>
                <w:szCs w:val="21"/>
              </w:rPr>
            </w:r>
          </w:p>
        </w:tc>
        <w:tc>
          <w:tcPr>
            <w:tcW w:w="1511"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230"/>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182"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439" w:right="0" w:hanging="209"/>
              <w:jc w:val="left"/>
              <w:rPr>
                <w:rFonts w:ascii="宋体" w:hAnsi="宋体" w:cs="宋体" w:eastAsia="宋体" w:hint="default"/>
                <w:sz w:val="21"/>
                <w:szCs w:val="21"/>
              </w:rPr>
            </w:pPr>
            <w:r>
              <w:rPr>
                <w:rFonts w:ascii="宋体" w:hAnsi="宋体" w:cs="宋体" w:eastAsia="宋体" w:hint="default"/>
                <w:b/>
                <w:bCs/>
                <w:sz w:val="21"/>
                <w:szCs w:val="21"/>
              </w:rPr>
              <w:t>其他减少</w:t>
            </w:r>
            <w:r>
              <w:rPr>
                <w:rFonts w:ascii="宋体" w:hAnsi="宋体" w:cs="宋体" w:eastAsia="宋体" w:hint="default"/>
                <w:sz w:val="21"/>
                <w:szCs w:val="21"/>
              </w:rPr>
            </w:r>
          </w:p>
          <w:p>
            <w:pPr>
              <w:pStyle w:val="TableParagraph"/>
              <w:spacing w:line="274" w:lineRule="exact"/>
              <w:ind w:left="439" w:right="0"/>
              <w:jc w:val="left"/>
              <w:rPr>
                <w:rFonts w:ascii="宋体" w:hAnsi="宋体" w:cs="宋体" w:eastAsia="宋体" w:hint="default"/>
                <w:sz w:val="21"/>
                <w:szCs w:val="21"/>
              </w:rPr>
            </w:pPr>
            <w:r>
              <w:rPr>
                <w:rFonts w:ascii="宋体" w:hAnsi="宋体" w:cs="宋体" w:eastAsia="宋体" w:hint="default"/>
                <w:b/>
                <w:bCs/>
                <w:sz w:val="21"/>
                <w:szCs w:val="21"/>
              </w:rPr>
              <w:t>的原因</w:t>
            </w:r>
            <w:r>
              <w:rPr>
                <w:rFonts w:ascii="宋体" w:hAnsi="宋体" w:cs="宋体" w:eastAsia="宋体" w:hint="default"/>
                <w:sz w:val="21"/>
                <w:szCs w:val="21"/>
              </w:rPr>
            </w:r>
          </w:p>
        </w:tc>
      </w:tr>
      <w:tr>
        <w:trPr>
          <w:trHeight w:val="413" w:hRule="exact"/>
        </w:trPr>
        <w:tc>
          <w:tcPr>
            <w:tcW w:w="1305"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428"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29"/>
              <w:jc w:val="right"/>
              <w:rPr>
                <w:rFonts w:ascii="Arial Narrow" w:hAnsi="Arial Narrow" w:cs="Arial Narrow" w:eastAsia="Arial Narrow" w:hint="default"/>
                <w:sz w:val="21"/>
                <w:szCs w:val="21"/>
              </w:rPr>
            </w:pPr>
            <w:r>
              <w:rPr>
                <w:rFonts w:ascii="Arial Narrow"/>
                <w:w w:val="100"/>
                <w:sz w:val="21"/>
              </w:rPr>
              <w:t>-</w:t>
            </w:r>
          </w:p>
        </w:tc>
        <w:tc>
          <w:tcPr>
            <w:tcW w:w="135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370" w:right="0"/>
              <w:jc w:val="left"/>
              <w:rPr>
                <w:rFonts w:ascii="Arial Narrow" w:hAnsi="Arial Narrow" w:cs="Arial Narrow" w:eastAsia="Arial Narrow" w:hint="default"/>
                <w:sz w:val="21"/>
                <w:szCs w:val="21"/>
              </w:rPr>
            </w:pPr>
            <w:r>
              <w:rPr>
                <w:rFonts w:ascii="Arial Narrow"/>
                <w:sz w:val="21"/>
              </w:rPr>
              <w:t>1,590,766.</w:t>
            </w:r>
          </w:p>
        </w:tc>
        <w:tc>
          <w:tcPr>
            <w:tcW w:w="1260"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166" w:right="0"/>
              <w:jc w:val="left"/>
              <w:rPr>
                <w:rFonts w:ascii="Arial Narrow" w:hAnsi="Arial Narrow" w:cs="Arial Narrow" w:eastAsia="Arial Narrow" w:hint="default"/>
                <w:sz w:val="21"/>
                <w:szCs w:val="21"/>
              </w:rPr>
            </w:pPr>
            <w:r>
              <w:rPr>
                <w:rFonts w:ascii="Arial Narrow"/>
                <w:sz w:val="21"/>
              </w:rPr>
              <w:t>207,774.94</w:t>
            </w:r>
          </w:p>
        </w:tc>
        <w:tc>
          <w:tcPr>
            <w:tcW w:w="1348"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73"/>
              <w:jc w:val="right"/>
              <w:rPr>
                <w:rFonts w:ascii="Arial Narrow" w:hAnsi="Arial Narrow" w:cs="Arial Narrow" w:eastAsia="Arial Narrow" w:hint="default"/>
                <w:sz w:val="21"/>
                <w:szCs w:val="21"/>
              </w:rPr>
            </w:pPr>
            <w:r>
              <w:rPr>
                <w:rFonts w:ascii="Arial Narrow"/>
                <w:w w:val="100"/>
                <w:sz w:val="21"/>
              </w:rPr>
              <w:t>-</w:t>
            </w:r>
          </w:p>
        </w:tc>
        <w:tc>
          <w:tcPr>
            <w:tcW w:w="1511"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28"/>
              <w:jc w:val="right"/>
              <w:rPr>
                <w:rFonts w:ascii="Arial Narrow" w:hAnsi="Arial Narrow" w:cs="Arial Narrow" w:eastAsia="Arial Narrow" w:hint="default"/>
                <w:sz w:val="21"/>
                <w:szCs w:val="21"/>
              </w:rPr>
            </w:pPr>
            <w:r>
              <w:rPr>
                <w:rFonts w:ascii="Arial Narrow"/>
                <w:spacing w:val="-1"/>
                <w:sz w:val="21"/>
              </w:rPr>
              <w:t>1,382,991.90</w:t>
            </w:r>
            <w:r>
              <w:rPr>
                <w:rFonts w:ascii="Arial Narrow"/>
                <w:sz w:val="21"/>
              </w:rPr>
            </w:r>
          </w:p>
        </w:tc>
        <w:tc>
          <w:tcPr>
            <w:tcW w:w="118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w w:val="100"/>
                <w:sz w:val="21"/>
              </w:rPr>
              <w:t>-</w:t>
            </w:r>
          </w:p>
        </w:tc>
      </w:tr>
    </w:tbl>
    <w:p>
      <w:pPr>
        <w:pStyle w:val="BodyText"/>
        <w:spacing w:line="240" w:lineRule="auto" w:before="80"/>
        <w:ind w:left="102" w:right="0"/>
        <w:jc w:val="left"/>
      </w:pPr>
      <w:r>
        <w:rPr>
          <w:rFonts w:ascii="Arial Narrow" w:hAnsi="Arial Narrow" w:cs="Arial Narrow" w:eastAsia="Arial Narrow" w:hint="default"/>
        </w:rPr>
        <w:t>16</w:t>
      </w:r>
      <w:r>
        <w:rPr/>
        <w:t>、递延所得税资产</w:t>
      </w:r>
    </w:p>
    <w:p>
      <w:pPr>
        <w:pStyle w:val="BodyText"/>
        <w:spacing w:line="240" w:lineRule="auto" w:before="197"/>
        <w:ind w:left="519" w:right="0"/>
        <w:jc w:val="left"/>
      </w:pPr>
      <w:r>
        <w:rPr/>
        <w:t>（</w:t>
      </w:r>
      <w:r>
        <w:rPr>
          <w:rFonts w:ascii="Arial Narrow" w:hAnsi="Arial Narrow" w:cs="Arial Narrow" w:eastAsia="Arial Narrow" w:hint="default"/>
        </w:rPr>
        <w:t>1</w:t>
      </w:r>
      <w:r>
        <w:rPr/>
        <w:t>）已确认递延所得税资产</w:t>
      </w:r>
    </w:p>
    <w:p>
      <w:pPr>
        <w:spacing w:line="240" w:lineRule="auto" w:before="2"/>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3081"/>
        <w:gridCol w:w="4153"/>
        <w:gridCol w:w="2011"/>
      </w:tblGrid>
      <w:tr>
        <w:trPr>
          <w:trHeight w:val="391" w:hRule="exact"/>
        </w:trPr>
        <w:tc>
          <w:tcPr>
            <w:tcW w:w="308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4153"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2250"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011"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1180"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bl>
    <w:p>
      <w:pPr>
        <w:spacing w:after="0" w:line="307" w:lineRule="exact"/>
        <w:jc w:val="left"/>
        <w:rPr>
          <w:rFonts w:ascii="宋体" w:hAnsi="宋体" w:cs="宋体" w:eastAsia="宋体" w:hint="default"/>
          <w:sz w:val="24"/>
          <w:szCs w:val="24"/>
        </w:rPr>
        <w:sectPr>
          <w:pgSz w:w="11900" w:h="16850"/>
          <w:pgMar w:header="0" w:footer="919" w:top="1640" w:bottom="1100" w:left="1180" w:right="700"/>
        </w:sectPr>
      </w:pPr>
    </w:p>
    <w:p>
      <w:pPr>
        <w:spacing w:line="240" w:lineRule="auto" w:before="3"/>
        <w:rPr>
          <w:rFonts w:ascii="宋体" w:hAnsi="宋体" w:cs="宋体" w:eastAsia="宋体" w:hint="default"/>
          <w:sz w:val="5"/>
          <w:szCs w:val="5"/>
        </w:rPr>
      </w:pPr>
    </w:p>
    <w:tbl>
      <w:tblPr>
        <w:tblW w:w="0" w:type="auto"/>
        <w:jc w:val="left"/>
        <w:tblInd w:w="454" w:type="dxa"/>
        <w:tblLayout w:type="fixed"/>
        <w:tblCellMar>
          <w:top w:w="0" w:type="dxa"/>
          <w:left w:w="0" w:type="dxa"/>
          <w:bottom w:w="0" w:type="dxa"/>
          <w:right w:w="0" w:type="dxa"/>
        </w:tblCellMar>
        <w:tblLook w:val="01E0"/>
      </w:tblPr>
      <w:tblGrid>
        <w:gridCol w:w="3226"/>
        <w:gridCol w:w="3794"/>
        <w:gridCol w:w="2224"/>
      </w:tblGrid>
      <w:tr>
        <w:trPr>
          <w:trHeight w:val="496" w:hRule="exact"/>
        </w:trPr>
        <w:tc>
          <w:tcPr>
            <w:tcW w:w="3226"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379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964"/>
              <w:jc w:val="right"/>
              <w:rPr>
                <w:rFonts w:ascii="Arial Narrow" w:hAnsi="Arial Narrow" w:cs="Arial Narrow" w:eastAsia="Arial Narrow" w:hint="default"/>
                <w:sz w:val="24"/>
                <w:szCs w:val="24"/>
              </w:rPr>
            </w:pPr>
            <w:r>
              <w:rPr>
                <w:rFonts w:ascii="Arial Narrow"/>
                <w:spacing w:val="-1"/>
                <w:sz w:val="24"/>
              </w:rPr>
              <w:t>3,556,160.96</w:t>
            </w:r>
          </w:p>
        </w:tc>
        <w:tc>
          <w:tcPr>
            <w:tcW w:w="222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spacing w:val="-1"/>
                <w:sz w:val="24"/>
              </w:rPr>
              <w:t>2,415,748.79</w:t>
            </w:r>
          </w:p>
        </w:tc>
      </w:tr>
      <w:tr>
        <w:trPr>
          <w:trHeight w:val="396" w:hRule="exact"/>
        </w:trPr>
        <w:tc>
          <w:tcPr>
            <w:tcW w:w="3226"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存货跌价准备</w:t>
            </w:r>
          </w:p>
        </w:tc>
        <w:tc>
          <w:tcPr>
            <w:tcW w:w="37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64"/>
              <w:jc w:val="right"/>
              <w:rPr>
                <w:rFonts w:ascii="Arial Narrow" w:hAnsi="Arial Narrow" w:cs="Arial Narrow" w:eastAsia="Arial Narrow" w:hint="default"/>
                <w:sz w:val="24"/>
                <w:szCs w:val="24"/>
              </w:rPr>
            </w:pPr>
            <w:r>
              <w:rPr>
                <w:rFonts w:ascii="Arial Narrow"/>
                <w:spacing w:val="-1"/>
                <w:sz w:val="24"/>
              </w:rPr>
              <w:t>400,846.27</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z w:val="24"/>
              </w:rPr>
              <w:t>-</w:t>
            </w:r>
          </w:p>
        </w:tc>
      </w:tr>
      <w:tr>
        <w:trPr>
          <w:trHeight w:val="404" w:hRule="exact"/>
        </w:trPr>
        <w:tc>
          <w:tcPr>
            <w:tcW w:w="3226"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1"/>
                <w:sz w:val="24"/>
                <w:szCs w:val="24"/>
              </w:rPr>
              <w:t> </w:t>
            </w:r>
            <w:r>
              <w:rPr>
                <w:rFonts w:ascii="宋体" w:hAnsi="宋体" w:cs="宋体" w:eastAsia="宋体" w:hint="default"/>
                <w:b/>
                <w:bCs/>
                <w:sz w:val="24"/>
                <w:szCs w:val="24"/>
              </w:rPr>
              <w:t>计</w:t>
            </w:r>
            <w:r>
              <w:rPr>
                <w:rFonts w:ascii="宋体" w:hAnsi="宋体" w:cs="宋体" w:eastAsia="宋体" w:hint="default"/>
                <w:sz w:val="24"/>
                <w:szCs w:val="24"/>
              </w:rPr>
            </w:r>
          </w:p>
        </w:tc>
        <w:tc>
          <w:tcPr>
            <w:tcW w:w="3794"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964"/>
              <w:jc w:val="right"/>
              <w:rPr>
                <w:rFonts w:ascii="Arial Narrow" w:hAnsi="Arial Narrow" w:cs="Arial Narrow" w:eastAsia="Arial Narrow" w:hint="default"/>
                <w:sz w:val="24"/>
                <w:szCs w:val="24"/>
              </w:rPr>
            </w:pPr>
            <w:r>
              <w:rPr>
                <w:rFonts w:ascii="Arial Narrow"/>
                <w:b/>
                <w:spacing w:val="-1"/>
                <w:sz w:val="24"/>
              </w:rPr>
              <w:t>3,957,007.23</w:t>
            </w:r>
            <w:r>
              <w:rPr>
                <w:rFonts w:ascii="Arial Narrow"/>
                <w:spacing w:val="-1"/>
                <w:sz w:val="24"/>
              </w:rPr>
            </w:r>
          </w:p>
        </w:tc>
        <w:tc>
          <w:tcPr>
            <w:tcW w:w="2224"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b/>
                <w:spacing w:val="-1"/>
                <w:sz w:val="24"/>
              </w:rPr>
              <w:t>2,415,748.79</w:t>
            </w:r>
            <w:r>
              <w:rPr>
                <w:rFonts w:ascii="Arial Narrow"/>
                <w:spacing w:val="-1"/>
                <w:sz w:val="24"/>
              </w:rPr>
            </w:r>
          </w:p>
        </w:tc>
      </w:tr>
    </w:tbl>
    <w:p>
      <w:pPr>
        <w:pStyle w:val="BodyText"/>
        <w:spacing w:line="240" w:lineRule="auto" w:before="79"/>
        <w:ind w:left="559" w:right="4177"/>
        <w:jc w:val="left"/>
      </w:pPr>
      <w:r>
        <w:rPr/>
        <w:pict>
          <v:group style="position:absolute;margin-left:62.664001pt;margin-top:-65.314369pt;width:477.25pt;height:.1pt;mso-position-horizontal-relative:page;mso-position-vertical-relative:paragraph;z-index:-764800" coordorigin="1253,-1306" coordsize="9545,2">
            <v:shape style="position:absolute;left:1253;top:-1306;width:9545;height:2" coordorigin="1253,-1306" coordsize="9545,0" path="m1253,-1306l10798,-1306e" filled="false" stroked="true" strokeweight=".72pt" strokecolor="#000000">
              <v:path arrowok="t"/>
            </v:shape>
            <w10:wrap type="none"/>
          </v:group>
        </w:pict>
      </w:r>
      <w:r>
        <w:rPr/>
        <w:t>（</w:t>
      </w:r>
      <w:r>
        <w:rPr>
          <w:rFonts w:ascii="Arial Narrow" w:hAnsi="Arial Narrow" w:cs="Arial Narrow" w:eastAsia="Arial Narrow" w:hint="default"/>
        </w:rPr>
        <w:t>2</w:t>
      </w:r>
      <w:r>
        <w:rPr/>
        <w:t>）未确认递延所得税资产明细</w:t>
      </w:r>
    </w:p>
    <w:p>
      <w:pPr>
        <w:spacing w:line="240" w:lineRule="auto" w:before="2"/>
        <w:rPr>
          <w:rFonts w:ascii="宋体" w:hAnsi="宋体" w:cs="宋体" w:eastAsia="宋体" w:hint="default"/>
          <w:sz w:val="18"/>
          <w:szCs w:val="18"/>
        </w:rPr>
      </w:pPr>
    </w:p>
    <w:tbl>
      <w:tblPr>
        <w:tblW w:w="0" w:type="auto"/>
        <w:jc w:val="left"/>
        <w:tblInd w:w="454" w:type="dxa"/>
        <w:tblLayout w:type="fixed"/>
        <w:tblCellMar>
          <w:top w:w="0" w:type="dxa"/>
          <w:left w:w="0" w:type="dxa"/>
          <w:bottom w:w="0" w:type="dxa"/>
          <w:right w:w="0" w:type="dxa"/>
        </w:tblCellMar>
        <w:tblLook w:val="01E0"/>
      </w:tblPr>
      <w:tblGrid>
        <w:gridCol w:w="3521"/>
        <w:gridCol w:w="3553"/>
        <w:gridCol w:w="2170"/>
      </w:tblGrid>
      <w:tr>
        <w:trPr>
          <w:trHeight w:val="394" w:hRule="exact"/>
        </w:trPr>
        <w:tc>
          <w:tcPr>
            <w:tcW w:w="352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553"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908"/>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217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396" w:hRule="exact"/>
        </w:trPr>
        <w:tc>
          <w:tcPr>
            <w:tcW w:w="3521" w:type="dxa"/>
            <w:tcBorders>
              <w:top w:val="single" w:sz="4" w:space="0" w:color="000000"/>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355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907"/>
              <w:jc w:val="right"/>
              <w:rPr>
                <w:rFonts w:ascii="Arial Narrow" w:hAnsi="Arial Narrow" w:cs="Arial Narrow" w:eastAsia="Arial Narrow" w:hint="default"/>
                <w:sz w:val="24"/>
                <w:szCs w:val="24"/>
              </w:rPr>
            </w:pPr>
            <w:r>
              <w:rPr>
                <w:rFonts w:ascii="Arial Narrow"/>
                <w:spacing w:val="-1"/>
                <w:sz w:val="24"/>
              </w:rPr>
              <w:t>27,468.79</w:t>
            </w:r>
          </w:p>
        </w:tc>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8"/>
              <w:jc w:val="right"/>
              <w:rPr>
                <w:rFonts w:ascii="Arial Narrow" w:hAnsi="Arial Narrow" w:cs="Arial Narrow" w:eastAsia="Arial Narrow" w:hint="default"/>
                <w:sz w:val="24"/>
                <w:szCs w:val="24"/>
              </w:rPr>
            </w:pPr>
            <w:r>
              <w:rPr>
                <w:rFonts w:ascii="Arial Narrow"/>
                <w:spacing w:val="-1"/>
                <w:sz w:val="24"/>
              </w:rPr>
              <w:t>1,634,644.75</w:t>
            </w:r>
          </w:p>
        </w:tc>
      </w:tr>
      <w:tr>
        <w:trPr>
          <w:trHeight w:val="397" w:hRule="exact"/>
        </w:trPr>
        <w:tc>
          <w:tcPr>
            <w:tcW w:w="3521"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3553"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908"/>
              <w:jc w:val="right"/>
              <w:rPr>
                <w:rFonts w:ascii="Arial Narrow" w:hAnsi="Arial Narrow" w:cs="Arial Narrow" w:eastAsia="Arial Narrow" w:hint="default"/>
                <w:sz w:val="24"/>
                <w:szCs w:val="24"/>
              </w:rPr>
            </w:pPr>
            <w:r>
              <w:rPr>
                <w:rFonts w:ascii="Arial Narrow"/>
                <w:spacing w:val="-1"/>
                <w:sz w:val="24"/>
              </w:rPr>
              <w:t>1,142,389.71</w:t>
            </w:r>
          </w:p>
        </w:tc>
        <w:tc>
          <w:tcPr>
            <w:tcW w:w="217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8"/>
              <w:jc w:val="right"/>
              <w:rPr>
                <w:rFonts w:ascii="Arial Narrow" w:hAnsi="Arial Narrow" w:cs="Arial Narrow" w:eastAsia="Arial Narrow" w:hint="default"/>
                <w:sz w:val="24"/>
                <w:szCs w:val="24"/>
              </w:rPr>
            </w:pPr>
            <w:r>
              <w:rPr>
                <w:rFonts w:ascii="Arial Narrow"/>
                <w:spacing w:val="-1"/>
                <w:sz w:val="24"/>
              </w:rPr>
              <w:t>1,654,373.62</w:t>
            </w:r>
          </w:p>
        </w:tc>
      </w:tr>
      <w:tr>
        <w:trPr>
          <w:trHeight w:val="403" w:hRule="exact"/>
        </w:trPr>
        <w:tc>
          <w:tcPr>
            <w:tcW w:w="3521"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2"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55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908"/>
              <w:jc w:val="right"/>
              <w:rPr>
                <w:rFonts w:ascii="Arial Narrow" w:hAnsi="Arial Narrow" w:cs="Arial Narrow" w:eastAsia="Arial Narrow" w:hint="default"/>
                <w:sz w:val="24"/>
                <w:szCs w:val="24"/>
              </w:rPr>
            </w:pPr>
            <w:r>
              <w:rPr>
                <w:rFonts w:ascii="Arial Narrow"/>
                <w:b/>
                <w:spacing w:val="-1"/>
                <w:sz w:val="24"/>
              </w:rPr>
              <w:t>1,169,858.50</w:t>
            </w:r>
            <w:r>
              <w:rPr>
                <w:rFonts w:ascii="Arial Narrow"/>
                <w:spacing w:val="-1"/>
                <w:sz w:val="24"/>
              </w:rPr>
            </w:r>
          </w:p>
        </w:tc>
        <w:tc>
          <w:tcPr>
            <w:tcW w:w="217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b/>
                <w:spacing w:val="-1"/>
                <w:sz w:val="24"/>
              </w:rPr>
              <w:t>3,289,018.37</w:t>
            </w:r>
            <w:r>
              <w:rPr>
                <w:rFonts w:ascii="Arial Narrow"/>
                <w:spacing w:val="-1"/>
                <w:sz w:val="24"/>
              </w:rPr>
            </w:r>
          </w:p>
        </w:tc>
      </w:tr>
    </w:tbl>
    <w:p>
      <w:pPr>
        <w:pStyle w:val="BodyText"/>
        <w:spacing w:line="312" w:lineRule="exact" w:before="110"/>
        <w:ind w:left="557" w:right="0" w:firstLine="2"/>
        <w:jc w:val="left"/>
      </w:pPr>
      <w:r>
        <w:rPr>
          <w:spacing w:val="-2"/>
        </w:rPr>
        <w:t>说明：由于未来能否获得足够的应纳税所得额具有不确定性，因此上述可抵扣暂时性差</w:t>
      </w:r>
      <w:r>
        <w:rPr>
          <w:spacing w:val="-100"/>
        </w:rPr>
        <w:t> </w:t>
      </w:r>
      <w:r>
        <w:rPr>
          <w:spacing w:val="-100"/>
        </w:rPr>
      </w:r>
      <w:r>
        <w:rPr/>
        <w:t>异和可抵扣亏损没有确认为递延所得税资产。</w:t>
      </w:r>
    </w:p>
    <w:p>
      <w:pPr>
        <w:pStyle w:val="BodyText"/>
        <w:spacing w:line="240" w:lineRule="auto" w:before="183"/>
        <w:ind w:left="559" w:right="1057"/>
        <w:jc w:val="left"/>
      </w:pPr>
      <w:r>
        <w:rPr/>
        <w:t>（</w:t>
      </w:r>
      <w:r>
        <w:rPr>
          <w:rFonts w:ascii="Arial Narrow" w:hAnsi="Arial Narrow" w:cs="Arial Narrow" w:eastAsia="Arial Narrow" w:hint="default"/>
        </w:rPr>
        <w:t>3</w:t>
      </w:r>
      <w:r>
        <w:rPr/>
        <w:t>）未确认递延所得税资产的可抵扣亏损将于以下年度到期</w:t>
      </w:r>
    </w:p>
    <w:p>
      <w:pPr>
        <w:spacing w:line="240" w:lineRule="auto" w:before="2"/>
        <w:rPr>
          <w:rFonts w:ascii="宋体" w:hAnsi="宋体" w:cs="宋体" w:eastAsia="宋体" w:hint="default"/>
          <w:sz w:val="18"/>
          <w:szCs w:val="18"/>
        </w:rPr>
      </w:pPr>
    </w:p>
    <w:tbl>
      <w:tblPr>
        <w:tblW w:w="0" w:type="auto"/>
        <w:jc w:val="left"/>
        <w:tblInd w:w="439" w:type="dxa"/>
        <w:tblLayout w:type="fixed"/>
        <w:tblCellMar>
          <w:top w:w="0" w:type="dxa"/>
          <w:left w:w="0" w:type="dxa"/>
          <w:bottom w:w="0" w:type="dxa"/>
          <w:right w:w="0" w:type="dxa"/>
        </w:tblCellMar>
        <w:tblLook w:val="01E0"/>
      </w:tblPr>
      <w:tblGrid>
        <w:gridCol w:w="2119"/>
        <w:gridCol w:w="2989"/>
        <w:gridCol w:w="2645"/>
        <w:gridCol w:w="1505"/>
      </w:tblGrid>
      <w:tr>
        <w:trPr>
          <w:trHeight w:val="394" w:hRule="exact"/>
        </w:trPr>
        <w:tc>
          <w:tcPr>
            <w:tcW w:w="2119"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07"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年</w:t>
              <w:tab/>
            </w:r>
            <w:r>
              <w:rPr>
                <w:rFonts w:ascii="宋体" w:hAnsi="宋体" w:cs="宋体" w:eastAsia="宋体" w:hint="default"/>
                <w:b/>
                <w:bCs/>
                <w:sz w:val="24"/>
                <w:szCs w:val="24"/>
              </w:rPr>
              <w:t>份</w:t>
            </w:r>
            <w:r>
              <w:rPr>
                <w:rFonts w:ascii="宋体" w:hAnsi="宋体" w:cs="宋体" w:eastAsia="宋体" w:hint="default"/>
                <w:sz w:val="24"/>
                <w:szCs w:val="24"/>
              </w:rPr>
            </w:r>
          </w:p>
        </w:tc>
        <w:tc>
          <w:tcPr>
            <w:tcW w:w="298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579"/>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2645"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913"/>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1505"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5"/>
              <w:jc w:val="right"/>
              <w:rPr>
                <w:rFonts w:ascii="宋体" w:hAnsi="宋体" w:cs="宋体" w:eastAsia="宋体" w:hint="default"/>
                <w:sz w:val="24"/>
                <w:szCs w:val="24"/>
              </w:rPr>
            </w:pPr>
            <w:r>
              <w:rPr>
                <w:rFonts w:ascii="宋体" w:hAnsi="宋体" w:cs="宋体" w:eastAsia="宋体" w:hint="default"/>
                <w:b/>
                <w:bCs/>
                <w:sz w:val="24"/>
                <w:szCs w:val="24"/>
              </w:rPr>
              <w:t>备注</w:t>
            </w:r>
            <w:r>
              <w:rPr>
                <w:rFonts w:ascii="宋体" w:hAnsi="宋体" w:cs="宋体" w:eastAsia="宋体" w:hint="default"/>
                <w:sz w:val="24"/>
                <w:szCs w:val="24"/>
              </w:rPr>
            </w:r>
          </w:p>
        </w:tc>
      </w:tr>
      <w:tr>
        <w:trPr>
          <w:trHeight w:val="398" w:hRule="exact"/>
        </w:trPr>
        <w:tc>
          <w:tcPr>
            <w:tcW w:w="2119" w:type="dxa"/>
            <w:tcBorders>
              <w:top w:val="single" w:sz="4" w:space="0" w:color="000000"/>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2013</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298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578"/>
              <w:jc w:val="right"/>
              <w:rPr>
                <w:rFonts w:ascii="Arial Narrow" w:hAnsi="Arial Narrow" w:cs="Arial Narrow" w:eastAsia="Arial Narrow" w:hint="default"/>
                <w:sz w:val="24"/>
                <w:szCs w:val="24"/>
              </w:rPr>
            </w:pPr>
            <w:r>
              <w:rPr>
                <w:rFonts w:ascii="Arial Narrow"/>
                <w:sz w:val="24"/>
              </w:rPr>
              <w:t>-</w:t>
            </w:r>
          </w:p>
        </w:tc>
        <w:tc>
          <w:tcPr>
            <w:tcW w:w="264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912"/>
              <w:jc w:val="right"/>
              <w:rPr>
                <w:rFonts w:ascii="Arial Narrow" w:hAnsi="Arial Narrow" w:cs="Arial Narrow" w:eastAsia="Arial Narrow" w:hint="default"/>
                <w:sz w:val="24"/>
                <w:szCs w:val="24"/>
              </w:rPr>
            </w:pPr>
            <w:r>
              <w:rPr>
                <w:rFonts w:ascii="Arial Narrow"/>
                <w:spacing w:val="-1"/>
                <w:sz w:val="24"/>
              </w:rPr>
              <w:t>485,725.87</w:t>
            </w:r>
          </w:p>
        </w:tc>
        <w:tc>
          <w:tcPr>
            <w:tcW w:w="150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sz w:val="24"/>
              </w:rPr>
              <w:t>-</w:t>
            </w:r>
          </w:p>
        </w:tc>
      </w:tr>
      <w:tr>
        <w:trPr>
          <w:trHeight w:val="394" w:hRule="exact"/>
        </w:trPr>
        <w:tc>
          <w:tcPr>
            <w:tcW w:w="2119" w:type="dxa"/>
            <w:tcBorders>
              <w:top w:val="nil" w:sz="6" w:space="0" w:color="auto"/>
              <w:left w:val="nil" w:sz="6" w:space="0" w:color="auto"/>
              <w:bottom w:val="nil" w:sz="6" w:space="0" w:color="auto"/>
              <w:right w:val="nil" w:sz="6" w:space="0" w:color="auto"/>
            </w:tcBorders>
          </w:tcPr>
          <w:p>
            <w:pPr>
              <w:pStyle w:val="TableParagraph"/>
              <w:spacing w:line="327"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2014</w:t>
            </w:r>
            <w:r>
              <w:rPr>
                <w:rFonts w:ascii="Arial Narrow" w:hAnsi="Arial Narrow" w:cs="Arial Narrow" w:eastAsia="Arial Narrow" w:hint="default"/>
                <w:spacing w:val="4"/>
                <w:sz w:val="24"/>
                <w:szCs w:val="24"/>
              </w:rPr>
              <w:t> </w:t>
            </w:r>
            <w:r>
              <w:rPr>
                <w:rFonts w:ascii="宋体" w:hAnsi="宋体" w:cs="宋体" w:eastAsia="宋体" w:hint="default"/>
                <w:sz w:val="24"/>
                <w:szCs w:val="24"/>
              </w:rPr>
              <w:t>年</w:t>
            </w:r>
          </w:p>
        </w:tc>
        <w:tc>
          <w:tcPr>
            <w:tcW w:w="298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78"/>
              <w:jc w:val="right"/>
              <w:rPr>
                <w:rFonts w:ascii="Arial Narrow" w:hAnsi="Arial Narrow" w:cs="Arial Narrow" w:eastAsia="Arial Narrow" w:hint="default"/>
                <w:sz w:val="24"/>
                <w:szCs w:val="24"/>
              </w:rPr>
            </w:pPr>
            <w:r>
              <w:rPr>
                <w:rFonts w:ascii="Arial Narrow"/>
                <w:sz w:val="24"/>
              </w:rPr>
              <w:t>-</w:t>
            </w:r>
          </w:p>
        </w:tc>
        <w:tc>
          <w:tcPr>
            <w:tcW w:w="264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12"/>
              <w:jc w:val="right"/>
              <w:rPr>
                <w:rFonts w:ascii="Arial Narrow" w:hAnsi="Arial Narrow" w:cs="Arial Narrow" w:eastAsia="Arial Narrow" w:hint="default"/>
                <w:sz w:val="24"/>
                <w:szCs w:val="24"/>
              </w:rPr>
            </w:pPr>
            <w:r>
              <w:rPr>
                <w:rFonts w:ascii="Arial Narrow"/>
                <w:spacing w:val="-1"/>
                <w:sz w:val="24"/>
              </w:rPr>
              <w:t>1,168,647.75</w:t>
            </w:r>
          </w:p>
        </w:tc>
        <w:tc>
          <w:tcPr>
            <w:tcW w:w="1505" w:type="dxa"/>
            <w:tcBorders>
              <w:top w:val="nil" w:sz="6" w:space="0" w:color="auto"/>
              <w:left w:val="nil" w:sz="6" w:space="0" w:color="auto"/>
              <w:bottom w:val="nil" w:sz="6" w:space="0" w:color="auto"/>
              <w:right w:val="nil" w:sz="6" w:space="0" w:color="auto"/>
            </w:tcBorders>
          </w:tcPr>
          <w:p>
            <w:pPr/>
          </w:p>
        </w:tc>
      </w:tr>
      <w:tr>
        <w:trPr>
          <w:trHeight w:val="399" w:hRule="exact"/>
        </w:trPr>
        <w:tc>
          <w:tcPr>
            <w:tcW w:w="2119" w:type="dxa"/>
            <w:tcBorders>
              <w:top w:val="nil" w:sz="6" w:space="0" w:color="auto"/>
              <w:left w:val="nil" w:sz="6" w:space="0" w:color="auto"/>
              <w:bottom w:val="single" w:sz="4"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无期限</w:t>
            </w:r>
          </w:p>
        </w:tc>
        <w:tc>
          <w:tcPr>
            <w:tcW w:w="298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79"/>
              <w:jc w:val="right"/>
              <w:rPr>
                <w:rFonts w:ascii="Arial Narrow" w:hAnsi="Arial Narrow" w:cs="Arial Narrow" w:eastAsia="Arial Narrow" w:hint="default"/>
                <w:sz w:val="24"/>
                <w:szCs w:val="24"/>
              </w:rPr>
            </w:pPr>
            <w:r>
              <w:rPr>
                <w:rFonts w:ascii="Arial Narrow"/>
                <w:spacing w:val="-1"/>
                <w:sz w:val="24"/>
              </w:rPr>
              <w:t>1,142,389.71</w:t>
            </w:r>
          </w:p>
        </w:tc>
        <w:tc>
          <w:tcPr>
            <w:tcW w:w="264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12"/>
              <w:jc w:val="right"/>
              <w:rPr>
                <w:rFonts w:ascii="Arial Narrow" w:hAnsi="Arial Narrow" w:cs="Arial Narrow" w:eastAsia="Arial Narrow" w:hint="default"/>
                <w:sz w:val="24"/>
                <w:szCs w:val="24"/>
              </w:rPr>
            </w:pPr>
            <w:r>
              <w:rPr>
                <w:rFonts w:ascii="Arial Narrow"/>
                <w:spacing w:val="-1"/>
                <w:sz w:val="24"/>
              </w:rPr>
              <w:t>1,473,993.47</w:t>
            </w:r>
          </w:p>
        </w:tc>
        <w:tc>
          <w:tcPr>
            <w:tcW w:w="150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z w:val="24"/>
              </w:rPr>
              <w:t>-</w:t>
            </w:r>
          </w:p>
        </w:tc>
      </w:tr>
      <w:tr>
        <w:trPr>
          <w:trHeight w:val="403" w:hRule="exact"/>
        </w:trPr>
        <w:tc>
          <w:tcPr>
            <w:tcW w:w="2119"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98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579"/>
              <w:jc w:val="right"/>
              <w:rPr>
                <w:rFonts w:ascii="Arial Narrow" w:hAnsi="Arial Narrow" w:cs="Arial Narrow" w:eastAsia="Arial Narrow" w:hint="default"/>
                <w:sz w:val="24"/>
                <w:szCs w:val="24"/>
              </w:rPr>
            </w:pPr>
            <w:r>
              <w:rPr>
                <w:rFonts w:ascii="Arial Narrow"/>
                <w:b/>
                <w:spacing w:val="-1"/>
                <w:sz w:val="24"/>
              </w:rPr>
              <w:t>1,142,389.71</w:t>
            </w:r>
            <w:r>
              <w:rPr>
                <w:rFonts w:ascii="Arial Narrow"/>
                <w:spacing w:val="-1"/>
                <w:sz w:val="24"/>
              </w:rPr>
            </w:r>
          </w:p>
        </w:tc>
        <w:tc>
          <w:tcPr>
            <w:tcW w:w="264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912"/>
              <w:jc w:val="right"/>
              <w:rPr>
                <w:rFonts w:ascii="Arial Narrow" w:hAnsi="Arial Narrow" w:cs="Arial Narrow" w:eastAsia="Arial Narrow" w:hint="default"/>
                <w:sz w:val="24"/>
                <w:szCs w:val="24"/>
              </w:rPr>
            </w:pPr>
            <w:r>
              <w:rPr>
                <w:rFonts w:ascii="Arial Narrow"/>
                <w:b/>
                <w:spacing w:val="-1"/>
                <w:sz w:val="24"/>
              </w:rPr>
              <w:t>3,128,367.09</w:t>
            </w:r>
            <w:r>
              <w:rPr>
                <w:rFonts w:ascii="Arial Narrow"/>
                <w:spacing w:val="-1"/>
                <w:sz w:val="24"/>
              </w:rPr>
            </w:r>
          </w:p>
        </w:tc>
        <w:tc>
          <w:tcPr>
            <w:tcW w:w="150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pStyle w:val="BodyText"/>
        <w:spacing w:line="240" w:lineRule="auto" w:before="79"/>
        <w:ind w:left="562" w:right="1057"/>
        <w:jc w:val="left"/>
      </w:pPr>
      <w:r>
        <w:rPr/>
        <w:t>说明：本公司之子公司超图国际有限公司的税务亏损弥补不存在时间限制。</w:t>
      </w:r>
    </w:p>
    <w:p>
      <w:pPr>
        <w:pStyle w:val="BodyText"/>
        <w:spacing w:line="240" w:lineRule="auto" w:before="211"/>
        <w:ind w:left="562" w:right="4177"/>
        <w:jc w:val="left"/>
      </w:pPr>
      <w:r>
        <w:rPr/>
        <w:t>（</w:t>
      </w:r>
      <w:r>
        <w:rPr>
          <w:rFonts w:ascii="Arial Narrow" w:hAnsi="Arial Narrow" w:cs="Arial Narrow" w:eastAsia="Arial Narrow" w:hint="default"/>
        </w:rPr>
        <w:t>4</w:t>
      </w:r>
      <w:r>
        <w:rPr/>
        <w:t>）可抵扣差异项目明细</w:t>
      </w:r>
    </w:p>
    <w:p>
      <w:pPr>
        <w:spacing w:line="240" w:lineRule="auto" w:before="2"/>
        <w:rPr>
          <w:rFonts w:ascii="宋体" w:hAnsi="宋体" w:cs="宋体" w:eastAsia="宋体" w:hint="default"/>
          <w:sz w:val="18"/>
          <w:szCs w:val="18"/>
        </w:rPr>
      </w:pPr>
    </w:p>
    <w:tbl>
      <w:tblPr>
        <w:tblW w:w="0" w:type="auto"/>
        <w:jc w:val="left"/>
        <w:tblInd w:w="454" w:type="dxa"/>
        <w:tblLayout w:type="fixed"/>
        <w:tblCellMar>
          <w:top w:w="0" w:type="dxa"/>
          <w:left w:w="0" w:type="dxa"/>
          <w:bottom w:w="0" w:type="dxa"/>
          <w:right w:w="0" w:type="dxa"/>
        </w:tblCellMar>
        <w:tblLook w:val="01E0"/>
      </w:tblPr>
      <w:tblGrid>
        <w:gridCol w:w="4712"/>
        <w:gridCol w:w="4532"/>
      </w:tblGrid>
      <w:tr>
        <w:trPr>
          <w:trHeight w:val="391" w:hRule="exact"/>
        </w:trPr>
        <w:tc>
          <w:tcPr>
            <w:tcW w:w="4712"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4532"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5"/>
              <w:jc w:val="right"/>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r>
      <w:tr>
        <w:trPr>
          <w:trHeight w:val="398" w:hRule="exact"/>
        </w:trPr>
        <w:tc>
          <w:tcPr>
            <w:tcW w:w="4712"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坏账准备</w:t>
            </w:r>
          </w:p>
        </w:tc>
        <w:tc>
          <w:tcPr>
            <w:tcW w:w="453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34,085,255.81</w:t>
            </w:r>
          </w:p>
        </w:tc>
      </w:tr>
      <w:tr>
        <w:trPr>
          <w:trHeight w:val="397" w:hRule="exact"/>
        </w:trPr>
        <w:tc>
          <w:tcPr>
            <w:tcW w:w="4712"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存货跌价准备</w:t>
            </w:r>
          </w:p>
        </w:tc>
        <w:tc>
          <w:tcPr>
            <w:tcW w:w="4532"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spacing w:val="-1"/>
                <w:sz w:val="24"/>
              </w:rPr>
              <w:t>989,988.31</w:t>
            </w:r>
          </w:p>
        </w:tc>
      </w:tr>
      <w:tr>
        <w:trPr>
          <w:trHeight w:val="403" w:hRule="exact"/>
        </w:trPr>
        <w:tc>
          <w:tcPr>
            <w:tcW w:w="4712"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1"/>
                <w:sz w:val="24"/>
                <w:szCs w:val="24"/>
              </w:rPr>
              <w:t> </w:t>
            </w:r>
            <w:r>
              <w:rPr>
                <w:rFonts w:ascii="宋体" w:hAnsi="宋体" w:cs="宋体" w:eastAsia="宋体" w:hint="default"/>
                <w:b/>
                <w:bCs/>
                <w:sz w:val="24"/>
                <w:szCs w:val="24"/>
              </w:rPr>
              <w:t>计</w:t>
            </w:r>
            <w:r>
              <w:rPr>
                <w:rFonts w:ascii="宋体" w:hAnsi="宋体" w:cs="宋体" w:eastAsia="宋体" w:hint="default"/>
                <w:sz w:val="24"/>
                <w:szCs w:val="24"/>
              </w:rPr>
            </w:r>
          </w:p>
        </w:tc>
        <w:tc>
          <w:tcPr>
            <w:tcW w:w="453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b/>
                <w:spacing w:val="-1"/>
                <w:sz w:val="24"/>
              </w:rPr>
              <w:t>35,075,244.12</w:t>
            </w:r>
            <w:r>
              <w:rPr>
                <w:rFonts w:ascii="Arial Narrow"/>
                <w:spacing w:val="-1"/>
                <w:sz w:val="24"/>
              </w:rPr>
            </w:r>
          </w:p>
        </w:tc>
      </w:tr>
    </w:tbl>
    <w:p>
      <w:pPr>
        <w:pStyle w:val="BodyText"/>
        <w:spacing w:line="240" w:lineRule="auto" w:before="79"/>
        <w:ind w:left="142" w:right="4177"/>
        <w:jc w:val="left"/>
      </w:pPr>
      <w:r>
        <w:rPr>
          <w:rFonts w:ascii="Arial Narrow" w:hAnsi="Arial Narrow" w:cs="Arial Narrow" w:eastAsia="Arial Narrow" w:hint="default"/>
        </w:rPr>
        <w:t>17</w:t>
      </w:r>
      <w:r>
        <w:rPr/>
        <w:t>、资产减值准备明细</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2420"/>
        <w:gridCol w:w="1906"/>
        <w:gridCol w:w="1914"/>
        <w:gridCol w:w="777"/>
        <w:gridCol w:w="788"/>
        <w:gridCol w:w="1280"/>
      </w:tblGrid>
      <w:tr>
        <w:trPr>
          <w:trHeight w:val="297" w:hRule="exact"/>
        </w:trPr>
        <w:tc>
          <w:tcPr>
            <w:tcW w:w="2420" w:type="dxa"/>
            <w:tcBorders>
              <w:top w:val="single" w:sz="8" w:space="0" w:color="000000"/>
              <w:left w:val="nil" w:sz="6" w:space="0" w:color="auto"/>
              <w:bottom w:val="nil" w:sz="6" w:space="0" w:color="auto"/>
              <w:right w:val="nil" w:sz="6" w:space="0" w:color="auto"/>
            </w:tcBorders>
          </w:tcPr>
          <w:p>
            <w:pPr/>
          </w:p>
        </w:tc>
        <w:tc>
          <w:tcPr>
            <w:tcW w:w="1906" w:type="dxa"/>
            <w:tcBorders>
              <w:top w:val="single" w:sz="8" w:space="0" w:color="000000"/>
              <w:left w:val="nil" w:sz="6" w:space="0" w:color="auto"/>
              <w:bottom w:val="nil" w:sz="6" w:space="0" w:color="auto"/>
              <w:right w:val="nil" w:sz="6" w:space="0" w:color="auto"/>
            </w:tcBorders>
          </w:tcPr>
          <w:p>
            <w:pPr/>
          </w:p>
        </w:tc>
        <w:tc>
          <w:tcPr>
            <w:tcW w:w="1914"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right="-166"/>
              <w:jc w:val="right"/>
              <w:rPr>
                <w:rFonts w:ascii="宋体" w:hAnsi="宋体" w:cs="宋体" w:eastAsia="宋体" w:hint="default"/>
                <w:sz w:val="21"/>
                <w:szCs w:val="21"/>
              </w:rPr>
            </w:pPr>
            <w:r>
              <w:rPr>
                <w:rFonts w:ascii="宋体" w:hAnsi="宋体" w:cs="宋体" w:eastAsia="宋体" w:hint="default"/>
                <w:b/>
                <w:bCs/>
                <w:w w:val="100"/>
                <w:sz w:val="21"/>
                <w:szCs w:val="21"/>
              </w:rPr>
              <w:t>本</w:t>
            </w:r>
            <w:r>
              <w:rPr>
                <w:rFonts w:ascii="宋体" w:hAnsi="宋体" w:cs="宋体" w:eastAsia="宋体" w:hint="default"/>
                <w:w w:val="100"/>
                <w:sz w:val="21"/>
                <w:szCs w:val="21"/>
              </w:rPr>
            </w:r>
          </w:p>
        </w:tc>
        <w:tc>
          <w:tcPr>
            <w:tcW w:w="777"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21"/>
                <w:szCs w:val="21"/>
              </w:rPr>
            </w:pPr>
            <w:r>
              <w:rPr>
                <w:rFonts w:ascii="宋体" w:hAnsi="宋体" w:cs="宋体" w:eastAsia="宋体" w:hint="default"/>
                <w:b/>
                <w:bCs/>
                <w:sz w:val="21"/>
                <w:szCs w:val="21"/>
              </w:rPr>
              <w:t>期减少</w:t>
            </w:r>
            <w:r>
              <w:rPr>
                <w:rFonts w:ascii="宋体" w:hAnsi="宋体" w:cs="宋体" w:eastAsia="宋体" w:hint="default"/>
                <w:sz w:val="21"/>
                <w:szCs w:val="21"/>
              </w:rPr>
            </w:r>
          </w:p>
        </w:tc>
        <w:tc>
          <w:tcPr>
            <w:tcW w:w="788" w:type="dxa"/>
            <w:tcBorders>
              <w:top w:val="single" w:sz="8" w:space="0" w:color="000000"/>
              <w:left w:val="nil" w:sz="6" w:space="0" w:color="auto"/>
              <w:bottom w:val="nil" w:sz="6" w:space="0" w:color="auto"/>
              <w:right w:val="nil" w:sz="6" w:space="0" w:color="auto"/>
            </w:tcBorders>
          </w:tcPr>
          <w:p>
            <w:pPr/>
          </w:p>
        </w:tc>
        <w:tc>
          <w:tcPr>
            <w:tcW w:w="1280" w:type="dxa"/>
            <w:tcBorders>
              <w:top w:val="single" w:sz="8" w:space="0" w:color="000000"/>
              <w:left w:val="nil" w:sz="6" w:space="0" w:color="auto"/>
              <w:bottom w:val="nil" w:sz="6" w:space="0" w:color="auto"/>
              <w:right w:val="nil" w:sz="6" w:space="0" w:color="auto"/>
            </w:tcBorders>
          </w:tcPr>
          <w:p>
            <w:pPr/>
          </w:p>
        </w:tc>
      </w:tr>
      <w:tr>
        <w:trPr>
          <w:trHeight w:val="196" w:hRule="exact"/>
        </w:trPr>
        <w:tc>
          <w:tcPr>
            <w:tcW w:w="2420" w:type="dxa"/>
            <w:tcBorders>
              <w:top w:val="nil" w:sz="6" w:space="0" w:color="auto"/>
              <w:left w:val="nil" w:sz="6" w:space="0" w:color="auto"/>
              <w:bottom w:val="nil" w:sz="6" w:space="0" w:color="auto"/>
              <w:right w:val="nil" w:sz="6" w:space="0" w:color="auto"/>
            </w:tcBorders>
          </w:tcPr>
          <w:p>
            <w:pPr>
              <w:pStyle w:val="TableParagraph"/>
              <w:tabs>
                <w:tab w:pos="539" w:val="left" w:leader="none"/>
              </w:tabs>
              <w:spacing w:line="205" w:lineRule="exact"/>
              <w:ind w:left="117"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906" w:type="dxa"/>
            <w:tcBorders>
              <w:top w:val="nil" w:sz="6" w:space="0" w:color="auto"/>
              <w:left w:val="nil" w:sz="6" w:space="0" w:color="auto"/>
              <w:bottom w:val="nil" w:sz="6" w:space="0" w:color="auto"/>
              <w:right w:val="nil" w:sz="6" w:space="0" w:color="auto"/>
            </w:tcBorders>
          </w:tcPr>
          <w:p>
            <w:pPr>
              <w:pStyle w:val="TableParagraph"/>
              <w:spacing w:line="205" w:lineRule="exact"/>
              <w:ind w:right="17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914" w:type="dxa"/>
            <w:tcBorders>
              <w:top w:val="nil" w:sz="6" w:space="0" w:color="auto"/>
              <w:left w:val="nil" w:sz="6" w:space="0" w:color="auto"/>
              <w:bottom w:val="nil" w:sz="6" w:space="0" w:color="auto"/>
              <w:right w:val="nil" w:sz="6" w:space="0" w:color="auto"/>
            </w:tcBorders>
          </w:tcPr>
          <w:p>
            <w:pPr>
              <w:pStyle w:val="TableParagraph"/>
              <w:spacing w:line="205" w:lineRule="exact"/>
              <w:ind w:left="434"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777" w:type="dxa"/>
            <w:tcBorders>
              <w:top w:val="nil" w:sz="6" w:space="0" w:color="auto"/>
              <w:left w:val="nil" w:sz="6" w:space="0" w:color="auto"/>
              <w:bottom w:val="nil" w:sz="6" w:space="0" w:color="auto"/>
              <w:right w:val="nil" w:sz="6" w:space="0" w:color="auto"/>
            </w:tcBorders>
          </w:tcPr>
          <w:p>
            <w:pPr/>
          </w:p>
        </w:tc>
        <w:tc>
          <w:tcPr>
            <w:tcW w:w="788"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Style w:val="TableParagraph"/>
              <w:spacing w:line="205" w:lineRule="exact"/>
              <w:ind w:right="1"/>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294" w:hRule="exact"/>
        </w:trPr>
        <w:tc>
          <w:tcPr>
            <w:tcW w:w="2420" w:type="dxa"/>
            <w:tcBorders>
              <w:top w:val="nil" w:sz="6" w:space="0" w:color="auto"/>
              <w:left w:val="nil" w:sz="6" w:space="0" w:color="auto"/>
              <w:bottom w:val="single" w:sz="4" w:space="0" w:color="000000"/>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
        </w:tc>
        <w:tc>
          <w:tcPr>
            <w:tcW w:w="1914" w:type="dxa"/>
            <w:tcBorders>
              <w:top w:val="nil" w:sz="6" w:space="0" w:color="auto"/>
              <w:left w:val="nil" w:sz="6" w:space="0" w:color="auto"/>
              <w:bottom w:val="single" w:sz="4" w:space="0" w:color="000000"/>
              <w:right w:val="nil" w:sz="6" w:space="0" w:color="auto"/>
            </w:tcBorders>
          </w:tcPr>
          <w:p>
            <w:pPr/>
          </w:p>
        </w:tc>
        <w:tc>
          <w:tcPr>
            <w:tcW w:w="777" w:type="dxa"/>
            <w:tcBorders>
              <w:top w:val="nil" w:sz="6" w:space="0" w:color="auto"/>
              <w:left w:val="nil" w:sz="6" w:space="0" w:color="auto"/>
              <w:bottom w:val="single" w:sz="4" w:space="0" w:color="000000"/>
              <w:right w:val="nil" w:sz="6" w:space="0" w:color="auto"/>
            </w:tcBorders>
          </w:tcPr>
          <w:p>
            <w:pPr>
              <w:pStyle w:val="TableParagraph"/>
              <w:spacing w:line="201" w:lineRule="exact"/>
              <w:ind w:left="268"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788" w:type="dxa"/>
            <w:tcBorders>
              <w:top w:val="nil" w:sz="6" w:space="0" w:color="auto"/>
              <w:left w:val="nil" w:sz="6" w:space="0" w:color="auto"/>
              <w:bottom w:val="single" w:sz="4" w:space="0" w:color="000000"/>
              <w:right w:val="nil" w:sz="6" w:space="0" w:color="auto"/>
            </w:tcBorders>
          </w:tcPr>
          <w:p>
            <w:pPr>
              <w:pStyle w:val="TableParagraph"/>
              <w:spacing w:line="201" w:lineRule="exact"/>
              <w:ind w:right="175"/>
              <w:jc w:val="right"/>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280" w:type="dxa"/>
            <w:tcBorders>
              <w:top w:val="nil" w:sz="6" w:space="0" w:color="auto"/>
              <w:left w:val="nil" w:sz="6" w:space="0" w:color="auto"/>
              <w:bottom w:val="single" w:sz="4" w:space="0" w:color="000000"/>
              <w:right w:val="nil" w:sz="6" w:space="0" w:color="auto"/>
            </w:tcBorders>
          </w:tcPr>
          <w:p>
            <w:pPr/>
          </w:p>
        </w:tc>
      </w:tr>
      <w:tr>
        <w:trPr>
          <w:trHeight w:val="400" w:hRule="exact"/>
        </w:trPr>
        <w:tc>
          <w:tcPr>
            <w:tcW w:w="242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1</w:t>
            </w:r>
            <w:r>
              <w:rPr>
                <w:rFonts w:ascii="宋体" w:hAnsi="宋体" w:cs="宋体" w:eastAsia="宋体" w:hint="default"/>
                <w:sz w:val="21"/>
                <w:szCs w:val="21"/>
              </w:rPr>
              <w:t>）坏账准备</w:t>
            </w: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3"/>
              <w:jc w:val="right"/>
              <w:rPr>
                <w:rFonts w:ascii="Arial Narrow" w:hAnsi="Arial Narrow" w:cs="Arial Narrow" w:eastAsia="Arial Narrow" w:hint="default"/>
                <w:sz w:val="21"/>
                <w:szCs w:val="21"/>
              </w:rPr>
            </w:pPr>
            <w:r>
              <w:rPr>
                <w:rFonts w:ascii="Arial Narrow"/>
                <w:spacing w:val="-1"/>
                <w:sz w:val="21"/>
              </w:rPr>
              <w:t>24,006,555.84</w:t>
            </w:r>
            <w:r>
              <w:rPr>
                <w:rFonts w:ascii="Arial Narrow"/>
                <w:sz w:val="21"/>
              </w:rPr>
            </w:r>
          </w:p>
        </w:tc>
        <w:tc>
          <w:tcPr>
            <w:tcW w:w="191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175" w:right="0"/>
              <w:jc w:val="left"/>
              <w:rPr>
                <w:rFonts w:ascii="Arial Narrow" w:hAnsi="Arial Narrow" w:cs="Arial Narrow" w:eastAsia="Arial Narrow" w:hint="default"/>
                <w:sz w:val="21"/>
                <w:szCs w:val="21"/>
              </w:rPr>
            </w:pPr>
            <w:r>
              <w:rPr>
                <w:rFonts w:ascii="Arial Narrow"/>
                <w:sz w:val="21"/>
              </w:rPr>
              <w:t>10,106,168.76</w:t>
            </w:r>
          </w:p>
        </w:tc>
        <w:tc>
          <w:tcPr>
            <w:tcW w:w="77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83"/>
              <w:jc w:val="right"/>
              <w:rPr>
                <w:rFonts w:ascii="Arial Narrow" w:hAnsi="Arial Narrow" w:cs="Arial Narrow" w:eastAsia="Arial Narrow" w:hint="default"/>
                <w:sz w:val="21"/>
                <w:szCs w:val="21"/>
              </w:rPr>
            </w:pPr>
            <w:r>
              <w:rPr>
                <w:rFonts w:ascii="Arial Narrow"/>
                <w:w w:val="100"/>
                <w:sz w:val="21"/>
              </w:rPr>
              <w:t>-</w:t>
            </w:r>
          </w:p>
        </w:tc>
        <w:tc>
          <w:tcPr>
            <w:tcW w:w="78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75"/>
              <w:jc w:val="right"/>
              <w:rPr>
                <w:rFonts w:ascii="Arial Narrow" w:hAnsi="Arial Narrow" w:cs="Arial Narrow" w:eastAsia="Arial Narrow" w:hint="default"/>
                <w:sz w:val="21"/>
                <w:szCs w:val="21"/>
              </w:rPr>
            </w:pPr>
            <w:r>
              <w:rPr>
                <w:rFonts w:ascii="Arial Narrow"/>
                <w:w w:val="100"/>
                <w:sz w:val="21"/>
              </w:rPr>
              <w:t>-</w:t>
            </w:r>
          </w:p>
        </w:tc>
        <w:tc>
          <w:tcPr>
            <w:tcW w:w="128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0"/>
              <w:jc w:val="right"/>
              <w:rPr>
                <w:rFonts w:ascii="Arial Narrow" w:hAnsi="Arial Narrow" w:cs="Arial Narrow" w:eastAsia="Arial Narrow" w:hint="default"/>
                <w:sz w:val="21"/>
                <w:szCs w:val="21"/>
              </w:rPr>
            </w:pPr>
            <w:r>
              <w:rPr>
                <w:rFonts w:ascii="Arial Narrow"/>
                <w:spacing w:val="-2"/>
                <w:sz w:val="21"/>
              </w:rPr>
              <w:t>34,112,724.60</w:t>
            </w:r>
          </w:p>
        </w:tc>
      </w:tr>
      <w:tr>
        <w:trPr>
          <w:trHeight w:val="394" w:hRule="exact"/>
        </w:trPr>
        <w:tc>
          <w:tcPr>
            <w:tcW w:w="2420"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left="14"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Narrow" w:hAnsi="Arial Narrow" w:cs="Arial Narrow" w:eastAsia="Arial Narrow" w:hint="default"/>
                <w:sz w:val="21"/>
                <w:szCs w:val="21"/>
              </w:rPr>
              <w:t>2</w:t>
            </w:r>
            <w:r>
              <w:rPr>
                <w:rFonts w:ascii="宋体" w:hAnsi="宋体" w:cs="宋体" w:eastAsia="宋体" w:hint="default"/>
                <w:sz w:val="21"/>
                <w:szCs w:val="21"/>
              </w:rPr>
              <w:t>）存货跌价准备</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73"/>
              <w:jc w:val="right"/>
              <w:rPr>
                <w:rFonts w:ascii="Arial Narrow" w:hAnsi="Arial Narrow" w:cs="Arial Narrow" w:eastAsia="Arial Narrow" w:hint="default"/>
                <w:sz w:val="21"/>
                <w:szCs w:val="21"/>
              </w:rPr>
            </w:pPr>
            <w:r>
              <w:rPr>
                <w:rFonts w:ascii="Arial Narrow"/>
                <w:spacing w:val="-1"/>
                <w:sz w:val="21"/>
              </w:rPr>
              <w:t>1,417,469.13</w:t>
            </w:r>
            <w:r>
              <w:rPr>
                <w:rFonts w:ascii="Arial Narrow"/>
                <w:sz w:val="21"/>
              </w:rPr>
            </w: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left="415" w:right="0"/>
              <w:jc w:val="left"/>
              <w:rPr>
                <w:rFonts w:ascii="Arial Narrow" w:hAnsi="Arial Narrow" w:cs="Arial Narrow" w:eastAsia="Arial Narrow" w:hint="default"/>
                <w:sz w:val="21"/>
                <w:szCs w:val="21"/>
              </w:rPr>
            </w:pPr>
            <w:r>
              <w:rPr>
                <w:rFonts w:ascii="Arial Narrow"/>
                <w:sz w:val="21"/>
              </w:rPr>
              <w:t>421,542.01</w:t>
            </w:r>
          </w:p>
        </w:tc>
        <w:tc>
          <w:tcPr>
            <w:tcW w:w="777"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83"/>
              <w:jc w:val="right"/>
              <w:rPr>
                <w:rFonts w:ascii="Arial Narrow" w:hAnsi="Arial Narrow" w:cs="Arial Narrow" w:eastAsia="Arial Narrow" w:hint="default"/>
                <w:sz w:val="21"/>
                <w:szCs w:val="21"/>
              </w:rPr>
            </w:pPr>
            <w:r>
              <w:rPr>
                <w:rFonts w:ascii="Arial Narrow"/>
                <w:w w:val="100"/>
                <w:sz w:val="21"/>
              </w:rPr>
              <w:t>-</w:t>
            </w:r>
          </w:p>
        </w:tc>
        <w:tc>
          <w:tcPr>
            <w:tcW w:w="788"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73"/>
              <w:jc w:val="right"/>
              <w:rPr>
                <w:rFonts w:ascii="Arial Narrow" w:hAnsi="Arial Narrow" w:cs="Arial Narrow" w:eastAsia="Arial Narrow" w:hint="default"/>
                <w:sz w:val="21"/>
                <w:szCs w:val="21"/>
              </w:rPr>
            </w:pPr>
            <w:r>
              <w:rPr>
                <w:rFonts w:ascii="Arial Narrow"/>
                <w:spacing w:val="-1"/>
                <w:sz w:val="21"/>
              </w:rPr>
              <w:t>461.44</w:t>
            </w:r>
            <w:r>
              <w:rPr>
                <w:rFonts w:ascii="Arial Narrow"/>
                <w:sz w:val="21"/>
              </w:rPr>
            </w: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
              <w:jc w:val="right"/>
              <w:rPr>
                <w:rFonts w:ascii="Arial Narrow" w:hAnsi="Arial Narrow" w:cs="Arial Narrow" w:eastAsia="Arial Narrow" w:hint="default"/>
                <w:sz w:val="21"/>
                <w:szCs w:val="21"/>
              </w:rPr>
            </w:pPr>
            <w:r>
              <w:rPr>
                <w:rFonts w:ascii="Arial Narrow"/>
                <w:spacing w:val="-1"/>
                <w:sz w:val="21"/>
              </w:rPr>
              <w:t>1,838,549.70</w:t>
            </w:r>
            <w:r>
              <w:rPr>
                <w:rFonts w:ascii="Arial Narrow"/>
                <w:sz w:val="21"/>
              </w:rPr>
            </w:r>
          </w:p>
        </w:tc>
      </w:tr>
      <w:tr>
        <w:trPr>
          <w:trHeight w:val="404" w:hRule="exact"/>
        </w:trPr>
        <w:tc>
          <w:tcPr>
            <w:tcW w:w="2420" w:type="dxa"/>
            <w:tcBorders>
              <w:top w:val="single" w:sz="4" w:space="0" w:color="000000"/>
              <w:left w:val="nil" w:sz="6" w:space="0" w:color="auto"/>
              <w:bottom w:val="single" w:sz="8" w:space="0" w:color="000000"/>
              <w:right w:val="nil" w:sz="6" w:space="0" w:color="auto"/>
            </w:tcBorders>
          </w:tcPr>
          <w:p>
            <w:pPr>
              <w:pStyle w:val="TableParagraph"/>
              <w:tabs>
                <w:tab w:pos="539" w:val="left" w:leader="none"/>
              </w:tabs>
              <w:spacing w:line="240" w:lineRule="auto" w:before="24"/>
              <w:ind w:left="117"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906"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73"/>
              <w:jc w:val="right"/>
              <w:rPr>
                <w:rFonts w:ascii="Arial Narrow" w:hAnsi="Arial Narrow" w:cs="Arial Narrow" w:eastAsia="Arial Narrow" w:hint="default"/>
                <w:sz w:val="21"/>
                <w:szCs w:val="21"/>
              </w:rPr>
            </w:pPr>
            <w:r>
              <w:rPr>
                <w:rFonts w:ascii="Arial Narrow"/>
                <w:b/>
                <w:spacing w:val="-1"/>
                <w:sz w:val="21"/>
              </w:rPr>
              <w:t>25,424,024.97</w:t>
            </w:r>
            <w:r>
              <w:rPr>
                <w:rFonts w:ascii="Arial Narrow"/>
                <w:sz w:val="21"/>
              </w:rPr>
            </w:r>
          </w:p>
        </w:tc>
        <w:tc>
          <w:tcPr>
            <w:tcW w:w="1914"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left="175" w:right="0"/>
              <w:jc w:val="left"/>
              <w:rPr>
                <w:rFonts w:ascii="Arial Narrow" w:hAnsi="Arial Narrow" w:cs="Arial Narrow" w:eastAsia="Arial Narrow" w:hint="default"/>
                <w:sz w:val="21"/>
                <w:szCs w:val="21"/>
              </w:rPr>
            </w:pPr>
            <w:r>
              <w:rPr>
                <w:rFonts w:ascii="Arial Narrow"/>
                <w:b/>
                <w:sz w:val="21"/>
              </w:rPr>
              <w:t>10,527,710.77</w:t>
            </w:r>
            <w:r>
              <w:rPr>
                <w:rFonts w:ascii="Arial Narrow"/>
                <w:sz w:val="21"/>
              </w:rPr>
            </w:r>
          </w:p>
        </w:tc>
        <w:tc>
          <w:tcPr>
            <w:tcW w:w="777"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83"/>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788"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73"/>
              <w:jc w:val="right"/>
              <w:rPr>
                <w:rFonts w:ascii="Arial Narrow" w:hAnsi="Arial Narrow" w:cs="Arial Narrow" w:eastAsia="Arial Narrow" w:hint="default"/>
                <w:sz w:val="21"/>
                <w:szCs w:val="21"/>
              </w:rPr>
            </w:pPr>
            <w:r>
              <w:rPr>
                <w:rFonts w:ascii="Arial Narrow"/>
                <w:b/>
                <w:spacing w:val="-1"/>
                <w:sz w:val="21"/>
              </w:rPr>
              <w:t>461.44</w:t>
            </w:r>
            <w:r>
              <w:rPr>
                <w:rFonts w:ascii="Arial Narrow"/>
                <w:sz w:val="21"/>
              </w:rPr>
            </w:r>
          </w:p>
        </w:tc>
        <w:tc>
          <w:tcPr>
            <w:tcW w:w="1280"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b/>
                <w:spacing w:val="-1"/>
                <w:sz w:val="21"/>
              </w:rPr>
              <w:t>35,951,274.30</w:t>
            </w:r>
            <w:r>
              <w:rPr>
                <w:rFonts w:ascii="Arial Narrow"/>
                <w:sz w:val="21"/>
              </w:rPr>
            </w:r>
          </w:p>
        </w:tc>
      </w:tr>
    </w:tbl>
    <w:p>
      <w:pPr>
        <w:pStyle w:val="BodyText"/>
        <w:spacing w:line="240" w:lineRule="auto" w:before="79"/>
        <w:ind w:left="142" w:right="4177"/>
        <w:jc w:val="left"/>
      </w:pPr>
      <w:r>
        <w:rPr>
          <w:rFonts w:ascii="Arial Narrow" w:hAnsi="Arial Narrow" w:cs="Arial Narrow" w:eastAsia="Arial Narrow" w:hint="default"/>
        </w:rPr>
        <w:t>18</w:t>
      </w:r>
      <w:r>
        <w:rPr/>
        <w:t>、所有权受到限制的资产</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406"/>
        <w:gridCol w:w="1505"/>
        <w:gridCol w:w="1497"/>
        <w:gridCol w:w="1618"/>
        <w:gridCol w:w="1111"/>
      </w:tblGrid>
      <w:tr>
        <w:trPr>
          <w:trHeight w:val="391" w:hRule="exact"/>
        </w:trPr>
        <w:tc>
          <w:tcPr>
            <w:tcW w:w="3406"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0"/>
              <w:jc w:val="left"/>
              <w:rPr>
                <w:rFonts w:ascii="宋体" w:hAnsi="宋体" w:cs="宋体" w:eastAsia="宋体" w:hint="default"/>
                <w:sz w:val="24"/>
                <w:szCs w:val="24"/>
              </w:rPr>
            </w:pPr>
            <w:r>
              <w:rPr>
                <w:rFonts w:ascii="宋体" w:hAnsi="宋体" w:cs="宋体" w:eastAsia="宋体" w:hint="default"/>
                <w:b/>
                <w:bCs/>
                <w:sz w:val="24"/>
                <w:szCs w:val="24"/>
              </w:rPr>
              <w:t>所有权受到限制的资产类别</w:t>
            </w:r>
            <w:r>
              <w:rPr>
                <w:rFonts w:ascii="宋体" w:hAnsi="宋体" w:cs="宋体" w:eastAsia="宋体" w:hint="default"/>
                <w:sz w:val="24"/>
                <w:szCs w:val="24"/>
              </w:rPr>
            </w:r>
          </w:p>
        </w:tc>
        <w:tc>
          <w:tcPr>
            <w:tcW w:w="1505"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515"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1497"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266" w:right="0"/>
              <w:jc w:val="lef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618"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265" w:right="0"/>
              <w:jc w:val="lef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111"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387"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r>
      <w:tr>
        <w:trPr>
          <w:trHeight w:val="317" w:hRule="exact"/>
        </w:trPr>
        <w:tc>
          <w:tcPr>
            <w:tcW w:w="3406" w:type="dxa"/>
            <w:tcBorders>
              <w:top w:val="single" w:sz="4" w:space="0" w:color="000000"/>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一、用于担保的资产</w:t>
            </w:r>
          </w:p>
        </w:tc>
        <w:tc>
          <w:tcPr>
            <w:tcW w:w="1505" w:type="dxa"/>
            <w:tcBorders>
              <w:top w:val="single" w:sz="4" w:space="0" w:color="000000"/>
              <w:left w:val="nil" w:sz="6" w:space="0" w:color="auto"/>
              <w:bottom w:val="nil" w:sz="6" w:space="0" w:color="auto"/>
              <w:right w:val="nil" w:sz="6" w:space="0" w:color="auto"/>
            </w:tcBorders>
          </w:tcPr>
          <w:p>
            <w:pPr/>
          </w:p>
        </w:tc>
        <w:tc>
          <w:tcPr>
            <w:tcW w:w="1497" w:type="dxa"/>
            <w:tcBorders>
              <w:top w:val="single" w:sz="4" w:space="0" w:color="000000"/>
              <w:left w:val="nil" w:sz="6" w:space="0" w:color="auto"/>
              <w:bottom w:val="nil" w:sz="6" w:space="0" w:color="auto"/>
              <w:right w:val="nil" w:sz="6" w:space="0" w:color="auto"/>
            </w:tcBorders>
          </w:tcPr>
          <w:p>
            <w:pPr/>
          </w:p>
        </w:tc>
        <w:tc>
          <w:tcPr>
            <w:tcW w:w="1618" w:type="dxa"/>
            <w:tcBorders>
              <w:top w:val="single" w:sz="4" w:space="0" w:color="000000"/>
              <w:left w:val="nil" w:sz="6" w:space="0" w:color="auto"/>
              <w:bottom w:val="nil" w:sz="6" w:space="0" w:color="auto"/>
              <w:right w:val="nil" w:sz="6" w:space="0" w:color="auto"/>
            </w:tcBorders>
          </w:tcPr>
          <w:p>
            <w:pPr/>
          </w:p>
        </w:tc>
        <w:tc>
          <w:tcPr>
            <w:tcW w:w="1111" w:type="dxa"/>
            <w:tcBorders>
              <w:top w:val="single" w:sz="4" w:space="0" w:color="000000"/>
              <w:left w:val="nil" w:sz="6" w:space="0" w:color="auto"/>
              <w:bottom w:val="nil" w:sz="6" w:space="0" w:color="auto"/>
              <w:right w:val="nil" w:sz="6" w:space="0" w:color="auto"/>
            </w:tcBorders>
          </w:tcPr>
          <w:p>
            <w:pPr/>
          </w:p>
        </w:tc>
      </w:tr>
    </w:tbl>
    <w:p>
      <w:pPr>
        <w:spacing w:after="0"/>
        <w:sectPr>
          <w:pgSz w:w="11900" w:h="16850"/>
          <w:pgMar w:header="0" w:footer="919" w:top="1640" w:bottom="1100" w:left="1140" w:right="96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2241"/>
        <w:gridCol w:w="2590"/>
        <w:gridCol w:w="2040"/>
        <w:gridCol w:w="955"/>
        <w:gridCol w:w="1325"/>
      </w:tblGrid>
      <w:tr>
        <w:trPr>
          <w:trHeight w:val="504" w:hRule="exact"/>
        </w:trPr>
        <w:tc>
          <w:tcPr>
            <w:tcW w:w="386" w:type="dxa"/>
            <w:tcBorders>
              <w:top w:val="single" w:sz="6" w:space="0" w:color="000000"/>
              <w:left w:val="nil" w:sz="6" w:space="0" w:color="auto"/>
              <w:bottom w:val="nil" w:sz="6" w:space="0" w:color="auto"/>
              <w:right w:val="nil" w:sz="6" w:space="0" w:color="auto"/>
            </w:tcBorders>
          </w:tcPr>
          <w:p>
            <w:pPr/>
          </w:p>
        </w:tc>
        <w:tc>
          <w:tcPr>
            <w:tcW w:w="2241" w:type="dxa"/>
            <w:tcBorders>
              <w:top w:val="single" w:sz="6" w:space="0" w:color="000000"/>
              <w:left w:val="nil" w:sz="6" w:space="0" w:color="auto"/>
              <w:bottom w:val="single" w:sz="8" w:space="0" w:color="000000"/>
              <w:right w:val="nil" w:sz="6" w:space="0" w:color="auto"/>
            </w:tcBorders>
          </w:tcPr>
          <w:p>
            <w:pPr>
              <w:pStyle w:val="TableParagraph"/>
              <w:spacing w:line="240" w:lineRule="auto" w:before="91"/>
              <w:ind w:left="14" w:right="0"/>
              <w:jc w:val="left"/>
              <w:rPr>
                <w:rFonts w:ascii="宋体" w:hAnsi="宋体" w:cs="宋体" w:eastAsia="宋体" w:hint="default"/>
                <w:sz w:val="24"/>
                <w:szCs w:val="24"/>
              </w:rPr>
            </w:pPr>
            <w:r>
              <w:rPr>
                <w:rFonts w:ascii="宋体" w:hAnsi="宋体" w:cs="宋体" w:eastAsia="宋体" w:hint="default"/>
                <w:sz w:val="24"/>
                <w:szCs w:val="24"/>
              </w:rPr>
              <w:t>货币资产</w:t>
            </w:r>
          </w:p>
        </w:tc>
        <w:tc>
          <w:tcPr>
            <w:tcW w:w="2590" w:type="dxa"/>
            <w:tcBorders>
              <w:top w:val="single" w:sz="6" w:space="0" w:color="000000"/>
              <w:left w:val="nil" w:sz="6" w:space="0" w:color="auto"/>
              <w:bottom w:val="single" w:sz="8" w:space="0" w:color="000000"/>
              <w:right w:val="nil" w:sz="6" w:space="0" w:color="auto"/>
            </w:tcBorders>
          </w:tcPr>
          <w:p>
            <w:pPr>
              <w:pStyle w:val="TableParagraph"/>
              <w:spacing w:line="240" w:lineRule="auto" w:before="142"/>
              <w:ind w:left="1266" w:right="0"/>
              <w:jc w:val="left"/>
              <w:rPr>
                <w:rFonts w:ascii="Arial Narrow" w:hAnsi="Arial Narrow" w:cs="Arial Narrow" w:eastAsia="Arial Narrow" w:hint="default"/>
                <w:sz w:val="24"/>
                <w:szCs w:val="24"/>
              </w:rPr>
            </w:pPr>
            <w:r>
              <w:rPr>
                <w:rFonts w:ascii="Arial Narrow"/>
                <w:sz w:val="24"/>
              </w:rPr>
              <w:t>4,219,691.06</w:t>
            </w:r>
          </w:p>
        </w:tc>
        <w:tc>
          <w:tcPr>
            <w:tcW w:w="2040" w:type="dxa"/>
            <w:tcBorders>
              <w:top w:val="single" w:sz="6" w:space="0" w:color="000000"/>
              <w:left w:val="nil" w:sz="6" w:space="0" w:color="auto"/>
              <w:bottom w:val="single" w:sz="8" w:space="0" w:color="000000"/>
              <w:right w:val="nil" w:sz="6" w:space="0" w:color="auto"/>
            </w:tcBorders>
          </w:tcPr>
          <w:p>
            <w:pPr>
              <w:pStyle w:val="TableParagraph"/>
              <w:spacing w:line="240" w:lineRule="auto" w:before="142"/>
              <w:ind w:left="174" w:right="0"/>
              <w:jc w:val="left"/>
              <w:rPr>
                <w:rFonts w:ascii="Arial Narrow" w:hAnsi="Arial Narrow" w:cs="Arial Narrow" w:eastAsia="Arial Narrow" w:hint="default"/>
                <w:sz w:val="24"/>
                <w:szCs w:val="24"/>
              </w:rPr>
            </w:pPr>
            <w:r>
              <w:rPr>
                <w:rFonts w:ascii="Arial Narrow"/>
                <w:sz w:val="24"/>
              </w:rPr>
              <w:t>2,357,983.94</w:t>
            </w:r>
          </w:p>
        </w:tc>
        <w:tc>
          <w:tcPr>
            <w:tcW w:w="955" w:type="dxa"/>
            <w:tcBorders>
              <w:top w:val="single" w:sz="6" w:space="0" w:color="000000"/>
              <w:left w:val="nil" w:sz="6" w:space="0" w:color="auto"/>
              <w:bottom w:val="single" w:sz="8" w:space="0" w:color="000000"/>
              <w:right w:val="nil" w:sz="6" w:space="0" w:color="auto"/>
            </w:tcBorders>
          </w:tcPr>
          <w:p>
            <w:pPr>
              <w:pStyle w:val="TableParagraph"/>
              <w:spacing w:line="240" w:lineRule="auto" w:before="142"/>
              <w:ind w:right="170"/>
              <w:jc w:val="right"/>
              <w:rPr>
                <w:rFonts w:ascii="Arial Narrow" w:hAnsi="Arial Narrow" w:cs="Arial Narrow" w:eastAsia="Arial Narrow" w:hint="default"/>
                <w:sz w:val="24"/>
                <w:szCs w:val="24"/>
              </w:rPr>
            </w:pPr>
            <w:r>
              <w:rPr>
                <w:rFonts w:ascii="Arial Narrow"/>
                <w:sz w:val="24"/>
              </w:rPr>
              <w:t>-</w:t>
            </w:r>
          </w:p>
        </w:tc>
        <w:tc>
          <w:tcPr>
            <w:tcW w:w="1325" w:type="dxa"/>
            <w:tcBorders>
              <w:top w:val="single" w:sz="6" w:space="0" w:color="000000"/>
              <w:left w:val="nil" w:sz="6" w:space="0" w:color="auto"/>
              <w:bottom w:val="single" w:sz="8" w:space="0" w:color="000000"/>
              <w:right w:val="nil" w:sz="6" w:space="0" w:color="auto"/>
            </w:tcBorders>
          </w:tcPr>
          <w:p>
            <w:pPr>
              <w:pStyle w:val="TableParagraph"/>
              <w:spacing w:line="240" w:lineRule="auto" w:before="142"/>
              <w:ind w:left="172" w:right="0"/>
              <w:jc w:val="left"/>
              <w:rPr>
                <w:rFonts w:ascii="Arial Narrow" w:hAnsi="Arial Narrow" w:cs="Arial Narrow" w:eastAsia="Arial Narrow" w:hint="default"/>
                <w:sz w:val="24"/>
                <w:szCs w:val="24"/>
              </w:rPr>
            </w:pPr>
            <w:r>
              <w:rPr>
                <w:rFonts w:ascii="Arial Narrow"/>
                <w:sz w:val="24"/>
              </w:rPr>
              <w:t>6,577,675.00</w:t>
            </w:r>
          </w:p>
        </w:tc>
      </w:tr>
    </w:tbl>
    <w:p>
      <w:pPr>
        <w:pStyle w:val="BodyText"/>
        <w:spacing w:line="240" w:lineRule="auto" w:before="79"/>
        <w:ind w:left="522" w:right="2957"/>
        <w:jc w:val="left"/>
      </w:pPr>
      <w:r>
        <w:rPr/>
        <w:t>说明：所有权受到限制的货币资金为履约保函。</w:t>
      </w:r>
    </w:p>
    <w:p>
      <w:pPr>
        <w:pStyle w:val="BodyText"/>
        <w:spacing w:line="240" w:lineRule="auto" w:before="211"/>
        <w:ind w:left="102" w:right="2957"/>
        <w:jc w:val="left"/>
      </w:pPr>
      <w:r>
        <w:rPr>
          <w:rFonts w:ascii="Arial Narrow" w:hAnsi="Arial Narrow" w:cs="Arial Narrow" w:eastAsia="Arial Narrow" w:hint="default"/>
        </w:rPr>
        <w:t>19</w:t>
      </w:r>
      <w:r>
        <w:rPr/>
        <w:t>、短期借款</w:t>
      </w:r>
    </w:p>
    <w:p>
      <w:pPr>
        <w:pStyle w:val="BodyText"/>
        <w:spacing w:line="240" w:lineRule="auto" w:before="197"/>
        <w:ind w:left="519" w:right="2957"/>
        <w:jc w:val="left"/>
      </w:pPr>
      <w:r>
        <w:rPr/>
        <w:t>（</w:t>
      </w:r>
      <w:r>
        <w:rPr>
          <w:rFonts w:ascii="Arial Narrow" w:hAnsi="Arial Narrow" w:cs="Arial Narrow" w:eastAsia="Arial Narrow" w:hint="default"/>
        </w:rPr>
        <w:t>1</w:t>
      </w:r>
      <w:r>
        <w:rPr/>
        <w:t>）短期借款分类</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949"/>
        <w:gridCol w:w="4060"/>
        <w:gridCol w:w="2127"/>
      </w:tblGrid>
      <w:tr>
        <w:trPr>
          <w:trHeight w:val="391" w:hRule="exact"/>
        </w:trPr>
        <w:tc>
          <w:tcPr>
            <w:tcW w:w="2949"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07" w:lineRule="exact"/>
              <w:ind w:left="26"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406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946"/>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2127"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7"/>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404" w:hRule="exact"/>
        </w:trPr>
        <w:tc>
          <w:tcPr>
            <w:tcW w:w="2949"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4060"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946"/>
              <w:jc w:val="right"/>
              <w:rPr>
                <w:rFonts w:ascii="Arial Narrow" w:hAnsi="Arial Narrow" w:cs="Arial Narrow" w:eastAsia="Arial Narrow" w:hint="default"/>
                <w:sz w:val="24"/>
                <w:szCs w:val="24"/>
              </w:rPr>
            </w:pPr>
            <w:r>
              <w:rPr>
                <w:rFonts w:ascii="Arial Narrow"/>
                <w:spacing w:val="-1"/>
                <w:sz w:val="24"/>
              </w:rPr>
              <w:t>5,952,960.20</w:t>
            </w:r>
          </w:p>
        </w:tc>
        <w:tc>
          <w:tcPr>
            <w:tcW w:w="2127"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spacing w:val="-1"/>
                <w:sz w:val="24"/>
              </w:rPr>
              <w:t>1,218,900.00</w:t>
            </w:r>
          </w:p>
        </w:tc>
      </w:tr>
    </w:tbl>
    <w:p>
      <w:pPr>
        <w:pStyle w:val="BodyText"/>
        <w:spacing w:line="240" w:lineRule="auto" w:before="79"/>
        <w:ind w:left="519" w:right="2957"/>
        <w:jc w:val="left"/>
      </w:pPr>
      <w:r>
        <w:rPr/>
        <w:t>（</w:t>
      </w:r>
      <w:r>
        <w:rPr>
          <w:rFonts w:ascii="Arial Narrow" w:hAnsi="Arial Narrow" w:cs="Arial Narrow" w:eastAsia="Arial Narrow" w:hint="default"/>
        </w:rPr>
        <w:t>2</w:t>
      </w:r>
      <w:r>
        <w:rPr/>
        <w:t>）外币借款</w:t>
      </w:r>
    </w:p>
    <w:p>
      <w:pPr>
        <w:spacing w:line="240" w:lineRule="auto" w:before="2"/>
        <w:rPr>
          <w:rFonts w:ascii="宋体" w:hAnsi="宋体" w:cs="宋体" w:eastAsia="宋体" w:hint="default"/>
          <w:sz w:val="18"/>
          <w:szCs w:val="18"/>
        </w:rPr>
      </w:pPr>
    </w:p>
    <w:p>
      <w:pPr>
        <w:spacing w:line="20" w:lineRule="exact"/>
        <w:ind w:left="512"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955;height:2" coordorigin="10,10" coordsize="1955,2">
              <v:shape style="position:absolute;left:10;top:10;width:1955;height:2" coordorigin="10,10" coordsize="1955,0" path="m10,10l1964,10e" filled="false" stroked="true" strokeweight=".95999pt" strokecolor="#000000">
                <v:path arrowok="t"/>
              </v:shape>
            </v:group>
            <v:group style="position:absolute;left:1964;top:10;width:20;height:2" coordorigin="1964,10" coordsize="20,2">
              <v:shape style="position:absolute;left:1964;top:10;width:20;height:2" coordorigin="1964,10" coordsize="20,0" path="m1964,10l1983,10e" filled="false" stroked="true" strokeweight=".95999pt" strokecolor="#000000">
                <v:path arrowok="t"/>
              </v:shape>
            </v:group>
            <v:group style="position:absolute;left:1983;top:10;width:987;height:2" coordorigin="1983,10" coordsize="987,2">
              <v:shape style="position:absolute;left:1983;top:10;width:987;height:2" coordorigin="1983,10" coordsize="987,0" path="m1983,10l2969,10e" filled="false" stroked="true" strokeweight=".95999pt" strokecolor="#000000">
                <v:path arrowok="t"/>
              </v:shape>
            </v:group>
            <v:group style="position:absolute;left:2969;top:10;width:20;height:2" coordorigin="2969,10" coordsize="20,2">
              <v:shape style="position:absolute;left:2969;top:10;width:20;height:2" coordorigin="2969,10" coordsize="20,0" path="m2969,10l2989,10e" filled="false" stroked="true" strokeweight=".95999pt" strokecolor="#000000">
                <v:path arrowok="t"/>
              </v:shape>
            </v:group>
            <v:group style="position:absolute;left:2989;top:10;width:3018;height:2" coordorigin="2989,10" coordsize="3018,2">
              <v:shape style="position:absolute;left:2989;top:10;width:3018;height:2" coordorigin="2989,10" coordsize="3018,0" path="m2989,10l6006,10e" filled="false" stroked="true" strokeweight=".95999pt" strokecolor="#000000">
                <v:path arrowok="t"/>
              </v:shape>
            </v:group>
            <v:group style="position:absolute;left:6006;top:10;width:20;height:2" coordorigin="6006,10" coordsize="20,2">
              <v:shape style="position:absolute;left:6006;top:10;width:20;height:2" coordorigin="6006,10" coordsize="20,0" path="m6006,10l6025,10e" filled="false" stroked="true" strokeweight=".95999pt" strokecolor="#000000">
                <v:path arrowok="t"/>
              </v:shape>
            </v:group>
            <v:group style="position:absolute;left:6025;top:10;width:3121;height:2" coordorigin="6025,10" coordsize="3121,2">
              <v:shape style="position:absolute;left:6025;top:10;width:3121;height:2" coordorigin="6025,10" coordsize="3121,0" path="m6025,10l9146,10e" filled="false" stroked="true" strokeweight=".95999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50"/>
          <w:pgMar w:header="0" w:footer="919" w:top="1640" w:bottom="1100" w:left="1180" w:right="940"/>
        </w:sectPr>
      </w:pPr>
    </w:p>
    <w:p>
      <w:pPr>
        <w:pStyle w:val="Heading5"/>
        <w:tabs>
          <w:tab w:pos="2737" w:val="left" w:leader="none"/>
        </w:tabs>
        <w:spacing w:line="240" w:lineRule="auto" w:before="199"/>
        <w:ind w:left="630" w:right="-17"/>
        <w:jc w:val="left"/>
        <w:rPr>
          <w:b w:val="0"/>
          <w:bCs w:val="0"/>
        </w:rPr>
      </w:pPr>
      <w:r>
        <w:rPr/>
        <w:t>借款类别</w:t>
        <w:tab/>
        <w:t>币种</w:t>
      </w:r>
      <w:r>
        <w:rPr>
          <w:b w:val="0"/>
          <w:bCs w:val="0"/>
        </w:rPr>
      </w:r>
    </w:p>
    <w:p>
      <w:pPr>
        <w:tabs>
          <w:tab w:pos="4147" w:val="left" w:leader="none"/>
        </w:tabs>
        <w:spacing w:before="2"/>
        <w:ind w:left="1177" w:right="0" w:firstLine="0"/>
        <w:jc w:val="left"/>
        <w:rPr>
          <w:rFonts w:ascii="宋体" w:hAnsi="宋体" w:cs="宋体" w:eastAsia="宋体" w:hint="default"/>
          <w:sz w:val="24"/>
          <w:szCs w:val="24"/>
        </w:rPr>
      </w:pPr>
      <w:r>
        <w:rPr/>
        <w:br w:type="column"/>
      </w:r>
      <w:r>
        <w:rPr>
          <w:rFonts w:ascii="宋体" w:hAnsi="宋体" w:cs="宋体" w:eastAsia="宋体" w:hint="default"/>
          <w:b/>
          <w:bCs/>
          <w:sz w:val="24"/>
          <w:szCs w:val="24"/>
        </w:rPr>
        <w:t>期末数</w:t>
        <w:tab/>
        <w:t>期初数</w:t>
      </w:r>
      <w:r>
        <w:rPr>
          <w:rFonts w:ascii="宋体" w:hAnsi="宋体" w:cs="宋体" w:eastAsia="宋体" w:hint="default"/>
          <w:sz w:val="24"/>
          <w:szCs w:val="24"/>
        </w:rPr>
      </w:r>
    </w:p>
    <w:p>
      <w:pPr>
        <w:tabs>
          <w:tab w:pos="1564" w:val="left" w:leader="none"/>
          <w:tab w:pos="3645" w:val="left" w:leader="none"/>
          <w:tab w:pos="4706" w:val="left" w:leader="none"/>
        </w:tabs>
        <w:spacing w:before="82"/>
        <w:ind w:left="630" w:right="0" w:firstLine="0"/>
        <w:jc w:val="left"/>
        <w:rPr>
          <w:rFonts w:ascii="宋体" w:hAnsi="宋体" w:cs="宋体" w:eastAsia="宋体" w:hint="default"/>
          <w:sz w:val="24"/>
          <w:szCs w:val="24"/>
        </w:rPr>
      </w:pPr>
      <w:r>
        <w:rPr>
          <w:rFonts w:ascii="宋体" w:hAnsi="宋体" w:cs="宋体" w:eastAsia="宋体" w:hint="default"/>
          <w:b/>
          <w:bCs/>
          <w:sz w:val="24"/>
          <w:szCs w:val="24"/>
        </w:rPr>
        <w:t>原</w:t>
      </w:r>
      <w:r>
        <w:rPr>
          <w:rFonts w:ascii="宋体" w:hAnsi="宋体" w:cs="宋体" w:eastAsia="宋体" w:hint="default"/>
          <w:b/>
          <w:bCs/>
          <w:spacing w:val="-1"/>
          <w:sz w:val="24"/>
          <w:szCs w:val="24"/>
        </w:rPr>
        <w:t> </w:t>
      </w:r>
      <w:r>
        <w:rPr>
          <w:rFonts w:ascii="宋体" w:hAnsi="宋体" w:cs="宋体" w:eastAsia="宋体" w:hint="default"/>
          <w:b/>
          <w:bCs/>
          <w:sz w:val="24"/>
          <w:szCs w:val="24"/>
        </w:rPr>
        <w:t>币</w:t>
        <w:tab/>
      </w:r>
      <w:r>
        <w:rPr>
          <w:rFonts w:ascii="宋体" w:hAnsi="宋体" w:cs="宋体" w:eastAsia="宋体" w:hint="default"/>
          <w:b/>
          <w:bCs/>
          <w:w w:val="95"/>
          <w:sz w:val="24"/>
          <w:szCs w:val="24"/>
        </w:rPr>
        <w:t>折合人民币</w:t>
        <w:tab/>
      </w:r>
      <w:r>
        <w:rPr>
          <w:rFonts w:ascii="宋体" w:hAnsi="宋体" w:cs="宋体" w:eastAsia="宋体" w:hint="default"/>
          <w:b/>
          <w:bCs/>
          <w:sz w:val="24"/>
          <w:szCs w:val="24"/>
        </w:rPr>
        <w:t>原</w:t>
      </w:r>
      <w:r>
        <w:rPr>
          <w:rFonts w:ascii="宋体" w:hAnsi="宋体" w:cs="宋体" w:eastAsia="宋体" w:hint="default"/>
          <w:b/>
          <w:bCs/>
          <w:spacing w:val="-1"/>
          <w:sz w:val="24"/>
          <w:szCs w:val="24"/>
        </w:rPr>
        <w:t> </w:t>
      </w:r>
      <w:r>
        <w:rPr>
          <w:rFonts w:ascii="宋体" w:hAnsi="宋体" w:cs="宋体" w:eastAsia="宋体" w:hint="default"/>
          <w:b/>
          <w:bCs/>
          <w:sz w:val="24"/>
          <w:szCs w:val="24"/>
        </w:rPr>
        <w:t>币</w:t>
        <w:tab/>
        <w:t>折合人民币</w:t>
      </w:r>
      <w:r>
        <w:rPr>
          <w:rFonts w:ascii="宋体" w:hAnsi="宋体" w:cs="宋体" w:eastAsia="宋体" w:hint="default"/>
          <w:sz w:val="24"/>
          <w:szCs w:val="24"/>
        </w:rPr>
      </w:r>
    </w:p>
    <w:p>
      <w:pPr>
        <w:spacing w:after="0"/>
        <w:jc w:val="left"/>
        <w:rPr>
          <w:rFonts w:ascii="宋体" w:hAnsi="宋体" w:cs="宋体" w:eastAsia="宋体" w:hint="default"/>
          <w:sz w:val="24"/>
          <w:szCs w:val="24"/>
        </w:rPr>
        <w:sectPr>
          <w:type w:val="continuous"/>
          <w:pgSz w:w="11900" w:h="16850"/>
          <w:pgMar w:top="440" w:bottom="280" w:left="1180" w:right="940"/>
          <w:cols w:num="2" w:equalWidth="0">
            <w:col w:w="3223" w:space="416"/>
            <w:col w:w="6141"/>
          </w:cols>
        </w:sectPr>
      </w:pPr>
    </w:p>
    <w:p>
      <w:pPr>
        <w:spacing w:line="240" w:lineRule="auto" w:before="3"/>
        <w:rPr>
          <w:rFonts w:ascii="宋体" w:hAnsi="宋体" w:cs="宋体" w:eastAsia="宋体" w:hint="default"/>
          <w:b/>
          <w:bCs/>
          <w:sz w:val="6"/>
          <w:szCs w:val="6"/>
        </w:rPr>
      </w:pPr>
    </w:p>
    <w:p>
      <w:pPr>
        <w:spacing w:line="20" w:lineRule="exact"/>
        <w:ind w:left="517" w:right="0" w:firstLine="0"/>
        <w:rPr>
          <w:rFonts w:ascii="宋体" w:hAnsi="宋体" w:cs="宋体" w:eastAsia="宋体" w:hint="default"/>
          <w:sz w:val="2"/>
          <w:szCs w:val="2"/>
        </w:rPr>
      </w:pPr>
      <w:r>
        <w:rPr>
          <w:rFonts w:ascii="宋体" w:hAnsi="宋体" w:cs="宋体" w:eastAsia="宋体" w:hint="default"/>
          <w:sz w:val="2"/>
          <w:szCs w:val="2"/>
        </w:rPr>
        <w:pict>
          <v:group style="width:457.3pt;height:.5pt;mso-position-horizontal-relative:char;mso-position-vertical-relative:line" coordorigin="0,0" coordsize="9146,10">
            <v:group style="position:absolute;left:5;top:5;width:1955;height:2" coordorigin="5,5" coordsize="1955,2">
              <v:shape style="position:absolute;left:5;top:5;width:1955;height:2" coordorigin="5,5" coordsize="1955,0" path="m5,5l1959,5e" filled="false" stroked="true" strokeweight=".48001pt" strokecolor="#000000">
                <v:path arrowok="t"/>
              </v:shape>
            </v:group>
            <v:group style="position:absolute;left:1959;top:5;width:10;height:2" coordorigin="1959,5" coordsize="10,2">
              <v:shape style="position:absolute;left:1959;top:5;width:10;height:2" coordorigin="1959,5" coordsize="10,0" path="m1959,5l1969,5e" filled="false" stroked="true" strokeweight=".48001pt" strokecolor="#000000">
                <v:path arrowok="t"/>
              </v:shape>
            </v:group>
            <v:group style="position:absolute;left:1969;top:5;width:996;height:2" coordorigin="1969,5" coordsize="996,2">
              <v:shape style="position:absolute;left:1969;top:5;width:996;height:2" coordorigin="1969,5" coordsize="996,0" path="m1969,5l2965,5e" filled="false" stroked="true" strokeweight=".48001pt" strokecolor="#000000">
                <v:path arrowok="t"/>
              </v:shape>
            </v:group>
            <v:group style="position:absolute;left:2965;top:5;width:10;height:2" coordorigin="2965,5" coordsize="10,2">
              <v:shape style="position:absolute;left:2965;top:5;width:10;height:2" coordorigin="2965,5" coordsize="10,0" path="m2965,5l2974,5e" filled="false" stroked="true" strokeweight=".48001pt" strokecolor="#000000">
                <v:path arrowok="t"/>
              </v:shape>
            </v:group>
            <v:group style="position:absolute;left:2974;top:5;width:1489;height:2" coordorigin="2974,5" coordsize="1489,2">
              <v:shape style="position:absolute;left:2974;top:5;width:1489;height:2" coordorigin="2974,5" coordsize="1489,0" path="m2974,5l4463,5e" filled="false" stroked="true" strokeweight=".48001pt" strokecolor="#000000">
                <v:path arrowok="t"/>
              </v:shape>
            </v:group>
            <v:group style="position:absolute;left:4463;top:5;width:10;height:2" coordorigin="4463,5" coordsize="10,2">
              <v:shape style="position:absolute;left:4463;top:5;width:10;height:2" coordorigin="4463,5" coordsize="10,0" path="m4463,5l4472,5e" filled="false" stroked="true" strokeweight=".48001pt" strokecolor="#000000">
                <v:path arrowok="t"/>
              </v:shape>
            </v:group>
            <v:group style="position:absolute;left:4472;top:5;width:1529;height:2" coordorigin="4472,5" coordsize="1529,2">
              <v:shape style="position:absolute;left:4472;top:5;width:1529;height:2" coordorigin="4472,5" coordsize="1529,0" path="m4472,5l6001,5e" filled="false" stroked="true" strokeweight=".48001pt" strokecolor="#000000">
                <v:path arrowok="t"/>
              </v:shape>
            </v:group>
            <v:group style="position:absolute;left:6001;top:5;width:10;height:2" coordorigin="6001,5" coordsize="10,2">
              <v:shape style="position:absolute;left:6001;top:5;width:10;height:2" coordorigin="6001,5" coordsize="10,0" path="m6001,5l6011,5e" filled="false" stroked="true" strokeweight=".48001pt" strokecolor="#000000">
                <v:path arrowok="t"/>
              </v:shape>
            </v:group>
            <v:group style="position:absolute;left:6011;top:5;width:1467;height:2" coordorigin="6011,5" coordsize="1467,2">
              <v:shape style="position:absolute;left:6011;top:5;width:1467;height:2" coordorigin="6011,5" coordsize="1467,0" path="m6011,5l7477,5e" filled="false" stroked="true" strokeweight=".48001pt" strokecolor="#000000">
                <v:path arrowok="t"/>
              </v:shape>
            </v:group>
            <v:group style="position:absolute;left:7478;top:5;width:10;height:2" coordorigin="7478,5" coordsize="10,2">
              <v:shape style="position:absolute;left:7478;top:5;width:10;height:2" coordorigin="7478,5" coordsize="10,0" path="m7478,5l7487,5e" filled="false" stroked="true" strokeweight=".48001pt" strokecolor="#000000">
                <v:path arrowok="t"/>
              </v:shape>
            </v:group>
            <v:group style="position:absolute;left:7487;top:5;width:1655;height:2" coordorigin="7487,5" coordsize="1655,2">
              <v:shape style="position:absolute;left:7487;top:5;width:1655;height:2" coordorigin="7487,5" coordsize="1655,0" path="m7487,5l9141,5e" filled="false" stroked="true" strokeweight=".48001pt" strokecolor="#000000">
                <v:path arrowok="t"/>
              </v:shape>
            </v:group>
          </v:group>
        </w:pict>
      </w:r>
      <w:r>
        <w:rPr>
          <w:rFonts w:ascii="宋体" w:hAnsi="宋体" w:cs="宋体" w:eastAsia="宋体" w:hint="default"/>
          <w:sz w:val="2"/>
          <w:szCs w:val="2"/>
        </w:rPr>
      </w:r>
    </w:p>
    <w:p>
      <w:pPr>
        <w:pStyle w:val="BodyText"/>
        <w:tabs>
          <w:tab w:pos="2737" w:val="left" w:leader="none"/>
          <w:tab w:pos="3611" w:val="left" w:leader="none"/>
          <w:tab w:pos="5258" w:val="left" w:leader="none"/>
          <w:tab w:pos="6626" w:val="left" w:leader="none"/>
          <w:tab w:pos="8400" w:val="left" w:leader="none"/>
        </w:tabs>
        <w:spacing w:line="240" w:lineRule="auto"/>
        <w:ind w:left="630" w:right="136"/>
        <w:jc w:val="left"/>
        <w:rPr>
          <w:rFonts w:ascii="Arial Narrow" w:hAnsi="Arial Narrow" w:cs="Arial Narrow" w:eastAsia="Arial Narrow" w:hint="default"/>
        </w:rPr>
      </w:pPr>
      <w:r>
        <w:rPr/>
        <w:t>信用借款</w:t>
        <w:tab/>
        <w:t>日元</w:t>
        <w:tab/>
      </w:r>
      <w:r>
        <w:rPr>
          <w:rFonts w:ascii="Arial Narrow" w:hAnsi="Arial Narrow" w:cs="Arial Narrow" w:eastAsia="Arial Narrow" w:hint="default"/>
          <w:spacing w:val="-1"/>
        </w:rPr>
        <w:t>73,400,000.00</w:t>
        <w:tab/>
        <w:t>5,952,960.20</w:t>
        <w:tab/>
        <w:t>15,000,000.00</w:t>
        <w:tab/>
        <w:t>1,218,900.00</w:t>
      </w:r>
    </w:p>
    <w:p>
      <w:pPr>
        <w:spacing w:line="240" w:lineRule="auto" w:before="7"/>
        <w:rPr>
          <w:rFonts w:ascii="Arial Narrow" w:hAnsi="Arial Narrow" w:cs="Arial Narrow" w:eastAsia="Arial Narrow" w:hint="default"/>
          <w:sz w:val="5"/>
          <w:szCs w:val="5"/>
        </w:rPr>
      </w:pPr>
    </w:p>
    <w:p>
      <w:pPr>
        <w:spacing w:line="20" w:lineRule="exact"/>
        <w:ind w:left="498"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8.5pt;height:1pt;mso-position-horizontal-relative:char;mso-position-vertical-relative:line" coordorigin="0,0" coordsize="9170,20">
            <v:group style="position:absolute;left:10;top:10;width:1969;height:2" coordorigin="10,10" coordsize="1969,2">
              <v:shape style="position:absolute;left:10;top:10;width:1969;height:2" coordorigin="10,10" coordsize="1969,0" path="m10,10l1978,10e" filled="false" stroked="true" strokeweight=".95999pt" strokecolor="#000000">
                <v:path arrowok="t"/>
              </v:shape>
            </v:group>
            <v:group style="position:absolute;left:1964;top:10;width:20;height:2" coordorigin="1964,10" coordsize="20,2">
              <v:shape style="position:absolute;left:1964;top:10;width:20;height:2" coordorigin="1964,10" coordsize="20,0" path="m1964,10l1983,10e" filled="false" stroked="true" strokeweight=".95999pt" strokecolor="#000000">
                <v:path arrowok="t"/>
              </v:shape>
            </v:group>
            <v:group style="position:absolute;left:1983;top:10;width:1001;height:2" coordorigin="1983,10" coordsize="1001,2">
              <v:shape style="position:absolute;left:1983;top:10;width:1001;height:2" coordorigin="1983,10" coordsize="1001,0" path="m1983,10l2984,10e" filled="false" stroked="true" strokeweight=".95999pt" strokecolor="#000000">
                <v:path arrowok="t"/>
              </v:shape>
            </v:group>
            <v:group style="position:absolute;left:2969;top:10;width:20;height:2" coordorigin="2969,10" coordsize="20,2">
              <v:shape style="position:absolute;left:2969;top:10;width:20;height:2" coordorigin="2969,10" coordsize="20,0" path="m2969,10l2989,10e" filled="false" stroked="true" strokeweight=".95999pt" strokecolor="#000000">
                <v:path arrowok="t"/>
              </v:shape>
            </v:group>
            <v:group style="position:absolute;left:2989;top:10;width:1494;height:2" coordorigin="2989,10" coordsize="1494,2">
              <v:shape style="position:absolute;left:2989;top:10;width:1494;height:2" coordorigin="2989,10" coordsize="1494,0" path="m2989,10l4482,10e" filled="false" stroked="true" strokeweight=".95999pt" strokecolor="#000000">
                <v:path arrowok="t"/>
              </v:shape>
            </v:group>
            <v:group style="position:absolute;left:4467;top:10;width:20;height:2" coordorigin="4467,10" coordsize="20,2">
              <v:shape style="position:absolute;left:4467;top:10;width:20;height:2" coordorigin="4467,10" coordsize="20,0" path="m4467,10l4487,10e" filled="false" stroked="true" strokeweight=".95999pt" strokecolor="#000000">
                <v:path arrowok="t"/>
              </v:shape>
            </v:group>
            <v:group style="position:absolute;left:4487;top:10;width:1534;height:2" coordorigin="4487,10" coordsize="1534,2">
              <v:shape style="position:absolute;left:4487;top:10;width:1534;height:2" coordorigin="4487,10" coordsize="1534,0" path="m4487,10l6020,10e" filled="false" stroked="true" strokeweight=".95999pt" strokecolor="#000000">
                <v:path arrowok="t"/>
              </v:shape>
            </v:group>
            <v:group style="position:absolute;left:6006;top:10;width:20;height:2" coordorigin="6006,10" coordsize="20,2">
              <v:shape style="position:absolute;left:6006;top:10;width:20;height:2" coordorigin="6006,10" coordsize="20,0" path="m6006,10l6025,10e" filled="false" stroked="true" strokeweight=".95999pt" strokecolor="#000000">
                <v:path arrowok="t"/>
              </v:shape>
            </v:group>
            <v:group style="position:absolute;left:6025;top:10;width:1472;height:2" coordorigin="6025,10" coordsize="1472,2">
              <v:shape style="position:absolute;left:6025;top:10;width:1472;height:2" coordorigin="6025,10" coordsize="1472,0" path="m6025,10l7497,10e" filled="false" stroked="true" strokeweight=".95999pt" strokecolor="#000000">
                <v:path arrowok="t"/>
              </v:shape>
            </v:group>
            <v:group style="position:absolute;left:7482;top:10;width:20;height:2" coordorigin="7482,10" coordsize="20,2">
              <v:shape style="position:absolute;left:7482;top:10;width:20;height:2" coordorigin="7482,10" coordsize="20,0" path="m7482,10l7502,10e" filled="false" stroked="true" strokeweight=".95999pt" strokecolor="#000000">
                <v:path arrowok="t"/>
              </v:shape>
            </v:group>
            <v:group style="position:absolute;left:7502;top:10;width:1659;height:2" coordorigin="7502,10" coordsize="1659,2">
              <v:shape style="position:absolute;left:7502;top:10;width:1659;height:2" coordorigin="7502,10" coordsize="1659,0" path="m7502,10l9160,10e" filled="false" stroked="true" strokeweight=".95999pt" strokecolor="#000000">
                <v:path arrowok="t"/>
              </v:shape>
            </v:group>
          </v:group>
        </w:pict>
      </w:r>
      <w:r>
        <w:rPr>
          <w:rFonts w:ascii="Arial Narrow" w:hAnsi="Arial Narrow" w:cs="Arial Narrow" w:eastAsia="Arial Narrow" w:hint="default"/>
          <w:sz w:val="2"/>
          <w:szCs w:val="2"/>
        </w:rPr>
      </w:r>
    </w:p>
    <w:p>
      <w:pPr>
        <w:pStyle w:val="BodyText"/>
        <w:spacing w:line="240" w:lineRule="auto" w:before="79"/>
        <w:ind w:left="102" w:right="2957"/>
        <w:jc w:val="left"/>
      </w:pPr>
      <w:r>
        <w:rPr>
          <w:rFonts w:ascii="Arial Narrow" w:hAnsi="Arial Narrow" w:cs="Arial Narrow" w:eastAsia="Arial Narrow" w:hint="default"/>
        </w:rPr>
        <w:t>20</w:t>
      </w:r>
      <w:r>
        <w:rPr/>
        <w:t>、应付账款</w:t>
      </w:r>
    </w:p>
    <w:p>
      <w:pPr>
        <w:pStyle w:val="BodyText"/>
        <w:spacing w:line="240" w:lineRule="auto" w:before="194"/>
        <w:ind w:left="519" w:right="2957"/>
        <w:jc w:val="left"/>
      </w:pPr>
      <w:r>
        <w:rPr/>
        <w:t>（</w:t>
      </w:r>
      <w:r>
        <w:rPr>
          <w:rFonts w:ascii="Arial Narrow" w:hAnsi="Arial Narrow" w:cs="Arial Narrow" w:eastAsia="Arial Narrow" w:hint="default"/>
        </w:rPr>
        <w:t>1</w:t>
      </w:r>
      <w:r>
        <w:rPr/>
        <w:t>）账龄分析</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765"/>
        <w:gridCol w:w="3000"/>
        <w:gridCol w:w="1056"/>
        <w:gridCol w:w="1981"/>
        <w:gridCol w:w="1245"/>
      </w:tblGrid>
      <w:tr>
        <w:trPr>
          <w:trHeight w:val="297" w:hRule="exact"/>
        </w:trPr>
        <w:tc>
          <w:tcPr>
            <w:tcW w:w="1765" w:type="dxa"/>
            <w:tcBorders>
              <w:top w:val="single" w:sz="8" w:space="0" w:color="000000"/>
              <w:left w:val="nil" w:sz="6" w:space="0" w:color="auto"/>
              <w:bottom w:val="nil" w:sz="6" w:space="0" w:color="auto"/>
              <w:right w:val="nil" w:sz="6" w:space="0" w:color="auto"/>
            </w:tcBorders>
          </w:tcPr>
          <w:p>
            <w:pPr/>
          </w:p>
        </w:tc>
        <w:tc>
          <w:tcPr>
            <w:tcW w:w="3000" w:type="dxa"/>
            <w:tcBorders>
              <w:top w:val="single" w:sz="8" w:space="0" w:color="000000"/>
              <w:left w:val="nil" w:sz="6" w:space="0" w:color="auto"/>
              <w:bottom w:val="nil" w:sz="6" w:space="0" w:color="auto"/>
              <w:right w:val="nil" w:sz="6" w:space="0" w:color="auto"/>
            </w:tcBorders>
          </w:tcPr>
          <w:p>
            <w:pPr>
              <w:pStyle w:val="TableParagraph"/>
              <w:spacing w:line="307" w:lineRule="exact"/>
              <w:ind w:right="150"/>
              <w:jc w:val="right"/>
              <w:rPr>
                <w:rFonts w:ascii="宋体" w:hAnsi="宋体" w:cs="宋体" w:eastAsia="宋体" w:hint="default"/>
                <w:sz w:val="24"/>
                <w:szCs w:val="24"/>
              </w:rPr>
            </w:pPr>
            <w:r>
              <w:rPr>
                <w:rFonts w:ascii="宋体" w:hAnsi="宋体" w:cs="宋体" w:eastAsia="宋体" w:hint="default"/>
                <w:b/>
                <w:bCs/>
                <w:spacing w:val="2"/>
                <w:w w:val="95"/>
                <w:sz w:val="24"/>
                <w:szCs w:val="24"/>
              </w:rPr>
              <w:t>期末数</w:t>
            </w:r>
            <w:r>
              <w:rPr>
                <w:rFonts w:ascii="宋体" w:hAnsi="宋体" w:cs="宋体" w:eastAsia="宋体" w:hint="default"/>
                <w:sz w:val="24"/>
                <w:szCs w:val="24"/>
              </w:rPr>
            </w:r>
          </w:p>
        </w:tc>
        <w:tc>
          <w:tcPr>
            <w:tcW w:w="1056" w:type="dxa"/>
            <w:tcBorders>
              <w:top w:val="single" w:sz="8" w:space="0" w:color="000000"/>
              <w:left w:val="nil" w:sz="6" w:space="0" w:color="auto"/>
              <w:bottom w:val="nil" w:sz="6" w:space="0" w:color="auto"/>
              <w:right w:val="nil" w:sz="6" w:space="0" w:color="auto"/>
            </w:tcBorders>
          </w:tcPr>
          <w:p>
            <w:pPr/>
          </w:p>
        </w:tc>
        <w:tc>
          <w:tcPr>
            <w:tcW w:w="3226" w:type="dxa"/>
            <w:gridSpan w:val="2"/>
            <w:tcBorders>
              <w:top w:val="single" w:sz="8" w:space="0" w:color="000000"/>
              <w:left w:val="nil" w:sz="6" w:space="0" w:color="auto"/>
              <w:bottom w:val="nil" w:sz="6" w:space="0" w:color="auto"/>
              <w:right w:val="nil" w:sz="6" w:space="0" w:color="auto"/>
            </w:tcBorders>
          </w:tcPr>
          <w:p>
            <w:pPr>
              <w:pStyle w:val="TableParagraph"/>
              <w:spacing w:line="307" w:lineRule="exact"/>
              <w:ind w:left="1480" w:right="0"/>
              <w:jc w:val="left"/>
              <w:rPr>
                <w:rFonts w:ascii="宋体" w:hAnsi="宋体" w:cs="宋体" w:eastAsia="宋体" w:hint="default"/>
                <w:sz w:val="24"/>
                <w:szCs w:val="24"/>
              </w:rPr>
            </w:pPr>
            <w:r>
              <w:rPr>
                <w:rFonts w:ascii="宋体" w:hAnsi="宋体" w:cs="宋体" w:eastAsia="宋体" w:hint="default"/>
                <w:b/>
                <w:bCs/>
                <w:spacing w:val="2"/>
                <w:sz w:val="24"/>
                <w:szCs w:val="24"/>
              </w:rPr>
              <w:t>期初数</w:t>
            </w:r>
            <w:r>
              <w:rPr>
                <w:rFonts w:ascii="宋体" w:hAnsi="宋体" w:cs="宋体" w:eastAsia="宋体" w:hint="default"/>
                <w:sz w:val="24"/>
                <w:szCs w:val="24"/>
              </w:rPr>
            </w:r>
          </w:p>
        </w:tc>
      </w:tr>
      <w:tr>
        <w:trPr>
          <w:trHeight w:val="493" w:hRule="exact"/>
        </w:trPr>
        <w:tc>
          <w:tcPr>
            <w:tcW w:w="1765" w:type="dxa"/>
            <w:tcBorders>
              <w:top w:val="nil" w:sz="6" w:space="0" w:color="auto"/>
              <w:left w:val="nil" w:sz="6" w:space="0" w:color="auto"/>
              <w:bottom w:val="single" w:sz="4" w:space="0" w:color="000000"/>
              <w:right w:val="nil" w:sz="6" w:space="0" w:color="auto"/>
            </w:tcBorders>
          </w:tcPr>
          <w:p>
            <w:pPr>
              <w:pStyle w:val="TableParagraph"/>
              <w:tabs>
                <w:tab w:pos="604" w:val="left" w:leader="none"/>
              </w:tabs>
              <w:spacing w:line="220"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账</w:t>
              <w:tab/>
            </w:r>
            <w:r>
              <w:rPr>
                <w:rFonts w:ascii="宋体" w:hAnsi="宋体" w:cs="宋体" w:eastAsia="宋体" w:hint="default"/>
                <w:b/>
                <w:bCs/>
                <w:sz w:val="24"/>
                <w:szCs w:val="24"/>
              </w:rPr>
              <w:t>龄</w:t>
            </w:r>
            <w:r>
              <w:rPr>
                <w:rFonts w:ascii="宋体" w:hAnsi="宋体" w:cs="宋体" w:eastAsia="宋体" w:hint="default"/>
                <w:sz w:val="24"/>
                <w:szCs w:val="24"/>
              </w:rPr>
            </w:r>
          </w:p>
        </w:tc>
        <w:tc>
          <w:tcPr>
            <w:tcW w:w="3000" w:type="dxa"/>
            <w:tcBorders>
              <w:top w:val="nil" w:sz="6" w:space="0" w:color="auto"/>
              <w:left w:val="nil" w:sz="6" w:space="0" w:color="auto"/>
              <w:bottom w:val="single" w:sz="4" w:space="0" w:color="000000"/>
              <w:right w:val="nil" w:sz="6" w:space="0" w:color="auto"/>
            </w:tcBorders>
          </w:tcPr>
          <w:p>
            <w:pPr>
              <w:pStyle w:val="TableParagraph"/>
              <w:tabs>
                <w:tab w:pos="1832" w:val="left" w:leader="none"/>
              </w:tabs>
              <w:spacing w:line="240" w:lineRule="auto" w:before="92"/>
              <w:ind w:left="1350" w:right="0"/>
              <w:jc w:val="left"/>
              <w:rPr>
                <w:rFonts w:ascii="宋体" w:hAnsi="宋体" w:cs="宋体" w:eastAsia="宋体" w:hint="default"/>
                <w:sz w:val="24"/>
                <w:szCs w:val="24"/>
              </w:rPr>
            </w:pPr>
            <w:r>
              <w:rPr>
                <w:rFonts w:ascii="宋体" w:hAnsi="宋体" w:cs="宋体" w:eastAsia="宋体" w:hint="default"/>
                <w:b/>
                <w:bCs/>
                <w:w w:val="95"/>
                <w:sz w:val="24"/>
                <w:szCs w:val="24"/>
              </w:rPr>
              <w:t>金</w:t>
              <w:tab/>
            </w:r>
            <w:r>
              <w:rPr>
                <w:rFonts w:ascii="宋体" w:hAnsi="宋体" w:cs="宋体" w:eastAsia="宋体" w:hint="default"/>
                <w:b/>
                <w:bCs/>
                <w:sz w:val="24"/>
                <w:szCs w:val="24"/>
              </w:rPr>
              <w:t>额</w:t>
            </w:r>
            <w:r>
              <w:rPr>
                <w:rFonts w:ascii="宋体" w:hAnsi="宋体" w:cs="宋体" w:eastAsia="宋体" w:hint="default"/>
                <w:sz w:val="24"/>
                <w:szCs w:val="24"/>
              </w:rPr>
            </w: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41"/>
              <w:jc w:val="right"/>
              <w:rPr>
                <w:rFonts w:ascii="Arial Narrow" w:hAnsi="Arial Narrow" w:cs="Arial Narrow" w:eastAsia="Arial Narrow" w:hint="default"/>
                <w:sz w:val="24"/>
                <w:szCs w:val="24"/>
              </w:rPr>
            </w:pPr>
            <w:r>
              <w:rPr>
                <w:rFonts w:ascii="宋体" w:hAnsi="宋体" w:cs="宋体" w:eastAsia="宋体"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981" w:type="dxa"/>
            <w:tcBorders>
              <w:top w:val="nil" w:sz="6" w:space="0" w:color="auto"/>
              <w:left w:val="nil" w:sz="6" w:space="0" w:color="auto"/>
              <w:bottom w:val="single" w:sz="4" w:space="0" w:color="000000"/>
              <w:right w:val="nil" w:sz="6" w:space="0" w:color="auto"/>
            </w:tcBorders>
          </w:tcPr>
          <w:p>
            <w:pPr>
              <w:pStyle w:val="TableParagraph"/>
              <w:tabs>
                <w:tab w:pos="482" w:val="left" w:leader="none"/>
              </w:tabs>
              <w:spacing w:line="240" w:lineRule="auto" w:before="92"/>
              <w:ind w:right="474"/>
              <w:jc w:val="right"/>
              <w:rPr>
                <w:rFonts w:ascii="宋体" w:hAnsi="宋体" w:cs="宋体" w:eastAsia="宋体" w:hint="default"/>
                <w:sz w:val="24"/>
                <w:szCs w:val="24"/>
              </w:rPr>
            </w:pPr>
            <w:r>
              <w:rPr>
                <w:rFonts w:ascii="宋体" w:hAnsi="宋体" w:cs="宋体" w:eastAsia="宋体" w:hint="default"/>
                <w:b/>
                <w:bCs/>
                <w:w w:val="95"/>
                <w:sz w:val="24"/>
                <w:szCs w:val="24"/>
              </w:rPr>
              <w:t>金</w:t>
              <w:tab/>
              <w:t>额</w:t>
            </w:r>
            <w:r>
              <w:rPr>
                <w:rFonts w:ascii="宋体" w:hAnsi="宋体" w:cs="宋体" w:eastAsia="宋体" w:hint="default"/>
                <w:sz w:val="24"/>
                <w:szCs w:val="24"/>
              </w:rPr>
            </w:r>
          </w:p>
        </w:tc>
        <w:tc>
          <w:tcPr>
            <w:tcW w:w="1245"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6"/>
              <w:jc w:val="right"/>
              <w:rPr>
                <w:rFonts w:ascii="Arial Narrow" w:hAnsi="Arial Narrow" w:cs="Arial Narrow" w:eastAsia="Arial Narrow" w:hint="default"/>
                <w:sz w:val="24"/>
                <w:szCs w:val="24"/>
              </w:rPr>
            </w:pPr>
            <w:r>
              <w:rPr>
                <w:rFonts w:ascii="宋体" w:hAnsi="宋体" w:cs="宋体" w:eastAsia="宋体"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398" w:hRule="exact"/>
        </w:trPr>
        <w:tc>
          <w:tcPr>
            <w:tcW w:w="1765" w:type="dxa"/>
            <w:tcBorders>
              <w:top w:val="single" w:sz="4" w:space="0" w:color="000000"/>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300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812" w:right="0"/>
              <w:jc w:val="left"/>
              <w:rPr>
                <w:rFonts w:ascii="Arial Narrow" w:hAnsi="Arial Narrow" w:cs="Arial Narrow" w:eastAsia="Arial Narrow" w:hint="default"/>
                <w:sz w:val="24"/>
                <w:szCs w:val="24"/>
              </w:rPr>
            </w:pPr>
            <w:r>
              <w:rPr>
                <w:rFonts w:ascii="Arial Narrow"/>
                <w:sz w:val="24"/>
              </w:rPr>
              <w:t>33,191,844.14</w:t>
            </w:r>
          </w:p>
        </w:tc>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42"/>
              <w:jc w:val="right"/>
              <w:rPr>
                <w:rFonts w:ascii="Arial Narrow" w:hAnsi="Arial Narrow" w:cs="Arial Narrow" w:eastAsia="Arial Narrow" w:hint="default"/>
                <w:sz w:val="24"/>
                <w:szCs w:val="24"/>
              </w:rPr>
            </w:pPr>
            <w:r>
              <w:rPr>
                <w:rFonts w:ascii="Arial Narrow"/>
                <w:spacing w:val="-1"/>
                <w:sz w:val="24"/>
              </w:rPr>
              <w:t>68.89</w:t>
            </w:r>
          </w:p>
        </w:tc>
        <w:tc>
          <w:tcPr>
            <w:tcW w:w="198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475"/>
              <w:jc w:val="right"/>
              <w:rPr>
                <w:rFonts w:ascii="Arial Narrow" w:hAnsi="Arial Narrow" w:cs="Arial Narrow" w:eastAsia="Arial Narrow" w:hint="default"/>
                <w:sz w:val="24"/>
                <w:szCs w:val="24"/>
              </w:rPr>
            </w:pPr>
            <w:r>
              <w:rPr>
                <w:rFonts w:ascii="Arial Narrow"/>
                <w:spacing w:val="-1"/>
                <w:sz w:val="24"/>
              </w:rPr>
              <w:t>14,768,431.25</w:t>
            </w:r>
          </w:p>
        </w:tc>
        <w:tc>
          <w:tcPr>
            <w:tcW w:w="124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7"/>
              <w:jc w:val="right"/>
              <w:rPr>
                <w:rFonts w:ascii="Arial Narrow" w:hAnsi="Arial Narrow" w:cs="Arial Narrow" w:eastAsia="Arial Narrow" w:hint="default"/>
                <w:sz w:val="24"/>
                <w:szCs w:val="24"/>
              </w:rPr>
            </w:pPr>
            <w:r>
              <w:rPr>
                <w:rFonts w:ascii="Arial Narrow"/>
                <w:spacing w:val="-1"/>
                <w:sz w:val="24"/>
              </w:rPr>
              <w:t>60.39</w:t>
            </w:r>
          </w:p>
        </w:tc>
      </w:tr>
      <w:tr>
        <w:trPr>
          <w:trHeight w:val="395"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327"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至</w:t>
            </w:r>
            <w:r>
              <w:rPr>
                <w:rFonts w:ascii="Arial Narrow" w:hAnsi="Arial Narrow" w:cs="Arial Narrow" w:eastAsia="Arial Narrow" w:hint="default"/>
                <w:sz w:val="24"/>
                <w:szCs w:val="24"/>
              </w:rPr>
              <w:t>2</w:t>
            </w:r>
            <w:r>
              <w:rPr>
                <w:rFonts w:ascii="宋体" w:hAnsi="宋体" w:cs="宋体" w:eastAsia="宋体" w:hint="default"/>
                <w:sz w:val="24"/>
                <w:szCs w:val="24"/>
              </w:rPr>
              <w:t>年</w:t>
            </w: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23" w:right="0"/>
              <w:jc w:val="left"/>
              <w:rPr>
                <w:rFonts w:ascii="Arial Narrow" w:hAnsi="Arial Narrow" w:cs="Arial Narrow" w:eastAsia="Arial Narrow" w:hint="default"/>
                <w:sz w:val="24"/>
                <w:szCs w:val="24"/>
              </w:rPr>
            </w:pPr>
            <w:r>
              <w:rPr>
                <w:rFonts w:ascii="Arial Narrow"/>
                <w:sz w:val="24"/>
              </w:rPr>
              <w:t>5,649,017.03</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2"/>
              <w:jc w:val="right"/>
              <w:rPr>
                <w:rFonts w:ascii="Arial Narrow" w:hAnsi="Arial Narrow" w:cs="Arial Narrow" w:eastAsia="Arial Narrow" w:hint="default"/>
                <w:sz w:val="24"/>
                <w:szCs w:val="24"/>
              </w:rPr>
            </w:pPr>
            <w:r>
              <w:rPr>
                <w:rFonts w:ascii="Arial Narrow"/>
                <w:spacing w:val="-3"/>
                <w:w w:val="95"/>
                <w:sz w:val="24"/>
              </w:rPr>
              <w:t>11.72</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76"/>
              <w:jc w:val="right"/>
              <w:rPr>
                <w:rFonts w:ascii="Arial Narrow" w:hAnsi="Arial Narrow" w:cs="Arial Narrow" w:eastAsia="Arial Narrow" w:hint="default"/>
                <w:sz w:val="24"/>
                <w:szCs w:val="24"/>
              </w:rPr>
            </w:pPr>
            <w:r>
              <w:rPr>
                <w:rFonts w:ascii="Arial Narrow"/>
                <w:spacing w:val="-1"/>
                <w:sz w:val="24"/>
              </w:rPr>
              <w:t>5,863,270.51</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Arial Narrow" w:hAnsi="Arial Narrow" w:cs="Arial Narrow" w:eastAsia="Arial Narrow" w:hint="default"/>
                <w:sz w:val="24"/>
                <w:szCs w:val="24"/>
              </w:rPr>
            </w:pPr>
            <w:r>
              <w:rPr>
                <w:rFonts w:ascii="Arial Narrow"/>
                <w:spacing w:val="-1"/>
                <w:sz w:val="24"/>
              </w:rPr>
              <w:t>23.97</w:t>
            </w:r>
          </w:p>
        </w:tc>
      </w:tr>
      <w:tr>
        <w:trPr>
          <w:trHeight w:val="397" w:hRule="exact"/>
        </w:trPr>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至</w:t>
            </w:r>
            <w:r>
              <w:rPr>
                <w:rFonts w:ascii="Arial Narrow" w:hAnsi="Arial Narrow" w:cs="Arial Narrow" w:eastAsia="Arial Narrow" w:hint="default"/>
                <w:sz w:val="24"/>
                <w:szCs w:val="24"/>
              </w:rPr>
              <w:t>3</w:t>
            </w:r>
            <w:r>
              <w:rPr>
                <w:rFonts w:ascii="宋体" w:hAnsi="宋体" w:cs="宋体" w:eastAsia="宋体" w:hint="default"/>
                <w:sz w:val="24"/>
                <w:szCs w:val="24"/>
              </w:rPr>
              <w:t>年</w:t>
            </w:r>
          </w:p>
        </w:tc>
        <w:tc>
          <w:tcPr>
            <w:tcW w:w="30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23" w:right="0"/>
              <w:jc w:val="left"/>
              <w:rPr>
                <w:rFonts w:ascii="Arial Narrow" w:hAnsi="Arial Narrow" w:cs="Arial Narrow" w:eastAsia="Arial Narrow" w:hint="default"/>
                <w:sz w:val="24"/>
                <w:szCs w:val="24"/>
              </w:rPr>
            </w:pPr>
            <w:r>
              <w:rPr>
                <w:rFonts w:ascii="Arial Narrow"/>
                <w:sz w:val="24"/>
              </w:rPr>
              <w:t>5,535,970.51</w:t>
            </w:r>
          </w:p>
        </w:tc>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2"/>
              <w:jc w:val="right"/>
              <w:rPr>
                <w:rFonts w:ascii="Arial Narrow" w:hAnsi="Arial Narrow" w:cs="Arial Narrow" w:eastAsia="Arial Narrow" w:hint="default"/>
                <w:sz w:val="24"/>
                <w:szCs w:val="24"/>
              </w:rPr>
            </w:pPr>
            <w:r>
              <w:rPr>
                <w:rFonts w:ascii="Arial Narrow"/>
                <w:spacing w:val="-3"/>
                <w:w w:val="95"/>
                <w:sz w:val="24"/>
              </w:rPr>
              <w:t>11.49</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4"/>
              <w:jc w:val="right"/>
              <w:rPr>
                <w:rFonts w:ascii="Arial Narrow" w:hAnsi="Arial Narrow" w:cs="Arial Narrow" w:eastAsia="Arial Narrow" w:hint="default"/>
                <w:sz w:val="24"/>
                <w:szCs w:val="24"/>
              </w:rPr>
            </w:pPr>
            <w:r>
              <w:rPr>
                <w:rFonts w:ascii="Arial Narrow"/>
                <w:spacing w:val="-2"/>
                <w:sz w:val="24"/>
              </w:rPr>
              <w:t>2,116,327.39</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Arial Narrow" w:hAnsi="Arial Narrow" w:cs="Arial Narrow" w:eastAsia="Arial Narrow" w:hint="default"/>
                <w:sz w:val="24"/>
                <w:szCs w:val="24"/>
              </w:rPr>
            </w:pPr>
            <w:r>
              <w:rPr>
                <w:rFonts w:ascii="Arial Narrow"/>
                <w:sz w:val="24"/>
              </w:rPr>
              <w:t>8.65</w:t>
            </w:r>
          </w:p>
        </w:tc>
      </w:tr>
      <w:tr>
        <w:trPr>
          <w:trHeight w:val="397" w:hRule="exact"/>
        </w:trPr>
        <w:tc>
          <w:tcPr>
            <w:tcW w:w="1765" w:type="dxa"/>
            <w:tcBorders>
              <w:top w:val="nil" w:sz="6" w:space="0" w:color="auto"/>
              <w:left w:val="nil" w:sz="6" w:space="0" w:color="auto"/>
              <w:bottom w:val="single" w:sz="4" w:space="0" w:color="000000"/>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年以上</w:t>
            </w:r>
          </w:p>
        </w:tc>
        <w:tc>
          <w:tcPr>
            <w:tcW w:w="300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923" w:right="0"/>
              <w:jc w:val="left"/>
              <w:rPr>
                <w:rFonts w:ascii="Arial Narrow" w:hAnsi="Arial Narrow" w:cs="Arial Narrow" w:eastAsia="Arial Narrow" w:hint="default"/>
                <w:sz w:val="24"/>
                <w:szCs w:val="24"/>
              </w:rPr>
            </w:pPr>
            <w:r>
              <w:rPr>
                <w:rFonts w:ascii="Arial Narrow"/>
                <w:sz w:val="24"/>
              </w:rPr>
              <w:t>3,805,733.89</w:t>
            </w:r>
          </w:p>
        </w:tc>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42"/>
              <w:jc w:val="right"/>
              <w:rPr>
                <w:rFonts w:ascii="Arial Narrow" w:hAnsi="Arial Narrow" w:cs="Arial Narrow" w:eastAsia="Arial Narrow" w:hint="default"/>
                <w:sz w:val="24"/>
                <w:szCs w:val="24"/>
              </w:rPr>
            </w:pPr>
            <w:r>
              <w:rPr>
                <w:rFonts w:ascii="Arial Narrow"/>
                <w:sz w:val="24"/>
              </w:rPr>
              <w:t>7.90</w:t>
            </w: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476"/>
              <w:jc w:val="right"/>
              <w:rPr>
                <w:rFonts w:ascii="Arial Narrow" w:hAnsi="Arial Narrow" w:cs="Arial Narrow" w:eastAsia="Arial Narrow" w:hint="default"/>
                <w:sz w:val="24"/>
                <w:szCs w:val="24"/>
              </w:rPr>
            </w:pPr>
            <w:r>
              <w:rPr>
                <w:rFonts w:ascii="Arial Narrow"/>
                <w:spacing w:val="-1"/>
                <w:sz w:val="24"/>
              </w:rPr>
              <w:t>1,709,406.50</w:t>
            </w:r>
          </w:p>
        </w:tc>
        <w:tc>
          <w:tcPr>
            <w:tcW w:w="124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7"/>
              <w:jc w:val="right"/>
              <w:rPr>
                <w:rFonts w:ascii="Arial Narrow" w:hAnsi="Arial Narrow" w:cs="Arial Narrow" w:eastAsia="Arial Narrow" w:hint="default"/>
                <w:sz w:val="24"/>
                <w:szCs w:val="24"/>
              </w:rPr>
            </w:pPr>
            <w:r>
              <w:rPr>
                <w:rFonts w:ascii="Arial Narrow"/>
                <w:sz w:val="24"/>
              </w:rPr>
              <w:t>6.99</w:t>
            </w:r>
          </w:p>
        </w:tc>
      </w:tr>
      <w:tr>
        <w:trPr>
          <w:trHeight w:val="403" w:hRule="exact"/>
        </w:trPr>
        <w:tc>
          <w:tcPr>
            <w:tcW w:w="1765"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00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812" w:right="0"/>
              <w:jc w:val="left"/>
              <w:rPr>
                <w:rFonts w:ascii="Arial Narrow" w:hAnsi="Arial Narrow" w:cs="Arial Narrow" w:eastAsia="Arial Narrow" w:hint="default"/>
                <w:sz w:val="24"/>
                <w:szCs w:val="24"/>
              </w:rPr>
            </w:pPr>
            <w:r>
              <w:rPr>
                <w:rFonts w:ascii="Arial Narrow"/>
                <w:b/>
                <w:sz w:val="24"/>
              </w:rPr>
              <w:t>48,182,565.57</w:t>
            </w:r>
            <w:r>
              <w:rPr>
                <w:rFonts w:ascii="Arial Narrow"/>
                <w:sz w:val="24"/>
              </w:rPr>
            </w:r>
          </w:p>
        </w:tc>
        <w:tc>
          <w:tcPr>
            <w:tcW w:w="105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43"/>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198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475"/>
              <w:jc w:val="right"/>
              <w:rPr>
                <w:rFonts w:ascii="Arial Narrow" w:hAnsi="Arial Narrow" w:cs="Arial Narrow" w:eastAsia="Arial Narrow" w:hint="default"/>
                <w:sz w:val="24"/>
                <w:szCs w:val="24"/>
              </w:rPr>
            </w:pPr>
            <w:r>
              <w:rPr>
                <w:rFonts w:ascii="Arial Narrow"/>
                <w:b/>
                <w:spacing w:val="-1"/>
                <w:sz w:val="24"/>
              </w:rPr>
              <w:t>24,457,435.65</w:t>
            </w:r>
            <w:r>
              <w:rPr>
                <w:rFonts w:ascii="Arial Narrow"/>
                <w:spacing w:val="-1"/>
                <w:sz w:val="24"/>
              </w:rPr>
            </w:r>
          </w:p>
        </w:tc>
        <w:tc>
          <w:tcPr>
            <w:tcW w:w="124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r>
    </w:tbl>
    <w:p>
      <w:pPr>
        <w:pStyle w:val="BodyText"/>
        <w:spacing w:line="240" w:lineRule="auto" w:before="80"/>
        <w:ind w:left="522" w:right="136"/>
        <w:jc w:val="left"/>
      </w:pPr>
      <w:r>
        <w:rPr/>
        <w:t>说明：账龄超过一年的应付账款主要系未支付的定制软件外包费。</w:t>
      </w:r>
    </w:p>
    <w:p>
      <w:pPr>
        <w:spacing w:line="240" w:lineRule="auto" w:before="9"/>
        <w:rPr>
          <w:rFonts w:ascii="宋体" w:hAnsi="宋体" w:cs="宋体" w:eastAsia="宋体" w:hint="default"/>
          <w:sz w:val="18"/>
          <w:szCs w:val="18"/>
        </w:rPr>
      </w:pPr>
    </w:p>
    <w:p>
      <w:pPr>
        <w:pStyle w:val="BodyText"/>
        <w:spacing w:line="312" w:lineRule="exact"/>
        <w:ind w:left="522" w:right="174"/>
        <w:jc w:val="left"/>
      </w:pPr>
      <w:r>
        <w:rPr/>
        <w:t>（</w:t>
      </w:r>
      <w:r>
        <w:rPr>
          <w:rFonts w:ascii="Arial Narrow" w:hAnsi="Arial Narrow" w:cs="Arial Narrow" w:eastAsia="Arial Narrow" w:hint="default"/>
        </w:rPr>
        <w:t>2</w:t>
      </w:r>
      <w:r>
        <w:rPr/>
        <w:t>）期末应付账款中不存在应付持本公司 </w:t>
      </w:r>
      <w:r>
        <w:rPr>
          <w:rFonts w:ascii="Arial Narrow" w:hAnsi="Arial Narrow" w:cs="Arial Narrow" w:eastAsia="Arial Narrow" w:hint="default"/>
        </w:rPr>
        <w:t>5%</w:t>
      </w:r>
      <w:r>
        <w:rPr/>
        <w:t>（含</w:t>
      </w:r>
      <w:r>
        <w:rPr>
          <w:spacing w:val="-16"/>
        </w:rPr>
        <w:t> </w:t>
      </w:r>
      <w:r>
        <w:rPr>
          <w:rFonts w:ascii="Arial Narrow" w:hAnsi="Arial Narrow" w:cs="Arial Narrow" w:eastAsia="Arial Narrow" w:hint="default"/>
        </w:rPr>
        <w:t>5%</w:t>
      </w:r>
      <w:r>
        <w:rPr/>
        <w:t>）以上表决权股份的股东单位的 款项。</w:t>
      </w:r>
    </w:p>
    <w:p>
      <w:pPr>
        <w:pStyle w:val="BodyText"/>
        <w:spacing w:line="240" w:lineRule="auto" w:before="183"/>
        <w:ind w:left="462" w:right="2957"/>
        <w:jc w:val="left"/>
      </w:pPr>
      <w:r>
        <w:rPr/>
        <w:t>（</w:t>
      </w:r>
      <w:r>
        <w:rPr>
          <w:rFonts w:ascii="Arial Narrow" w:hAnsi="Arial Narrow" w:cs="Arial Narrow" w:eastAsia="Arial Narrow" w:hint="default"/>
        </w:rPr>
        <w:t>3</w:t>
      </w:r>
      <w:r>
        <w:rPr/>
        <w:t>）期末应付账款中应付关联方的款项情况</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968"/>
        <w:gridCol w:w="2959"/>
        <w:gridCol w:w="2107"/>
      </w:tblGrid>
      <w:tr>
        <w:trPr>
          <w:trHeight w:val="391" w:hRule="exact"/>
        </w:trPr>
        <w:tc>
          <w:tcPr>
            <w:tcW w:w="3968"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105" w:right="0"/>
              <w:jc w:val="left"/>
              <w:rPr>
                <w:rFonts w:ascii="宋体" w:hAnsi="宋体" w:cs="宋体" w:eastAsia="宋体" w:hint="default"/>
                <w:sz w:val="24"/>
                <w:szCs w:val="24"/>
              </w:rPr>
            </w:pPr>
            <w:r>
              <w:rPr>
                <w:rFonts w:ascii="宋体" w:hAnsi="宋体" w:cs="宋体" w:eastAsia="宋体" w:hint="default"/>
                <w:b/>
                <w:bCs/>
                <w:sz w:val="24"/>
                <w:szCs w:val="24"/>
              </w:rPr>
              <w:t>单位名称</w:t>
            </w:r>
            <w:r>
              <w:rPr>
                <w:rFonts w:ascii="宋体" w:hAnsi="宋体" w:cs="宋体" w:eastAsia="宋体" w:hint="default"/>
                <w:sz w:val="24"/>
                <w:szCs w:val="24"/>
              </w:rPr>
            </w:r>
          </w:p>
        </w:tc>
        <w:tc>
          <w:tcPr>
            <w:tcW w:w="295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09"/>
              <w:jc w:val="right"/>
              <w:rPr>
                <w:rFonts w:ascii="宋体" w:hAnsi="宋体" w:cs="宋体" w:eastAsia="宋体" w:hint="default"/>
                <w:sz w:val="24"/>
                <w:szCs w:val="24"/>
              </w:rPr>
            </w:pPr>
            <w:r>
              <w:rPr>
                <w:rFonts w:ascii="宋体" w:hAnsi="宋体" w:cs="宋体" w:eastAsia="宋体" w:hint="default"/>
                <w:b/>
                <w:bCs/>
                <w:spacing w:val="2"/>
                <w:w w:val="95"/>
                <w:sz w:val="24"/>
                <w:szCs w:val="24"/>
              </w:rPr>
              <w:t>期末数</w:t>
            </w:r>
            <w:r>
              <w:rPr>
                <w:rFonts w:ascii="宋体" w:hAnsi="宋体" w:cs="宋体" w:eastAsia="宋体" w:hint="default"/>
                <w:sz w:val="24"/>
                <w:szCs w:val="24"/>
              </w:rPr>
            </w:r>
          </w:p>
        </w:tc>
        <w:tc>
          <w:tcPr>
            <w:tcW w:w="2107"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6"/>
              <w:jc w:val="right"/>
              <w:rPr>
                <w:rFonts w:ascii="宋体" w:hAnsi="宋体" w:cs="宋体" w:eastAsia="宋体" w:hint="default"/>
                <w:sz w:val="24"/>
                <w:szCs w:val="24"/>
              </w:rPr>
            </w:pPr>
            <w:r>
              <w:rPr>
                <w:rFonts w:ascii="宋体" w:hAnsi="宋体" w:cs="宋体" w:eastAsia="宋体" w:hint="default"/>
                <w:b/>
                <w:bCs/>
                <w:spacing w:val="2"/>
                <w:w w:val="95"/>
                <w:sz w:val="24"/>
                <w:szCs w:val="24"/>
              </w:rPr>
              <w:t>期初数</w:t>
            </w:r>
            <w:r>
              <w:rPr>
                <w:rFonts w:ascii="宋体" w:hAnsi="宋体" w:cs="宋体" w:eastAsia="宋体" w:hint="default"/>
                <w:sz w:val="24"/>
                <w:szCs w:val="24"/>
              </w:rPr>
            </w:r>
          </w:p>
        </w:tc>
      </w:tr>
      <w:tr>
        <w:trPr>
          <w:trHeight w:val="730" w:hRule="exact"/>
        </w:trPr>
        <w:tc>
          <w:tcPr>
            <w:tcW w:w="3968" w:type="dxa"/>
            <w:tcBorders>
              <w:top w:val="single" w:sz="4" w:space="0" w:color="000000"/>
              <w:left w:val="nil" w:sz="6" w:space="0" w:color="auto"/>
              <w:bottom w:val="single" w:sz="8" w:space="0" w:color="000000"/>
              <w:right w:val="nil" w:sz="6" w:space="0" w:color="auto"/>
            </w:tcBorders>
          </w:tcPr>
          <w:p>
            <w:pPr>
              <w:pStyle w:val="TableParagraph"/>
              <w:spacing w:line="312" w:lineRule="exact" w:before="36"/>
              <w:ind w:left="108" w:right="1066"/>
              <w:jc w:val="left"/>
              <w:rPr>
                <w:rFonts w:ascii="宋体" w:hAnsi="宋体" w:cs="宋体" w:eastAsia="宋体" w:hint="default"/>
                <w:sz w:val="24"/>
                <w:szCs w:val="24"/>
              </w:rPr>
            </w:pPr>
            <w:r>
              <w:rPr>
                <w:rFonts w:ascii="宋体" w:hAnsi="宋体" w:cs="宋体" w:eastAsia="宋体" w:hint="default"/>
                <w:spacing w:val="13"/>
                <w:sz w:val="24"/>
                <w:szCs w:val="24"/>
              </w:rPr>
              <w:t>北京国遥新天地信息技术</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有限公司</w:t>
            </w:r>
          </w:p>
        </w:tc>
        <w:tc>
          <w:tcPr>
            <w:tcW w:w="2959" w:type="dxa"/>
            <w:tcBorders>
              <w:top w:val="single" w:sz="4" w:space="0" w:color="000000"/>
              <w:left w:val="nil" w:sz="6" w:space="0" w:color="auto"/>
              <w:bottom w:val="single" w:sz="8" w:space="0" w:color="000000"/>
              <w:right w:val="nil" w:sz="6" w:space="0" w:color="auto"/>
            </w:tcBorders>
          </w:tcPr>
          <w:p>
            <w:pPr>
              <w:pStyle w:val="TableParagraph"/>
              <w:spacing w:line="240" w:lineRule="auto" w:before="214"/>
              <w:ind w:right="1012"/>
              <w:jc w:val="right"/>
              <w:rPr>
                <w:rFonts w:ascii="Arial Narrow" w:hAnsi="Arial Narrow" w:cs="Arial Narrow" w:eastAsia="Arial Narrow" w:hint="default"/>
                <w:sz w:val="24"/>
                <w:szCs w:val="24"/>
              </w:rPr>
            </w:pPr>
            <w:r>
              <w:rPr>
                <w:rFonts w:ascii="Arial Narrow"/>
                <w:spacing w:val="-1"/>
                <w:sz w:val="24"/>
              </w:rPr>
              <w:t>20,000.00</w:t>
            </w:r>
          </w:p>
        </w:tc>
        <w:tc>
          <w:tcPr>
            <w:tcW w:w="2107" w:type="dxa"/>
            <w:tcBorders>
              <w:top w:val="single" w:sz="4" w:space="0" w:color="000000"/>
              <w:left w:val="nil" w:sz="6" w:space="0" w:color="auto"/>
              <w:bottom w:val="single" w:sz="8" w:space="0" w:color="000000"/>
              <w:right w:val="nil" w:sz="6" w:space="0" w:color="auto"/>
            </w:tcBorders>
          </w:tcPr>
          <w:p>
            <w:pPr>
              <w:pStyle w:val="TableParagraph"/>
              <w:spacing w:line="240" w:lineRule="auto" w:before="214"/>
              <w:ind w:right="107"/>
              <w:jc w:val="right"/>
              <w:rPr>
                <w:rFonts w:ascii="Arial Narrow" w:hAnsi="Arial Narrow" w:cs="Arial Narrow" w:eastAsia="Arial Narrow" w:hint="default"/>
                <w:sz w:val="24"/>
                <w:szCs w:val="24"/>
              </w:rPr>
            </w:pPr>
            <w:r>
              <w:rPr>
                <w:rFonts w:ascii="Arial Narrow"/>
                <w:spacing w:val="-1"/>
                <w:sz w:val="24"/>
              </w:rPr>
              <w:t>138,260.00</w:t>
            </w:r>
          </w:p>
        </w:tc>
      </w:tr>
    </w:tbl>
    <w:p>
      <w:pPr>
        <w:pStyle w:val="BodyText"/>
        <w:spacing w:line="240" w:lineRule="auto" w:before="80"/>
        <w:ind w:left="102" w:right="2957"/>
        <w:jc w:val="left"/>
      </w:pPr>
      <w:r>
        <w:rPr>
          <w:rFonts w:ascii="Arial Narrow" w:hAnsi="Arial Narrow" w:cs="Arial Narrow" w:eastAsia="Arial Narrow" w:hint="default"/>
        </w:rPr>
        <w:t>21</w:t>
      </w:r>
      <w:r>
        <w:rPr/>
        <w:t>、预收款项</w:t>
      </w:r>
    </w:p>
    <w:p>
      <w:pPr>
        <w:pStyle w:val="BodyText"/>
        <w:spacing w:line="240" w:lineRule="auto" w:before="197"/>
        <w:ind w:left="519" w:right="2957"/>
        <w:jc w:val="left"/>
      </w:pPr>
      <w:r>
        <w:rPr/>
        <w:pict>
          <v:group style="position:absolute;margin-left:84.623993pt;margin-top:38.145607pt;width:457.8pt;height:1pt;mso-position-horizontal-relative:page;mso-position-vertical-relative:paragraph;z-index:-764704" coordorigin="1692,763" coordsize="9156,20">
            <v:group style="position:absolute;left:1702;top:773;width:1873;height:2" coordorigin="1702,773" coordsize="1873,2">
              <v:shape style="position:absolute;left:1702;top:773;width:1873;height:2" coordorigin="1702,773" coordsize="1873,0" path="m1702,773l3575,773e" filled="false" stroked="true" strokeweight=".96002pt" strokecolor="#000000">
                <v:path arrowok="t"/>
              </v:shape>
            </v:group>
            <v:group style="position:absolute;left:3575;top:773;width:20;height:2" coordorigin="3575,773" coordsize="20,2">
              <v:shape style="position:absolute;left:3575;top:773;width:20;height:2" coordorigin="3575,773" coordsize="20,0" path="m3575,773l3594,773e" filled="false" stroked="true" strokeweight=".96002pt" strokecolor="#000000">
                <v:path arrowok="t"/>
              </v:shape>
            </v:group>
            <v:group style="position:absolute;left:3594;top:773;width:3613;height:2" coordorigin="3594,773" coordsize="3613,2">
              <v:shape style="position:absolute;left:3594;top:773;width:3613;height:2" coordorigin="3594,773" coordsize="3613,0" path="m3594,773l7206,773e" filled="false" stroked="true" strokeweight=".96002pt" strokecolor="#000000">
                <v:path arrowok="t"/>
              </v:shape>
            </v:group>
            <v:group style="position:absolute;left:7206;top:773;width:20;height:2" coordorigin="7206,773" coordsize="20,2">
              <v:shape style="position:absolute;left:7206;top:773;width:20;height:2" coordorigin="7206,773" coordsize="20,0" path="m7206,773l7225,773e" filled="false" stroked="true" strokeweight=".96002pt" strokecolor="#000000">
                <v:path arrowok="t"/>
              </v:shape>
            </v:group>
            <v:group style="position:absolute;left:7225;top:773;width:3613;height:2" coordorigin="7225,773" coordsize="3613,2">
              <v:shape style="position:absolute;left:7225;top:773;width:3613;height:2" coordorigin="7225,773" coordsize="3613,0" path="m7225,773l10838,773e" filled="false" stroked="true" strokeweight=".96002pt" strokecolor="#000000">
                <v:path arrowok="t"/>
              </v:shape>
            </v:group>
            <w10:wrap type="none"/>
          </v:group>
        </w:pict>
      </w:r>
      <w:r>
        <w:rPr/>
        <w:t>（</w:t>
      </w:r>
      <w:r>
        <w:rPr>
          <w:rFonts w:ascii="Arial Narrow" w:hAnsi="Arial Narrow" w:cs="Arial Narrow" w:eastAsia="Arial Narrow" w:hint="default"/>
        </w:rPr>
        <w:t>1</w:t>
      </w:r>
      <w:r>
        <w:rPr/>
        <w:t>）账龄分析</w:t>
      </w:r>
    </w:p>
    <w:p>
      <w:pPr>
        <w:spacing w:line="240" w:lineRule="auto" w:before="9"/>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227"/>
        <w:gridCol w:w="3577"/>
        <w:gridCol w:w="2380"/>
      </w:tblGrid>
      <w:tr>
        <w:trPr>
          <w:trHeight w:val="317" w:hRule="exact"/>
        </w:trPr>
        <w:tc>
          <w:tcPr>
            <w:tcW w:w="2227"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3"/>
              <w:ind w:left="108" w:right="0"/>
              <w:jc w:val="left"/>
              <w:rPr>
                <w:rFonts w:ascii="宋体" w:hAnsi="宋体" w:cs="宋体" w:eastAsia="宋体" w:hint="default"/>
                <w:sz w:val="24"/>
                <w:szCs w:val="24"/>
              </w:rPr>
            </w:pPr>
            <w:r>
              <w:rPr>
                <w:rFonts w:ascii="宋体" w:hAnsi="宋体" w:cs="宋体" w:eastAsia="宋体" w:hint="default"/>
                <w:b/>
                <w:bCs/>
                <w:w w:val="95"/>
                <w:sz w:val="24"/>
                <w:szCs w:val="24"/>
              </w:rPr>
              <w:t>账</w:t>
              <w:tab/>
            </w:r>
            <w:r>
              <w:rPr>
                <w:rFonts w:ascii="宋体" w:hAnsi="宋体" w:cs="宋体" w:eastAsia="宋体" w:hint="default"/>
                <w:b/>
                <w:bCs/>
                <w:sz w:val="24"/>
                <w:szCs w:val="24"/>
              </w:rPr>
              <w:t>龄</w:t>
            </w:r>
            <w:r>
              <w:rPr>
                <w:rFonts w:ascii="宋体" w:hAnsi="宋体" w:cs="宋体" w:eastAsia="宋体" w:hint="default"/>
                <w:sz w:val="24"/>
                <w:szCs w:val="24"/>
              </w:rPr>
            </w:r>
          </w:p>
        </w:tc>
        <w:tc>
          <w:tcPr>
            <w:tcW w:w="35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3"/>
              <w:jc w:val="center"/>
              <w:rPr>
                <w:rFonts w:ascii="宋体" w:hAnsi="宋体" w:cs="宋体" w:eastAsia="宋体" w:hint="default"/>
                <w:sz w:val="24"/>
                <w:szCs w:val="24"/>
              </w:rPr>
            </w:pPr>
            <w:r>
              <w:rPr>
                <w:rFonts w:ascii="宋体" w:hAnsi="宋体" w:cs="宋体" w:eastAsia="宋体" w:hint="default"/>
                <w:b/>
                <w:bCs/>
                <w:spacing w:val="2"/>
                <w:sz w:val="24"/>
                <w:szCs w:val="24"/>
              </w:rPr>
              <w:t>期末数</w:t>
            </w:r>
            <w:r>
              <w:rPr>
                <w:rFonts w:ascii="宋体" w:hAnsi="宋体" w:cs="宋体" w:eastAsia="宋体" w:hint="default"/>
                <w:sz w:val="24"/>
                <w:szCs w:val="24"/>
              </w:rPr>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452" w:right="0"/>
              <w:jc w:val="left"/>
              <w:rPr>
                <w:rFonts w:ascii="宋体" w:hAnsi="宋体" w:cs="宋体" w:eastAsia="宋体" w:hint="default"/>
                <w:sz w:val="24"/>
                <w:szCs w:val="24"/>
              </w:rPr>
            </w:pPr>
            <w:r>
              <w:rPr>
                <w:rFonts w:ascii="宋体" w:hAnsi="宋体" w:cs="宋体" w:eastAsia="宋体" w:hint="default"/>
                <w:b/>
                <w:bCs/>
                <w:spacing w:val="2"/>
                <w:sz w:val="24"/>
                <w:szCs w:val="24"/>
              </w:rPr>
              <w:t>期初数</w:t>
            </w:r>
            <w:r>
              <w:rPr>
                <w:rFonts w:ascii="宋体" w:hAnsi="宋体" w:cs="宋体" w:eastAsia="宋体" w:hint="default"/>
                <w:sz w:val="24"/>
                <w:szCs w:val="24"/>
              </w:rPr>
            </w:r>
          </w:p>
        </w:tc>
      </w:tr>
    </w:tbl>
    <w:p>
      <w:pPr>
        <w:spacing w:after="0" w:line="240" w:lineRule="auto"/>
        <w:jc w:val="left"/>
        <w:rPr>
          <w:rFonts w:ascii="宋体" w:hAnsi="宋体" w:cs="宋体" w:eastAsia="宋体" w:hint="default"/>
          <w:sz w:val="24"/>
          <w:szCs w:val="24"/>
        </w:rPr>
        <w:sectPr>
          <w:type w:val="continuous"/>
          <w:pgSz w:w="11900" w:h="16850"/>
          <w:pgMar w:top="440" w:bottom="280" w:left="1180" w:right="94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1643"/>
        <w:gridCol w:w="2531"/>
        <w:gridCol w:w="1516"/>
        <w:gridCol w:w="2116"/>
        <w:gridCol w:w="1344"/>
      </w:tblGrid>
      <w:tr>
        <w:trPr>
          <w:trHeight w:val="497" w:hRule="exact"/>
        </w:trPr>
        <w:tc>
          <w:tcPr>
            <w:tcW w:w="386" w:type="dxa"/>
            <w:tcBorders>
              <w:top w:val="single" w:sz="6" w:space="0" w:color="000000"/>
              <w:left w:val="nil" w:sz="6" w:space="0" w:color="auto"/>
              <w:bottom w:val="nil" w:sz="6" w:space="0" w:color="auto"/>
              <w:right w:val="nil" w:sz="6" w:space="0" w:color="auto"/>
            </w:tcBorders>
          </w:tcPr>
          <w:p>
            <w:pPr/>
          </w:p>
        </w:tc>
        <w:tc>
          <w:tcPr>
            <w:tcW w:w="1643" w:type="dxa"/>
            <w:tcBorders>
              <w:top w:val="single" w:sz="6" w:space="0" w:color="000000"/>
              <w:left w:val="nil" w:sz="6" w:space="0" w:color="auto"/>
              <w:bottom w:val="single" w:sz="4" w:space="0" w:color="000000"/>
              <w:right w:val="nil" w:sz="6" w:space="0" w:color="auto"/>
            </w:tcBorders>
          </w:tcPr>
          <w:p>
            <w:pPr/>
          </w:p>
        </w:tc>
        <w:tc>
          <w:tcPr>
            <w:tcW w:w="2531" w:type="dxa"/>
            <w:tcBorders>
              <w:top w:val="single" w:sz="6" w:space="0" w:color="000000"/>
              <w:left w:val="nil" w:sz="6" w:space="0" w:color="auto"/>
              <w:bottom w:val="single" w:sz="4" w:space="0" w:color="000000"/>
              <w:right w:val="nil" w:sz="6" w:space="0" w:color="auto"/>
            </w:tcBorders>
          </w:tcPr>
          <w:p>
            <w:pPr>
              <w:pStyle w:val="TableParagraph"/>
              <w:tabs>
                <w:tab w:pos="482" w:val="left" w:leader="none"/>
              </w:tabs>
              <w:spacing w:line="240" w:lineRule="auto" w:before="91"/>
              <w:ind w:right="578"/>
              <w:jc w:val="right"/>
              <w:rPr>
                <w:rFonts w:ascii="宋体" w:hAnsi="宋体" w:cs="宋体" w:eastAsia="宋体" w:hint="default"/>
                <w:sz w:val="24"/>
                <w:szCs w:val="24"/>
              </w:rPr>
            </w:pPr>
            <w:r>
              <w:rPr>
                <w:rFonts w:ascii="宋体" w:hAnsi="宋体" w:cs="宋体" w:eastAsia="宋体" w:hint="default"/>
                <w:b/>
                <w:bCs/>
                <w:w w:val="95"/>
                <w:sz w:val="24"/>
                <w:szCs w:val="24"/>
              </w:rPr>
              <w:t>金</w:t>
              <w:tab/>
              <w:t>额</w:t>
            </w:r>
            <w:r>
              <w:rPr>
                <w:rFonts w:ascii="宋体" w:hAnsi="宋体" w:cs="宋体" w:eastAsia="宋体" w:hint="default"/>
                <w:sz w:val="24"/>
                <w:szCs w:val="24"/>
              </w:rPr>
            </w:r>
          </w:p>
        </w:tc>
        <w:tc>
          <w:tcPr>
            <w:tcW w:w="1516" w:type="dxa"/>
            <w:tcBorders>
              <w:top w:val="single" w:sz="6" w:space="0" w:color="000000"/>
              <w:left w:val="nil" w:sz="6" w:space="0" w:color="auto"/>
              <w:bottom w:val="single" w:sz="4" w:space="0" w:color="000000"/>
              <w:right w:val="nil" w:sz="6" w:space="0" w:color="auto"/>
            </w:tcBorders>
          </w:tcPr>
          <w:p>
            <w:pPr>
              <w:pStyle w:val="TableParagraph"/>
              <w:spacing w:line="240" w:lineRule="auto" w:before="91"/>
              <w:ind w:right="275"/>
              <w:jc w:val="right"/>
              <w:rPr>
                <w:rFonts w:ascii="Arial Narrow" w:hAnsi="Arial Narrow" w:cs="Arial Narrow" w:eastAsia="Arial Narrow" w:hint="default"/>
                <w:sz w:val="24"/>
                <w:szCs w:val="24"/>
              </w:rPr>
            </w:pPr>
            <w:r>
              <w:rPr>
                <w:rFonts w:ascii="宋体" w:hAnsi="宋体" w:cs="宋体" w:eastAsia="宋体"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116" w:type="dxa"/>
            <w:tcBorders>
              <w:top w:val="single" w:sz="6" w:space="0" w:color="000000"/>
              <w:left w:val="nil" w:sz="6" w:space="0" w:color="auto"/>
              <w:bottom w:val="single" w:sz="4" w:space="0" w:color="000000"/>
              <w:right w:val="nil" w:sz="6" w:space="0" w:color="auto"/>
            </w:tcBorders>
          </w:tcPr>
          <w:p>
            <w:pPr>
              <w:pStyle w:val="TableParagraph"/>
              <w:tabs>
                <w:tab w:pos="482" w:val="left" w:leader="none"/>
              </w:tabs>
              <w:spacing w:line="240" w:lineRule="auto" w:before="91"/>
              <w:ind w:right="576"/>
              <w:jc w:val="right"/>
              <w:rPr>
                <w:rFonts w:ascii="宋体" w:hAnsi="宋体" w:cs="宋体" w:eastAsia="宋体" w:hint="default"/>
                <w:sz w:val="24"/>
                <w:szCs w:val="24"/>
              </w:rPr>
            </w:pPr>
            <w:r>
              <w:rPr>
                <w:rFonts w:ascii="宋体" w:hAnsi="宋体" w:cs="宋体" w:eastAsia="宋体" w:hint="default"/>
                <w:b/>
                <w:bCs/>
                <w:w w:val="95"/>
                <w:sz w:val="24"/>
                <w:szCs w:val="24"/>
              </w:rPr>
              <w:t>金</w:t>
              <w:tab/>
              <w:t>额</w:t>
            </w:r>
            <w:r>
              <w:rPr>
                <w:rFonts w:ascii="宋体" w:hAnsi="宋体" w:cs="宋体" w:eastAsia="宋体" w:hint="default"/>
                <w:sz w:val="24"/>
                <w:szCs w:val="24"/>
              </w:rPr>
            </w:r>
          </w:p>
        </w:tc>
        <w:tc>
          <w:tcPr>
            <w:tcW w:w="1344" w:type="dxa"/>
            <w:tcBorders>
              <w:top w:val="single" w:sz="6" w:space="0" w:color="000000"/>
              <w:left w:val="nil" w:sz="6" w:space="0" w:color="auto"/>
              <w:bottom w:val="single" w:sz="4" w:space="0" w:color="000000"/>
              <w:right w:val="nil" w:sz="6" w:space="0" w:color="auto"/>
            </w:tcBorders>
          </w:tcPr>
          <w:p>
            <w:pPr>
              <w:pStyle w:val="TableParagraph"/>
              <w:spacing w:line="240" w:lineRule="auto" w:before="91"/>
              <w:ind w:right="104"/>
              <w:jc w:val="right"/>
              <w:rPr>
                <w:rFonts w:ascii="Arial Narrow" w:hAnsi="Arial Narrow" w:cs="Arial Narrow" w:eastAsia="Arial Narrow" w:hint="default"/>
                <w:sz w:val="24"/>
                <w:szCs w:val="24"/>
              </w:rPr>
            </w:pPr>
            <w:r>
              <w:rPr>
                <w:rFonts w:ascii="宋体" w:hAnsi="宋体" w:cs="宋体" w:eastAsia="宋体"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399" w:hRule="exact"/>
        </w:trPr>
        <w:tc>
          <w:tcPr>
            <w:tcW w:w="386" w:type="dxa"/>
            <w:tcBorders>
              <w:top w:val="nil" w:sz="6" w:space="0" w:color="auto"/>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25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78"/>
              <w:jc w:val="right"/>
              <w:rPr>
                <w:rFonts w:ascii="Arial Narrow" w:hAnsi="Arial Narrow" w:cs="Arial Narrow" w:eastAsia="Arial Narrow" w:hint="default"/>
                <w:sz w:val="24"/>
                <w:szCs w:val="24"/>
              </w:rPr>
            </w:pPr>
            <w:r>
              <w:rPr>
                <w:rFonts w:ascii="Arial Narrow"/>
                <w:spacing w:val="-2"/>
                <w:sz w:val="24"/>
              </w:rPr>
              <w:t>29,691,118.50</w:t>
            </w: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6"/>
              <w:jc w:val="right"/>
              <w:rPr>
                <w:rFonts w:ascii="Arial Narrow" w:hAnsi="Arial Narrow" w:cs="Arial Narrow" w:eastAsia="Arial Narrow" w:hint="default"/>
                <w:sz w:val="24"/>
                <w:szCs w:val="24"/>
              </w:rPr>
            </w:pPr>
            <w:r>
              <w:rPr>
                <w:rFonts w:ascii="Arial Narrow"/>
                <w:spacing w:val="-1"/>
                <w:sz w:val="24"/>
              </w:rPr>
              <w:t>68.15</w:t>
            </w: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77"/>
              <w:jc w:val="right"/>
              <w:rPr>
                <w:rFonts w:ascii="Arial Narrow" w:hAnsi="Arial Narrow" w:cs="Arial Narrow" w:eastAsia="Arial Narrow" w:hint="default"/>
                <w:sz w:val="24"/>
                <w:szCs w:val="24"/>
              </w:rPr>
            </w:pPr>
            <w:r>
              <w:rPr>
                <w:rFonts w:ascii="Arial Narrow"/>
                <w:spacing w:val="-1"/>
                <w:sz w:val="24"/>
              </w:rPr>
              <w:t>28,864,479.96</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pacing w:val="-1"/>
                <w:sz w:val="24"/>
              </w:rPr>
              <w:t>71.89</w:t>
            </w:r>
          </w:p>
        </w:tc>
      </w:tr>
      <w:tr>
        <w:trPr>
          <w:trHeight w:val="395" w:hRule="exact"/>
        </w:trPr>
        <w:tc>
          <w:tcPr>
            <w:tcW w:w="38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328"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至</w:t>
            </w:r>
            <w:r>
              <w:rPr>
                <w:rFonts w:ascii="Arial Narrow" w:hAnsi="Arial Narrow" w:cs="Arial Narrow" w:eastAsia="Arial Narrow" w:hint="default"/>
                <w:sz w:val="24"/>
                <w:szCs w:val="24"/>
              </w:rPr>
              <w:t>2</w:t>
            </w:r>
            <w:r>
              <w:rPr>
                <w:rFonts w:ascii="宋体" w:hAnsi="宋体" w:cs="宋体" w:eastAsia="宋体" w:hint="default"/>
                <w:sz w:val="24"/>
                <w:szCs w:val="24"/>
              </w:rPr>
              <w:t>年</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78"/>
              <w:jc w:val="right"/>
              <w:rPr>
                <w:rFonts w:ascii="Arial Narrow" w:hAnsi="Arial Narrow" w:cs="Arial Narrow" w:eastAsia="Arial Narrow" w:hint="default"/>
                <w:sz w:val="24"/>
                <w:szCs w:val="24"/>
              </w:rPr>
            </w:pPr>
            <w:r>
              <w:rPr>
                <w:rFonts w:ascii="Arial Narrow"/>
                <w:spacing w:val="-1"/>
                <w:sz w:val="24"/>
              </w:rPr>
              <w:t>12,520,879.84</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6"/>
              <w:jc w:val="right"/>
              <w:rPr>
                <w:rFonts w:ascii="Arial Narrow" w:hAnsi="Arial Narrow" w:cs="Arial Narrow" w:eastAsia="Arial Narrow" w:hint="default"/>
                <w:sz w:val="24"/>
                <w:szCs w:val="24"/>
              </w:rPr>
            </w:pPr>
            <w:r>
              <w:rPr>
                <w:rFonts w:ascii="Arial Narrow"/>
                <w:spacing w:val="-1"/>
                <w:sz w:val="24"/>
              </w:rPr>
              <w:t>28.74</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78"/>
              <w:jc w:val="right"/>
              <w:rPr>
                <w:rFonts w:ascii="Arial Narrow" w:hAnsi="Arial Narrow" w:cs="Arial Narrow" w:eastAsia="Arial Narrow" w:hint="default"/>
                <w:sz w:val="24"/>
                <w:szCs w:val="24"/>
              </w:rPr>
            </w:pPr>
            <w:r>
              <w:rPr>
                <w:rFonts w:ascii="Arial Narrow"/>
                <w:spacing w:val="-1"/>
                <w:sz w:val="24"/>
              </w:rPr>
              <w:t>6,384,050.40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spacing w:val="-1"/>
                <w:sz w:val="24"/>
              </w:rPr>
              <w:t>15.90</w:t>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至</w:t>
            </w:r>
            <w:r>
              <w:rPr>
                <w:rFonts w:ascii="Arial Narrow" w:hAnsi="Arial Narrow" w:cs="Arial Narrow" w:eastAsia="Arial Narrow" w:hint="default"/>
                <w:sz w:val="24"/>
                <w:szCs w:val="24"/>
              </w:rPr>
              <w:t>3</w:t>
            </w:r>
            <w:r>
              <w:rPr>
                <w:rFonts w:ascii="宋体" w:hAnsi="宋体" w:cs="宋体" w:eastAsia="宋体" w:hint="default"/>
                <w:sz w:val="24"/>
                <w:szCs w:val="24"/>
              </w:rPr>
              <w:t>年</w:t>
            </w:r>
          </w:p>
        </w:tc>
        <w:tc>
          <w:tcPr>
            <w:tcW w:w="25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78"/>
              <w:jc w:val="right"/>
              <w:rPr>
                <w:rFonts w:ascii="Arial Narrow" w:hAnsi="Arial Narrow" w:cs="Arial Narrow" w:eastAsia="Arial Narrow" w:hint="default"/>
                <w:sz w:val="24"/>
                <w:szCs w:val="24"/>
              </w:rPr>
            </w:pPr>
            <w:r>
              <w:rPr>
                <w:rFonts w:ascii="Arial Narrow"/>
                <w:spacing w:val="-1"/>
                <w:sz w:val="24"/>
              </w:rPr>
              <w:t>1,236,312.00</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6"/>
              <w:jc w:val="right"/>
              <w:rPr>
                <w:rFonts w:ascii="Arial Narrow" w:hAnsi="Arial Narrow" w:cs="Arial Narrow" w:eastAsia="Arial Narrow" w:hint="default"/>
                <w:sz w:val="24"/>
                <w:szCs w:val="24"/>
              </w:rPr>
            </w:pPr>
            <w:r>
              <w:rPr>
                <w:rFonts w:ascii="Arial Narrow"/>
                <w:sz w:val="24"/>
              </w:rPr>
              <w:t>2.84</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78"/>
              <w:jc w:val="right"/>
              <w:rPr>
                <w:rFonts w:ascii="Arial Narrow" w:hAnsi="Arial Narrow" w:cs="Arial Narrow" w:eastAsia="Arial Narrow" w:hint="default"/>
                <w:sz w:val="24"/>
                <w:szCs w:val="24"/>
              </w:rPr>
            </w:pPr>
            <w:r>
              <w:rPr>
                <w:rFonts w:ascii="Arial Narrow"/>
                <w:spacing w:val="-1"/>
                <w:sz w:val="24"/>
              </w:rPr>
              <w:t>1,676,444.00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Arial Narrow" w:hAnsi="Arial Narrow" w:cs="Arial Narrow" w:eastAsia="Arial Narrow" w:hint="default"/>
                <w:sz w:val="24"/>
                <w:szCs w:val="24"/>
              </w:rPr>
            </w:pPr>
            <w:r>
              <w:rPr>
                <w:rFonts w:ascii="Arial Narrow"/>
                <w:sz w:val="24"/>
              </w:rPr>
              <w:t>4.18</w:t>
            </w:r>
          </w:p>
        </w:tc>
      </w:tr>
      <w:tr>
        <w:trPr>
          <w:trHeight w:val="399" w:hRule="exact"/>
        </w:trPr>
        <w:tc>
          <w:tcPr>
            <w:tcW w:w="386"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single" w:sz="4" w:space="0" w:color="000000"/>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年以上</w:t>
            </w:r>
          </w:p>
        </w:tc>
        <w:tc>
          <w:tcPr>
            <w:tcW w:w="253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78"/>
              <w:jc w:val="right"/>
              <w:rPr>
                <w:rFonts w:ascii="Arial Narrow" w:hAnsi="Arial Narrow" w:cs="Arial Narrow" w:eastAsia="Arial Narrow" w:hint="default"/>
                <w:sz w:val="24"/>
                <w:szCs w:val="24"/>
              </w:rPr>
            </w:pPr>
            <w:r>
              <w:rPr>
                <w:rFonts w:ascii="Arial Narrow"/>
                <w:spacing w:val="-1"/>
                <w:sz w:val="24"/>
              </w:rPr>
              <w:t>120,100.00</w:t>
            </w: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6"/>
              <w:jc w:val="right"/>
              <w:rPr>
                <w:rFonts w:ascii="Arial Narrow" w:hAnsi="Arial Narrow" w:cs="Arial Narrow" w:eastAsia="Arial Narrow" w:hint="default"/>
                <w:sz w:val="24"/>
                <w:szCs w:val="24"/>
              </w:rPr>
            </w:pPr>
            <w:r>
              <w:rPr>
                <w:rFonts w:ascii="Arial Narrow"/>
                <w:sz w:val="24"/>
              </w:rPr>
              <w:t>0.27</w:t>
            </w: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78"/>
              <w:jc w:val="right"/>
              <w:rPr>
                <w:rFonts w:ascii="Arial Narrow" w:hAnsi="Arial Narrow" w:cs="Arial Narrow" w:eastAsia="Arial Narrow" w:hint="default"/>
                <w:sz w:val="24"/>
                <w:szCs w:val="24"/>
              </w:rPr>
            </w:pPr>
            <w:r>
              <w:rPr>
                <w:rFonts w:ascii="Arial Narrow"/>
                <w:spacing w:val="-1"/>
                <w:sz w:val="24"/>
              </w:rPr>
              <w:t>3,224,918.00</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z w:val="24"/>
              </w:rPr>
              <w:t>8.03</w:t>
            </w:r>
          </w:p>
        </w:tc>
      </w:tr>
      <w:tr>
        <w:trPr>
          <w:trHeight w:val="403" w:hRule="exact"/>
        </w:trPr>
        <w:tc>
          <w:tcPr>
            <w:tcW w:w="386" w:type="dxa"/>
            <w:tcBorders>
              <w:top w:val="nil" w:sz="6" w:space="0" w:color="auto"/>
              <w:left w:val="nil" w:sz="6" w:space="0" w:color="auto"/>
              <w:bottom w:val="nil" w:sz="6" w:space="0" w:color="auto"/>
              <w:right w:val="nil" w:sz="6" w:space="0" w:color="auto"/>
            </w:tcBorders>
          </w:tcPr>
          <w:p>
            <w:pPr/>
          </w:p>
        </w:tc>
        <w:tc>
          <w:tcPr>
            <w:tcW w:w="1643"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531"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577"/>
              <w:jc w:val="right"/>
              <w:rPr>
                <w:rFonts w:ascii="Arial Narrow" w:hAnsi="Arial Narrow" w:cs="Arial Narrow" w:eastAsia="Arial Narrow" w:hint="default"/>
                <w:sz w:val="24"/>
                <w:szCs w:val="24"/>
              </w:rPr>
            </w:pPr>
            <w:r>
              <w:rPr>
                <w:rFonts w:ascii="Arial Narrow"/>
                <w:b/>
                <w:spacing w:val="-1"/>
                <w:sz w:val="24"/>
              </w:rPr>
              <w:t>43,568,410.34</w:t>
            </w:r>
            <w:r>
              <w:rPr>
                <w:rFonts w:ascii="Arial Narrow"/>
                <w:spacing w:val="-1"/>
                <w:sz w:val="24"/>
              </w:rPr>
            </w:r>
          </w:p>
        </w:tc>
        <w:tc>
          <w:tcPr>
            <w:tcW w:w="151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78"/>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211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577"/>
              <w:jc w:val="right"/>
              <w:rPr>
                <w:rFonts w:ascii="Arial Narrow" w:hAnsi="Arial Narrow" w:cs="Arial Narrow" w:eastAsia="Arial Narrow" w:hint="default"/>
                <w:sz w:val="24"/>
                <w:szCs w:val="24"/>
              </w:rPr>
            </w:pPr>
            <w:r>
              <w:rPr>
                <w:rFonts w:ascii="Arial Narrow"/>
                <w:b/>
                <w:spacing w:val="-1"/>
                <w:sz w:val="24"/>
              </w:rPr>
              <w:t>40,149,892.36</w:t>
            </w:r>
            <w:r>
              <w:rPr>
                <w:rFonts w:ascii="Arial Narrow"/>
                <w:spacing w:val="-1"/>
                <w:sz w:val="24"/>
              </w:rPr>
            </w:r>
          </w:p>
        </w:tc>
        <w:tc>
          <w:tcPr>
            <w:tcW w:w="1344"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r>
    </w:tbl>
    <w:p>
      <w:pPr>
        <w:pStyle w:val="BodyText"/>
        <w:spacing w:line="310" w:lineRule="exact" w:before="112"/>
        <w:ind w:left="519" w:right="0"/>
        <w:jc w:val="left"/>
      </w:pPr>
      <w:r>
        <w:rPr>
          <w:spacing w:val="-2"/>
        </w:rPr>
        <w:t>说明：账龄超过一年的预收款项主要系提供的定制软件实际到款情况与完工进度存在差</w:t>
      </w:r>
      <w:r>
        <w:rPr>
          <w:spacing w:val="-97"/>
        </w:rPr>
        <w:t> </w:t>
      </w:r>
      <w:r>
        <w:rPr>
          <w:spacing w:val="-97"/>
        </w:rPr>
      </w:r>
      <w:r>
        <w:rPr/>
        <w:t>异所致。</w:t>
      </w:r>
    </w:p>
    <w:p>
      <w:pPr>
        <w:pStyle w:val="BodyText"/>
        <w:spacing w:line="240" w:lineRule="auto" w:before="185"/>
        <w:ind w:left="519" w:right="0"/>
        <w:jc w:val="left"/>
      </w:pPr>
      <w:r>
        <w:rPr/>
        <w:t>（</w:t>
      </w:r>
      <w:r>
        <w:rPr>
          <w:rFonts w:ascii="Arial Narrow" w:hAnsi="Arial Narrow" w:cs="Arial Narrow" w:eastAsia="Arial Narrow" w:hint="default"/>
        </w:rPr>
        <w:t>2</w:t>
      </w:r>
      <w:r>
        <w:rPr/>
        <w:t>）本报告期预收款项中预收其他关联方情况</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957"/>
        <w:gridCol w:w="3099"/>
        <w:gridCol w:w="1977"/>
      </w:tblGrid>
      <w:tr>
        <w:trPr>
          <w:trHeight w:val="391" w:hRule="exact"/>
        </w:trPr>
        <w:tc>
          <w:tcPr>
            <w:tcW w:w="3957"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105" w:right="0"/>
              <w:jc w:val="left"/>
              <w:rPr>
                <w:rFonts w:ascii="宋体" w:hAnsi="宋体" w:cs="宋体" w:eastAsia="宋体" w:hint="default"/>
                <w:sz w:val="24"/>
                <w:szCs w:val="24"/>
              </w:rPr>
            </w:pPr>
            <w:r>
              <w:rPr>
                <w:rFonts w:ascii="宋体" w:hAnsi="宋体" w:cs="宋体" w:eastAsia="宋体" w:hint="default"/>
                <w:b/>
                <w:bCs/>
                <w:sz w:val="24"/>
                <w:szCs w:val="24"/>
              </w:rPr>
              <w:t>单位名称</w:t>
            </w:r>
            <w:r>
              <w:rPr>
                <w:rFonts w:ascii="宋体" w:hAnsi="宋体" w:cs="宋体" w:eastAsia="宋体" w:hint="default"/>
                <w:sz w:val="24"/>
                <w:szCs w:val="24"/>
              </w:rPr>
            </w:r>
          </w:p>
        </w:tc>
        <w:tc>
          <w:tcPr>
            <w:tcW w:w="309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139"/>
              <w:jc w:val="right"/>
              <w:rPr>
                <w:rFonts w:ascii="宋体" w:hAnsi="宋体" w:cs="宋体" w:eastAsia="宋体" w:hint="default"/>
                <w:sz w:val="24"/>
                <w:szCs w:val="24"/>
              </w:rPr>
            </w:pPr>
            <w:r>
              <w:rPr>
                <w:rFonts w:ascii="宋体" w:hAnsi="宋体" w:cs="宋体" w:eastAsia="宋体" w:hint="default"/>
                <w:b/>
                <w:bCs/>
                <w:spacing w:val="2"/>
                <w:w w:val="95"/>
                <w:sz w:val="24"/>
                <w:szCs w:val="24"/>
              </w:rPr>
              <w:t>期末数</w:t>
            </w:r>
            <w:r>
              <w:rPr>
                <w:rFonts w:ascii="宋体" w:hAnsi="宋体" w:cs="宋体" w:eastAsia="宋体" w:hint="default"/>
                <w:sz w:val="24"/>
                <w:szCs w:val="24"/>
              </w:rPr>
            </w:r>
          </w:p>
        </w:tc>
        <w:tc>
          <w:tcPr>
            <w:tcW w:w="1977"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6"/>
              <w:jc w:val="right"/>
              <w:rPr>
                <w:rFonts w:ascii="宋体" w:hAnsi="宋体" w:cs="宋体" w:eastAsia="宋体" w:hint="default"/>
                <w:sz w:val="24"/>
                <w:szCs w:val="24"/>
              </w:rPr>
            </w:pPr>
            <w:r>
              <w:rPr>
                <w:rFonts w:ascii="宋体" w:hAnsi="宋体" w:cs="宋体" w:eastAsia="宋体" w:hint="default"/>
                <w:b/>
                <w:bCs/>
                <w:spacing w:val="2"/>
                <w:w w:val="95"/>
                <w:sz w:val="24"/>
                <w:szCs w:val="24"/>
              </w:rPr>
              <w:t>期初数</w:t>
            </w:r>
            <w:r>
              <w:rPr>
                <w:rFonts w:ascii="宋体" w:hAnsi="宋体" w:cs="宋体" w:eastAsia="宋体" w:hint="default"/>
                <w:sz w:val="24"/>
                <w:szCs w:val="24"/>
              </w:rPr>
            </w:r>
          </w:p>
        </w:tc>
      </w:tr>
      <w:tr>
        <w:trPr>
          <w:trHeight w:val="600" w:hRule="exact"/>
        </w:trPr>
        <w:tc>
          <w:tcPr>
            <w:tcW w:w="3957" w:type="dxa"/>
            <w:tcBorders>
              <w:top w:val="single" w:sz="4" w:space="0" w:color="000000"/>
              <w:left w:val="nil" w:sz="6" w:space="0" w:color="auto"/>
              <w:bottom w:val="single" w:sz="8" w:space="0" w:color="000000"/>
              <w:right w:val="nil" w:sz="6" w:space="0" w:color="auto"/>
            </w:tcBorders>
          </w:tcPr>
          <w:p>
            <w:pPr>
              <w:pStyle w:val="TableParagraph"/>
              <w:spacing w:line="240" w:lineRule="auto" w:before="96"/>
              <w:ind w:left="108" w:right="0"/>
              <w:jc w:val="left"/>
              <w:rPr>
                <w:rFonts w:ascii="宋体" w:hAnsi="宋体" w:cs="宋体" w:eastAsia="宋体" w:hint="default"/>
                <w:sz w:val="24"/>
                <w:szCs w:val="24"/>
              </w:rPr>
            </w:pPr>
            <w:r>
              <w:rPr>
                <w:rFonts w:ascii="宋体" w:hAnsi="宋体" w:cs="宋体" w:eastAsia="宋体" w:hint="default"/>
                <w:sz w:val="24"/>
                <w:szCs w:val="24"/>
              </w:rPr>
              <w:t>浙江中科数城软件有限公司</w:t>
            </w:r>
          </w:p>
        </w:tc>
        <w:tc>
          <w:tcPr>
            <w:tcW w:w="3099"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right="1143"/>
              <w:jc w:val="right"/>
              <w:rPr>
                <w:rFonts w:ascii="Arial Narrow" w:hAnsi="Arial Narrow" w:cs="Arial Narrow" w:eastAsia="Arial Narrow" w:hint="default"/>
                <w:sz w:val="24"/>
                <w:szCs w:val="24"/>
              </w:rPr>
            </w:pPr>
            <w:r>
              <w:rPr>
                <w:rFonts w:ascii="Arial Narrow"/>
                <w:spacing w:val="-1"/>
                <w:sz w:val="24"/>
              </w:rPr>
              <w:t>200,000.00</w:t>
            </w:r>
          </w:p>
        </w:tc>
        <w:tc>
          <w:tcPr>
            <w:tcW w:w="1977" w:type="dxa"/>
            <w:tcBorders>
              <w:top w:val="single" w:sz="4" w:space="0" w:color="000000"/>
              <w:left w:val="nil" w:sz="6" w:space="0" w:color="auto"/>
              <w:bottom w:val="single" w:sz="8" w:space="0" w:color="000000"/>
              <w:right w:val="nil" w:sz="6" w:space="0" w:color="auto"/>
            </w:tcBorders>
          </w:tcPr>
          <w:p>
            <w:pPr>
              <w:pStyle w:val="TableParagraph"/>
              <w:spacing w:line="240" w:lineRule="auto" w:before="149"/>
              <w:ind w:right="108"/>
              <w:jc w:val="right"/>
              <w:rPr>
                <w:rFonts w:ascii="Arial Narrow" w:hAnsi="Arial Narrow" w:cs="Arial Narrow" w:eastAsia="Arial Narrow" w:hint="default"/>
                <w:sz w:val="24"/>
                <w:szCs w:val="24"/>
              </w:rPr>
            </w:pPr>
            <w:r>
              <w:rPr>
                <w:rFonts w:ascii="Arial Narrow"/>
                <w:sz w:val="24"/>
              </w:rPr>
              <w:t>-</w:t>
            </w:r>
          </w:p>
        </w:tc>
      </w:tr>
    </w:tbl>
    <w:p>
      <w:pPr>
        <w:pStyle w:val="BodyText"/>
        <w:spacing w:line="240" w:lineRule="auto" w:before="79"/>
        <w:ind w:left="102" w:right="0"/>
        <w:jc w:val="left"/>
      </w:pPr>
      <w:r>
        <w:rPr>
          <w:rFonts w:ascii="Arial Narrow" w:hAnsi="Arial Narrow" w:cs="Arial Narrow" w:eastAsia="Arial Narrow" w:hint="default"/>
        </w:rPr>
        <w:t>22</w:t>
      </w:r>
      <w:r>
        <w:rPr/>
        <w:t>、应付职工薪酬</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3466"/>
        <w:gridCol w:w="1395"/>
        <w:gridCol w:w="1440"/>
        <w:gridCol w:w="1498"/>
        <w:gridCol w:w="1352"/>
      </w:tblGrid>
      <w:tr>
        <w:trPr>
          <w:trHeight w:val="392" w:hRule="exact"/>
        </w:trPr>
        <w:tc>
          <w:tcPr>
            <w:tcW w:w="3466"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14"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57"/>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1395"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42"/>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144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37"/>
              <w:jc w:val="righ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498"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90"/>
              <w:jc w:val="righ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352"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r>
      <w:tr>
        <w:trPr>
          <w:trHeight w:val="398" w:hRule="exact"/>
        </w:trPr>
        <w:tc>
          <w:tcPr>
            <w:tcW w:w="3466" w:type="dxa"/>
            <w:tcBorders>
              <w:top w:val="single" w:sz="4" w:space="0" w:color="000000"/>
              <w:left w:val="nil" w:sz="6" w:space="0" w:color="auto"/>
              <w:bottom w:val="nil" w:sz="6" w:space="0" w:color="auto"/>
              <w:right w:val="nil" w:sz="6" w:space="0" w:color="auto"/>
            </w:tcBorders>
          </w:tcPr>
          <w:p>
            <w:pPr>
              <w:pStyle w:val="TableParagraph"/>
              <w:spacing w:line="329" w:lineRule="exact"/>
              <w:ind w:left="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）工资、奖金、津贴和补贴</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1"/>
              <w:jc w:val="right"/>
              <w:rPr>
                <w:rFonts w:ascii="Arial Narrow" w:hAnsi="Arial Narrow" w:cs="Arial Narrow" w:eastAsia="Arial Narrow" w:hint="default"/>
                <w:sz w:val="24"/>
                <w:szCs w:val="24"/>
              </w:rPr>
            </w:pPr>
            <w:r>
              <w:rPr>
                <w:rFonts w:ascii="Arial Narrow"/>
                <w:spacing w:val="-2"/>
                <w:sz w:val="24"/>
              </w:rPr>
              <w:t>11,231,962.44</w:t>
            </w:r>
          </w:p>
        </w:tc>
        <w:tc>
          <w:tcPr>
            <w:tcW w:w="144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
              <w:jc w:val="right"/>
              <w:rPr>
                <w:rFonts w:ascii="Arial Narrow" w:hAnsi="Arial Narrow" w:cs="Arial Narrow" w:eastAsia="Arial Narrow" w:hint="default"/>
                <w:sz w:val="24"/>
                <w:szCs w:val="24"/>
              </w:rPr>
            </w:pPr>
            <w:r>
              <w:rPr>
                <w:rFonts w:ascii="Arial Narrow"/>
                <w:spacing w:val="-1"/>
                <w:sz w:val="24"/>
              </w:rPr>
              <w:t>88,143,366.86</w:t>
            </w: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0"/>
              <w:jc w:val="right"/>
              <w:rPr>
                <w:rFonts w:ascii="Arial Narrow" w:hAnsi="Arial Narrow" w:cs="Arial Narrow" w:eastAsia="Arial Narrow" w:hint="default"/>
                <w:sz w:val="24"/>
                <w:szCs w:val="24"/>
              </w:rPr>
            </w:pPr>
            <w:r>
              <w:rPr>
                <w:rFonts w:ascii="Arial Narrow"/>
                <w:spacing w:val="-1"/>
                <w:sz w:val="24"/>
              </w:rPr>
              <w:t>85,241,133.22</w:t>
            </w:r>
          </w:p>
        </w:tc>
        <w:tc>
          <w:tcPr>
            <w:tcW w:w="13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pacing w:val="-1"/>
                <w:sz w:val="24"/>
              </w:rPr>
              <w:t>14,134,196.08</w:t>
            </w:r>
          </w:p>
        </w:tc>
      </w:tr>
      <w:tr>
        <w:trPr>
          <w:trHeight w:val="395"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327" w:lineRule="exact"/>
              <w:ind w:left="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）职工福利费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0"/>
              <w:jc w:val="right"/>
              <w:rPr>
                <w:rFonts w:ascii="Arial Narrow" w:hAnsi="Arial Narrow" w:cs="Arial Narrow" w:eastAsia="Arial Narrow" w:hint="default"/>
                <w:sz w:val="24"/>
                <w:szCs w:val="24"/>
              </w:rPr>
            </w:pPr>
            <w:r>
              <w:rPr>
                <w:rFonts w:ascii="Arial Narrow"/>
                <w:sz w:val="2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6"/>
              <w:jc w:val="right"/>
              <w:rPr>
                <w:rFonts w:ascii="Arial Narrow" w:hAnsi="Arial Narrow" w:cs="Arial Narrow" w:eastAsia="Arial Narrow" w:hint="default"/>
                <w:sz w:val="24"/>
                <w:szCs w:val="24"/>
              </w:rPr>
            </w:pPr>
            <w:r>
              <w:rPr>
                <w:rFonts w:ascii="Arial Narrow"/>
                <w:spacing w:val="-1"/>
                <w:sz w:val="24"/>
              </w:rPr>
              <w:t>4,942,992.47</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0"/>
              <w:jc w:val="right"/>
              <w:rPr>
                <w:rFonts w:ascii="Arial Narrow" w:hAnsi="Arial Narrow" w:cs="Arial Narrow" w:eastAsia="Arial Narrow" w:hint="default"/>
                <w:sz w:val="24"/>
                <w:szCs w:val="24"/>
              </w:rPr>
            </w:pPr>
            <w:r>
              <w:rPr>
                <w:rFonts w:ascii="Arial Narrow"/>
                <w:spacing w:val="-1"/>
                <w:sz w:val="24"/>
              </w:rPr>
              <w:t>4,942,992.47</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3</w:t>
            </w:r>
            <w:r>
              <w:rPr>
                <w:rFonts w:ascii="宋体" w:hAnsi="宋体" w:cs="宋体" w:eastAsia="宋体" w:hint="default"/>
                <w:sz w:val="24"/>
                <w:szCs w:val="24"/>
              </w:rPr>
              <w:t>）社会保险费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
              <w:jc w:val="right"/>
              <w:rPr>
                <w:rFonts w:ascii="Arial Narrow" w:hAnsi="Arial Narrow" w:cs="Arial Narrow" w:eastAsia="Arial Narrow" w:hint="default"/>
                <w:sz w:val="24"/>
                <w:szCs w:val="24"/>
              </w:rPr>
            </w:pPr>
            <w:r>
              <w:rPr>
                <w:rFonts w:ascii="Arial Narrow"/>
                <w:spacing w:val="-1"/>
                <w:sz w:val="24"/>
              </w:rPr>
              <w:t>839,103.84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
              <w:jc w:val="right"/>
              <w:rPr>
                <w:rFonts w:ascii="Arial Narrow" w:hAnsi="Arial Narrow" w:cs="Arial Narrow" w:eastAsia="Arial Narrow" w:hint="default"/>
                <w:sz w:val="24"/>
                <w:szCs w:val="24"/>
              </w:rPr>
            </w:pPr>
            <w:r>
              <w:rPr>
                <w:rFonts w:ascii="Arial Narrow"/>
                <w:spacing w:val="-3"/>
                <w:sz w:val="24"/>
              </w:rPr>
              <w:t>12,327,111.35</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0"/>
              <w:jc w:val="right"/>
              <w:rPr>
                <w:rFonts w:ascii="Arial Narrow" w:hAnsi="Arial Narrow" w:cs="Arial Narrow" w:eastAsia="Arial Narrow" w:hint="default"/>
                <w:sz w:val="24"/>
                <w:szCs w:val="24"/>
              </w:rPr>
            </w:pPr>
            <w:r>
              <w:rPr>
                <w:rFonts w:ascii="Arial Narrow"/>
                <w:spacing w:val="-1"/>
                <w:sz w:val="24"/>
              </w:rPr>
              <w:t>12,361,717.70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Arial Narrow" w:hAnsi="Arial Narrow" w:cs="Arial Narrow" w:eastAsia="Arial Narrow" w:hint="default"/>
                <w:sz w:val="24"/>
                <w:szCs w:val="24"/>
              </w:rPr>
            </w:pPr>
            <w:r>
              <w:rPr>
                <w:rFonts w:ascii="Arial Narrow"/>
                <w:spacing w:val="-1"/>
                <w:sz w:val="24"/>
              </w:rPr>
              <w:t>804,497.49</w:t>
            </w:r>
          </w:p>
        </w:tc>
      </w:tr>
      <w:tr>
        <w:trPr>
          <w:trHeight w:val="396"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313" w:lineRule="exact"/>
              <w:ind w:left="134" w:right="0"/>
              <w:jc w:val="left"/>
              <w:rPr>
                <w:rFonts w:ascii="宋体" w:hAnsi="宋体" w:cs="宋体" w:eastAsia="宋体" w:hint="default"/>
                <w:sz w:val="24"/>
                <w:szCs w:val="24"/>
              </w:rPr>
            </w:pPr>
            <w:r>
              <w:rPr>
                <w:rFonts w:ascii="宋体" w:hAnsi="宋体" w:cs="宋体" w:eastAsia="宋体" w:hint="default"/>
                <w:sz w:val="24"/>
                <w:szCs w:val="24"/>
              </w:rPr>
              <w:t>其中：①医疗保险费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1"/>
              <w:jc w:val="right"/>
              <w:rPr>
                <w:rFonts w:ascii="Arial Narrow" w:hAnsi="Arial Narrow" w:cs="Arial Narrow" w:eastAsia="Arial Narrow" w:hint="default"/>
                <w:sz w:val="24"/>
                <w:szCs w:val="24"/>
              </w:rPr>
            </w:pPr>
            <w:r>
              <w:rPr>
                <w:rFonts w:ascii="Arial Narrow"/>
                <w:spacing w:val="-1"/>
                <w:sz w:val="24"/>
              </w:rPr>
              <w:t>362,885.37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
              <w:jc w:val="right"/>
              <w:rPr>
                <w:rFonts w:ascii="Arial Narrow" w:hAnsi="Arial Narrow" w:cs="Arial Narrow" w:eastAsia="Arial Narrow" w:hint="default"/>
                <w:sz w:val="24"/>
                <w:szCs w:val="24"/>
              </w:rPr>
            </w:pPr>
            <w:r>
              <w:rPr>
                <w:rFonts w:ascii="Arial Narrow"/>
                <w:spacing w:val="-1"/>
                <w:sz w:val="24"/>
              </w:rPr>
              <w:t>4,246,497.41</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Arial Narrow" w:hAnsi="Arial Narrow" w:cs="Arial Narrow" w:eastAsia="Arial Narrow" w:hint="default"/>
                <w:sz w:val="24"/>
                <w:szCs w:val="24"/>
              </w:rPr>
            </w:pPr>
            <w:r>
              <w:rPr>
                <w:rFonts w:ascii="Arial Narrow"/>
                <w:spacing w:val="-1"/>
                <w:sz w:val="24"/>
              </w:rPr>
              <w:t>4,269,556.24</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pacing w:val="-1"/>
                <w:sz w:val="24"/>
              </w:rPr>
              <w:t>339,826.54</w:t>
            </w:r>
          </w:p>
        </w:tc>
      </w:tr>
      <w:tr>
        <w:trPr>
          <w:trHeight w:val="396"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854" w:right="0"/>
              <w:jc w:val="left"/>
              <w:rPr>
                <w:rFonts w:ascii="宋体" w:hAnsi="宋体" w:cs="宋体" w:eastAsia="宋体" w:hint="default"/>
                <w:sz w:val="24"/>
                <w:szCs w:val="24"/>
              </w:rPr>
            </w:pPr>
            <w:r>
              <w:rPr>
                <w:rFonts w:ascii="宋体" w:hAnsi="宋体" w:cs="宋体" w:eastAsia="宋体" w:hint="default"/>
                <w:sz w:val="24"/>
                <w:szCs w:val="24"/>
              </w:rPr>
              <w:t>②基本养老保险费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1"/>
              <w:jc w:val="right"/>
              <w:rPr>
                <w:rFonts w:ascii="Arial Narrow" w:hAnsi="Arial Narrow" w:cs="Arial Narrow" w:eastAsia="Arial Narrow" w:hint="default"/>
                <w:sz w:val="24"/>
                <w:szCs w:val="24"/>
              </w:rPr>
            </w:pPr>
            <w:r>
              <w:rPr>
                <w:rFonts w:ascii="Arial Narrow"/>
                <w:spacing w:val="-1"/>
                <w:sz w:val="24"/>
              </w:rPr>
              <w:t>439,407.52</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
              <w:jc w:val="right"/>
              <w:rPr>
                <w:rFonts w:ascii="Arial Narrow" w:hAnsi="Arial Narrow" w:cs="Arial Narrow" w:eastAsia="Arial Narrow" w:hint="default"/>
                <w:sz w:val="24"/>
                <w:szCs w:val="24"/>
              </w:rPr>
            </w:pPr>
            <w:r>
              <w:rPr>
                <w:rFonts w:ascii="Arial Narrow"/>
                <w:spacing w:val="-1"/>
                <w:sz w:val="24"/>
              </w:rPr>
              <w:t>7,285,724.73</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Arial Narrow" w:hAnsi="Arial Narrow" w:cs="Arial Narrow" w:eastAsia="Arial Narrow" w:hint="default"/>
                <w:sz w:val="24"/>
                <w:szCs w:val="24"/>
              </w:rPr>
            </w:pPr>
            <w:r>
              <w:rPr>
                <w:rFonts w:ascii="Arial Narrow"/>
                <w:spacing w:val="-1"/>
                <w:sz w:val="24"/>
              </w:rPr>
              <w:t>7,310,105.80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pacing w:val="-1"/>
                <w:sz w:val="24"/>
              </w:rPr>
              <w:t>415,026.45</w:t>
            </w:r>
          </w:p>
        </w:tc>
      </w:tr>
      <w:tr>
        <w:trPr>
          <w:trHeight w:val="397"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854" w:right="0"/>
              <w:jc w:val="left"/>
              <w:rPr>
                <w:rFonts w:ascii="宋体" w:hAnsi="宋体" w:cs="宋体" w:eastAsia="宋体" w:hint="default"/>
                <w:sz w:val="24"/>
                <w:szCs w:val="24"/>
              </w:rPr>
            </w:pPr>
            <w:r>
              <w:rPr>
                <w:rFonts w:ascii="宋体" w:hAnsi="宋体" w:cs="宋体" w:eastAsia="宋体" w:hint="default"/>
                <w:sz w:val="24"/>
                <w:szCs w:val="24"/>
              </w:rPr>
              <w:t>③年金缴费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0"/>
              <w:jc w:val="right"/>
              <w:rPr>
                <w:rFonts w:ascii="Arial Narrow" w:hAnsi="Arial Narrow" w:cs="Arial Narrow" w:eastAsia="Arial Narrow" w:hint="default"/>
                <w:sz w:val="24"/>
                <w:szCs w:val="24"/>
              </w:rPr>
            </w:pPr>
            <w:r>
              <w:rPr>
                <w:rFonts w:ascii="Arial Narrow"/>
                <w:sz w:val="2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
              <w:jc w:val="right"/>
              <w:rPr>
                <w:rFonts w:ascii="Arial Narrow" w:hAnsi="Arial Narrow" w:cs="Arial Narrow" w:eastAsia="Arial Narrow" w:hint="default"/>
                <w:sz w:val="24"/>
                <w:szCs w:val="24"/>
              </w:rPr>
            </w:pPr>
            <w:r>
              <w:rPr>
                <w:rFonts w:ascii="Arial Narrow"/>
                <w:sz w:val="24"/>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Arial Narrow" w:hAnsi="Arial Narrow" w:cs="Arial Narrow" w:eastAsia="Arial Narrow" w:hint="default"/>
                <w:sz w:val="24"/>
                <w:szCs w:val="24"/>
              </w:rPr>
            </w:pPr>
            <w:r>
              <w:rPr>
                <w:rFonts w:ascii="Arial Narrow"/>
                <w:sz w:val="24"/>
              </w:rPr>
              <w:t>-</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ind w:left="854" w:right="0"/>
              <w:jc w:val="left"/>
              <w:rPr>
                <w:rFonts w:ascii="宋体" w:hAnsi="宋体" w:cs="宋体" w:eastAsia="宋体" w:hint="default"/>
                <w:sz w:val="24"/>
                <w:szCs w:val="24"/>
              </w:rPr>
            </w:pPr>
            <w:r>
              <w:rPr>
                <w:rFonts w:ascii="宋体" w:hAnsi="宋体" w:cs="宋体" w:eastAsia="宋体" w:hint="default"/>
                <w:sz w:val="24"/>
                <w:szCs w:val="24"/>
              </w:rPr>
              <w:t>④失业保险费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1"/>
              <w:jc w:val="right"/>
              <w:rPr>
                <w:rFonts w:ascii="Arial Narrow" w:hAnsi="Arial Narrow" w:cs="Arial Narrow" w:eastAsia="Arial Narrow" w:hint="default"/>
                <w:sz w:val="24"/>
                <w:szCs w:val="24"/>
              </w:rPr>
            </w:pPr>
            <w:r>
              <w:rPr>
                <w:rFonts w:ascii="Arial Narrow"/>
                <w:spacing w:val="-1"/>
                <w:sz w:val="24"/>
              </w:rPr>
              <w:t>17,075.64</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
              <w:jc w:val="right"/>
              <w:rPr>
                <w:rFonts w:ascii="Arial Narrow" w:hAnsi="Arial Narrow" w:cs="Arial Narrow" w:eastAsia="Arial Narrow" w:hint="default"/>
                <w:sz w:val="24"/>
                <w:szCs w:val="24"/>
              </w:rPr>
            </w:pPr>
            <w:r>
              <w:rPr>
                <w:rFonts w:ascii="Arial Narrow"/>
                <w:spacing w:val="-1"/>
                <w:sz w:val="24"/>
              </w:rPr>
              <w:t>442,586.23</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9"/>
              <w:jc w:val="right"/>
              <w:rPr>
                <w:rFonts w:ascii="Arial Narrow" w:hAnsi="Arial Narrow" w:cs="Arial Narrow" w:eastAsia="Arial Narrow" w:hint="default"/>
                <w:sz w:val="24"/>
                <w:szCs w:val="24"/>
              </w:rPr>
            </w:pPr>
            <w:r>
              <w:rPr>
                <w:rFonts w:ascii="Arial Narrow"/>
                <w:spacing w:val="-1"/>
                <w:sz w:val="24"/>
              </w:rPr>
              <w:t>431,425.33</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Arial Narrow" w:hAnsi="Arial Narrow" w:cs="Arial Narrow" w:eastAsia="Arial Narrow" w:hint="default"/>
                <w:sz w:val="24"/>
                <w:szCs w:val="24"/>
              </w:rPr>
            </w:pPr>
            <w:r>
              <w:rPr>
                <w:rFonts w:ascii="Arial Narrow"/>
                <w:spacing w:val="-1"/>
                <w:sz w:val="24"/>
              </w:rPr>
              <w:t>28,236.54</w:t>
            </w:r>
          </w:p>
        </w:tc>
      </w:tr>
      <w:tr>
        <w:trPr>
          <w:trHeight w:val="396"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854" w:right="0"/>
              <w:jc w:val="left"/>
              <w:rPr>
                <w:rFonts w:ascii="宋体" w:hAnsi="宋体" w:cs="宋体" w:eastAsia="宋体" w:hint="default"/>
                <w:sz w:val="24"/>
                <w:szCs w:val="24"/>
              </w:rPr>
            </w:pPr>
            <w:r>
              <w:rPr>
                <w:rFonts w:ascii="宋体" w:hAnsi="宋体" w:cs="宋体" w:eastAsia="宋体" w:hint="default"/>
                <w:sz w:val="24"/>
                <w:szCs w:val="24"/>
              </w:rPr>
              <w:t>⑤工伤保险费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1"/>
              <w:jc w:val="right"/>
              <w:rPr>
                <w:rFonts w:ascii="Arial Narrow" w:hAnsi="Arial Narrow" w:cs="Arial Narrow" w:eastAsia="Arial Narrow" w:hint="default"/>
                <w:sz w:val="24"/>
                <w:szCs w:val="24"/>
              </w:rPr>
            </w:pPr>
            <w:r>
              <w:rPr>
                <w:rFonts w:ascii="Arial Narrow"/>
                <w:spacing w:val="-1"/>
                <w:sz w:val="24"/>
              </w:rPr>
              <w:t>5,380.00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
              <w:jc w:val="right"/>
              <w:rPr>
                <w:rFonts w:ascii="Arial Narrow" w:hAnsi="Arial Narrow" w:cs="Arial Narrow" w:eastAsia="Arial Narrow" w:hint="default"/>
                <w:sz w:val="24"/>
                <w:szCs w:val="24"/>
              </w:rPr>
            </w:pPr>
            <w:r>
              <w:rPr>
                <w:rFonts w:ascii="Arial Narrow"/>
                <w:spacing w:val="-1"/>
                <w:sz w:val="24"/>
              </w:rPr>
              <w:t>199,814.22</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Arial Narrow" w:hAnsi="Arial Narrow" w:cs="Arial Narrow" w:eastAsia="Arial Narrow" w:hint="default"/>
                <w:sz w:val="24"/>
                <w:szCs w:val="24"/>
              </w:rPr>
            </w:pPr>
            <w:r>
              <w:rPr>
                <w:rFonts w:ascii="Arial Narrow"/>
                <w:spacing w:val="-1"/>
                <w:sz w:val="24"/>
              </w:rPr>
              <w:t>198,302.73</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pacing w:val="-1"/>
                <w:sz w:val="24"/>
              </w:rPr>
              <w:t>6,891.49</w:t>
            </w:r>
          </w:p>
        </w:tc>
      </w:tr>
      <w:tr>
        <w:trPr>
          <w:trHeight w:val="399"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854" w:right="0"/>
              <w:jc w:val="left"/>
              <w:rPr>
                <w:rFonts w:ascii="宋体" w:hAnsi="宋体" w:cs="宋体" w:eastAsia="宋体" w:hint="default"/>
                <w:sz w:val="24"/>
                <w:szCs w:val="24"/>
              </w:rPr>
            </w:pPr>
            <w:r>
              <w:rPr>
                <w:rFonts w:ascii="宋体" w:hAnsi="宋体" w:cs="宋体" w:eastAsia="宋体" w:hint="default"/>
                <w:sz w:val="24"/>
                <w:szCs w:val="24"/>
              </w:rPr>
              <w:t>⑥生育保险费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
              <w:jc w:val="right"/>
              <w:rPr>
                <w:rFonts w:ascii="Arial Narrow" w:hAnsi="Arial Narrow" w:cs="Arial Narrow" w:eastAsia="Arial Narrow" w:hint="default"/>
                <w:sz w:val="24"/>
                <w:szCs w:val="24"/>
              </w:rPr>
            </w:pPr>
            <w:r>
              <w:rPr>
                <w:rFonts w:ascii="Arial Narrow"/>
                <w:spacing w:val="-1"/>
                <w:sz w:val="24"/>
              </w:rPr>
              <w:t>14,355.31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6"/>
              <w:jc w:val="right"/>
              <w:rPr>
                <w:rFonts w:ascii="Arial Narrow" w:hAnsi="Arial Narrow" w:cs="Arial Narrow" w:eastAsia="Arial Narrow" w:hint="default"/>
                <w:sz w:val="24"/>
                <w:szCs w:val="24"/>
              </w:rPr>
            </w:pPr>
            <w:r>
              <w:rPr>
                <w:rFonts w:ascii="Arial Narrow"/>
                <w:spacing w:val="-1"/>
                <w:sz w:val="24"/>
              </w:rPr>
              <w:t>152,488.76</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
              <w:jc w:val="right"/>
              <w:rPr>
                <w:rFonts w:ascii="Arial Narrow" w:hAnsi="Arial Narrow" w:cs="Arial Narrow" w:eastAsia="Arial Narrow" w:hint="default"/>
                <w:sz w:val="24"/>
                <w:szCs w:val="24"/>
              </w:rPr>
            </w:pPr>
            <w:r>
              <w:rPr>
                <w:rFonts w:ascii="Arial Narrow"/>
                <w:spacing w:val="-1"/>
                <w:sz w:val="24"/>
              </w:rPr>
              <w:t>152,327.60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pacing w:val="-1"/>
                <w:sz w:val="24"/>
              </w:rPr>
              <w:t>14,516.47</w:t>
            </w:r>
          </w:p>
        </w:tc>
      </w:tr>
      <w:tr>
        <w:trPr>
          <w:trHeight w:val="398"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4</w:t>
            </w:r>
            <w:r>
              <w:rPr>
                <w:rFonts w:ascii="宋体" w:hAnsi="宋体" w:cs="宋体" w:eastAsia="宋体" w:hint="default"/>
                <w:sz w:val="24"/>
                <w:szCs w:val="24"/>
              </w:rPr>
              <w:t>）住房公积金</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0"/>
              <w:jc w:val="right"/>
              <w:rPr>
                <w:rFonts w:ascii="Arial Narrow" w:hAnsi="Arial Narrow" w:cs="Arial Narrow" w:eastAsia="Arial Narrow" w:hint="default"/>
                <w:sz w:val="24"/>
                <w:szCs w:val="24"/>
              </w:rPr>
            </w:pPr>
            <w:r>
              <w:rPr>
                <w:rFonts w:ascii="Arial Narrow"/>
                <w:sz w:val="2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
              <w:jc w:val="right"/>
              <w:rPr>
                <w:rFonts w:ascii="Arial Narrow" w:hAnsi="Arial Narrow" w:cs="Arial Narrow" w:eastAsia="Arial Narrow" w:hint="default"/>
                <w:sz w:val="24"/>
                <w:szCs w:val="24"/>
              </w:rPr>
            </w:pPr>
            <w:r>
              <w:rPr>
                <w:rFonts w:ascii="Arial Narrow"/>
                <w:spacing w:val="-1"/>
                <w:sz w:val="24"/>
              </w:rPr>
              <w:t>4,297,377.15</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
              <w:jc w:val="right"/>
              <w:rPr>
                <w:rFonts w:ascii="Arial Narrow" w:hAnsi="Arial Narrow" w:cs="Arial Narrow" w:eastAsia="Arial Narrow" w:hint="default"/>
                <w:sz w:val="24"/>
                <w:szCs w:val="24"/>
              </w:rPr>
            </w:pPr>
            <w:r>
              <w:rPr>
                <w:rFonts w:ascii="Arial Narrow"/>
                <w:spacing w:val="-1"/>
                <w:sz w:val="24"/>
              </w:rPr>
              <w:t>4,297,377.15</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329" w:lineRule="exact"/>
              <w:ind w:left="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5</w:t>
            </w:r>
            <w:r>
              <w:rPr>
                <w:rFonts w:ascii="宋体" w:hAnsi="宋体" w:cs="宋体" w:eastAsia="宋体" w:hint="default"/>
                <w:sz w:val="24"/>
                <w:szCs w:val="24"/>
              </w:rPr>
              <w:t>）辞退福利</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0"/>
              <w:jc w:val="right"/>
              <w:rPr>
                <w:rFonts w:ascii="Arial Narrow" w:hAnsi="Arial Narrow" w:cs="Arial Narrow" w:eastAsia="Arial Narrow" w:hint="default"/>
                <w:sz w:val="24"/>
                <w:szCs w:val="24"/>
              </w:rPr>
            </w:pPr>
            <w:r>
              <w:rPr>
                <w:rFonts w:ascii="Arial Narrow"/>
                <w:sz w:val="2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
              <w:jc w:val="right"/>
              <w:rPr>
                <w:rFonts w:ascii="Arial Narrow" w:hAnsi="Arial Narrow" w:cs="Arial Narrow" w:eastAsia="Arial Narrow" w:hint="default"/>
                <w:sz w:val="24"/>
                <w:szCs w:val="24"/>
              </w:rPr>
            </w:pPr>
            <w:r>
              <w:rPr>
                <w:rFonts w:ascii="Arial Narrow"/>
                <w:sz w:val="24"/>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8"/>
              <w:jc w:val="right"/>
              <w:rPr>
                <w:rFonts w:ascii="Arial Narrow" w:hAnsi="Arial Narrow" w:cs="Arial Narrow" w:eastAsia="Arial Narrow" w:hint="default"/>
                <w:sz w:val="24"/>
                <w:szCs w:val="24"/>
              </w:rPr>
            </w:pPr>
            <w:r>
              <w:rPr>
                <w:rFonts w:ascii="Arial Narrow"/>
                <w:sz w:val="24"/>
              </w:rPr>
              <w:t>-</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6</w:t>
            </w:r>
            <w:r>
              <w:rPr>
                <w:rFonts w:ascii="宋体" w:hAnsi="宋体" w:cs="宋体" w:eastAsia="宋体" w:hint="default"/>
                <w:sz w:val="24"/>
                <w:szCs w:val="24"/>
              </w:rPr>
              <w:t>）工会经费和职工教育经费</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0"/>
              <w:jc w:val="right"/>
              <w:rPr>
                <w:rFonts w:ascii="Arial Narrow" w:hAnsi="Arial Narrow" w:cs="Arial Narrow" w:eastAsia="Arial Narrow" w:hint="default"/>
                <w:sz w:val="24"/>
                <w:szCs w:val="24"/>
              </w:rPr>
            </w:pPr>
            <w:r>
              <w:rPr>
                <w:rFonts w:ascii="Arial Narrow"/>
                <w:sz w:val="2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
              <w:jc w:val="right"/>
              <w:rPr>
                <w:rFonts w:ascii="Arial Narrow" w:hAnsi="Arial Narrow" w:cs="Arial Narrow" w:eastAsia="Arial Narrow" w:hint="default"/>
                <w:sz w:val="24"/>
                <w:szCs w:val="24"/>
              </w:rPr>
            </w:pPr>
            <w:r>
              <w:rPr>
                <w:rFonts w:ascii="Arial Narrow"/>
                <w:spacing w:val="-1"/>
                <w:sz w:val="24"/>
              </w:rPr>
              <w:t>438,994.76</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9"/>
              <w:jc w:val="right"/>
              <w:rPr>
                <w:rFonts w:ascii="Arial Narrow" w:hAnsi="Arial Narrow" w:cs="Arial Narrow" w:eastAsia="Arial Narrow" w:hint="default"/>
                <w:sz w:val="24"/>
                <w:szCs w:val="24"/>
              </w:rPr>
            </w:pPr>
            <w:r>
              <w:rPr>
                <w:rFonts w:ascii="Arial Narrow"/>
                <w:spacing w:val="-1"/>
                <w:sz w:val="24"/>
              </w:rPr>
              <w:t>438,994.76</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329" w:lineRule="exact"/>
              <w:ind w:left="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7</w:t>
            </w:r>
            <w:r>
              <w:rPr>
                <w:rFonts w:ascii="宋体" w:hAnsi="宋体" w:cs="宋体" w:eastAsia="宋体" w:hint="default"/>
                <w:sz w:val="24"/>
                <w:szCs w:val="24"/>
              </w:rPr>
              <w:t>）非货币性福利</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0"/>
              <w:jc w:val="right"/>
              <w:rPr>
                <w:rFonts w:ascii="Arial Narrow" w:hAnsi="Arial Narrow" w:cs="Arial Narrow" w:eastAsia="Arial Narrow" w:hint="default"/>
                <w:sz w:val="24"/>
                <w:szCs w:val="24"/>
              </w:rPr>
            </w:pPr>
            <w:r>
              <w:rPr>
                <w:rFonts w:ascii="Arial Narrow"/>
                <w:sz w:val="2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6"/>
              <w:jc w:val="right"/>
              <w:rPr>
                <w:rFonts w:ascii="Arial Narrow" w:hAnsi="Arial Narrow" w:cs="Arial Narrow" w:eastAsia="Arial Narrow" w:hint="default"/>
                <w:sz w:val="24"/>
                <w:szCs w:val="24"/>
              </w:rPr>
            </w:pPr>
            <w:r>
              <w:rPr>
                <w:rFonts w:ascii="Arial Narrow"/>
                <w:sz w:val="24"/>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8"/>
              <w:jc w:val="right"/>
              <w:rPr>
                <w:rFonts w:ascii="Arial Narrow" w:hAnsi="Arial Narrow" w:cs="Arial Narrow" w:eastAsia="Arial Narrow" w:hint="default"/>
                <w:sz w:val="24"/>
                <w:szCs w:val="24"/>
              </w:rPr>
            </w:pPr>
            <w:r>
              <w:rPr>
                <w:rFonts w:ascii="Arial Narrow"/>
                <w:sz w:val="24"/>
              </w:rPr>
              <w:t>-</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Arial Narrow" w:hAnsi="Arial Narrow" w:cs="Arial Narrow" w:eastAsia="Arial Narrow" w:hint="default"/>
                <w:sz w:val="24"/>
                <w:szCs w:val="24"/>
              </w:rPr>
            </w:pPr>
            <w:r>
              <w:rPr>
                <w:rFonts w:ascii="Arial Narrow"/>
                <w:sz w:val="24"/>
              </w:rPr>
              <w:t>-</w:t>
            </w:r>
          </w:p>
        </w:tc>
      </w:tr>
      <w:tr>
        <w:trPr>
          <w:trHeight w:val="397" w:hRule="exact"/>
        </w:trPr>
        <w:tc>
          <w:tcPr>
            <w:tcW w:w="3466" w:type="dxa"/>
            <w:tcBorders>
              <w:top w:val="nil" w:sz="6" w:space="0" w:color="auto"/>
              <w:left w:val="nil" w:sz="6" w:space="0" w:color="auto"/>
              <w:bottom w:val="nil" w:sz="6" w:space="0" w:color="auto"/>
              <w:right w:val="nil" w:sz="6" w:space="0" w:color="auto"/>
            </w:tcBorders>
          </w:tcPr>
          <w:p>
            <w:pPr>
              <w:pStyle w:val="TableParagraph"/>
              <w:spacing w:line="329" w:lineRule="exact"/>
              <w:ind w:left="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8</w:t>
            </w:r>
            <w:r>
              <w:rPr>
                <w:rFonts w:ascii="宋体" w:hAnsi="宋体" w:cs="宋体" w:eastAsia="宋体" w:hint="default"/>
                <w:sz w:val="24"/>
                <w:szCs w:val="24"/>
              </w:rPr>
              <w:t>）其他</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0"/>
              <w:jc w:val="right"/>
              <w:rPr>
                <w:rFonts w:ascii="Arial Narrow" w:hAnsi="Arial Narrow" w:cs="Arial Narrow" w:eastAsia="Arial Narrow" w:hint="default"/>
                <w:sz w:val="24"/>
                <w:szCs w:val="24"/>
              </w:rPr>
            </w:pPr>
            <w:r>
              <w:rPr>
                <w:rFonts w:ascii="Arial Narrow"/>
                <w:sz w:val="24"/>
              </w:rPr>
              <w:t>-</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
              <w:jc w:val="right"/>
              <w:rPr>
                <w:rFonts w:ascii="Arial Narrow" w:hAnsi="Arial Narrow" w:cs="Arial Narrow" w:eastAsia="Arial Narrow" w:hint="default"/>
                <w:sz w:val="24"/>
                <w:szCs w:val="24"/>
              </w:rPr>
            </w:pPr>
            <w:r>
              <w:rPr>
                <w:rFonts w:ascii="Arial Narrow"/>
                <w:sz w:val="24"/>
              </w:rPr>
              <w:t>-</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8"/>
              <w:jc w:val="right"/>
              <w:rPr>
                <w:rFonts w:ascii="Arial Narrow" w:hAnsi="Arial Narrow" w:cs="Arial Narrow" w:eastAsia="Arial Narrow" w:hint="default"/>
                <w:sz w:val="24"/>
                <w:szCs w:val="24"/>
              </w:rPr>
            </w:pPr>
            <w:r>
              <w:rPr>
                <w:rFonts w:ascii="Arial Narrow"/>
                <w:sz w:val="24"/>
              </w:rPr>
              <w:t>-</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z w:val="24"/>
              </w:rPr>
              <w:t>-</w:t>
            </w:r>
          </w:p>
        </w:tc>
      </w:tr>
      <w:tr>
        <w:trPr>
          <w:trHeight w:val="398" w:hRule="exact"/>
        </w:trPr>
        <w:tc>
          <w:tcPr>
            <w:tcW w:w="3466" w:type="dxa"/>
            <w:tcBorders>
              <w:top w:val="nil" w:sz="6" w:space="0" w:color="auto"/>
              <w:left w:val="nil" w:sz="6" w:space="0" w:color="auto"/>
              <w:bottom w:val="single" w:sz="4" w:space="0" w:color="000000"/>
              <w:right w:val="nil" w:sz="6" w:space="0" w:color="auto"/>
            </w:tcBorders>
          </w:tcPr>
          <w:p>
            <w:pPr>
              <w:pStyle w:val="TableParagraph"/>
              <w:spacing w:line="240" w:lineRule="auto"/>
              <w:ind w:left="374"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20"/>
                <w:sz w:val="24"/>
                <w:szCs w:val="24"/>
              </w:rPr>
              <w:t>：</w:t>
            </w:r>
            <w:r>
              <w:rPr>
                <w:rFonts w:ascii="宋体" w:hAnsi="宋体" w:cs="宋体" w:eastAsia="宋体" w:hint="default"/>
                <w:sz w:val="24"/>
                <w:szCs w:val="24"/>
              </w:rPr>
              <w:t>以现金结算的股份支付</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40"/>
              <w:jc w:val="right"/>
              <w:rPr>
                <w:rFonts w:ascii="Arial Narrow" w:hAnsi="Arial Narrow" w:cs="Arial Narrow" w:eastAsia="Arial Narrow" w:hint="default"/>
                <w:sz w:val="24"/>
                <w:szCs w:val="24"/>
              </w:rPr>
            </w:pPr>
            <w:r>
              <w:rPr>
                <w:rFonts w:ascii="Arial Narrow"/>
                <w:sz w:val="24"/>
              </w:rPr>
              <w:t>-</w:t>
            </w:r>
          </w:p>
        </w:tc>
        <w:tc>
          <w:tcPr>
            <w:tcW w:w="144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6"/>
              <w:jc w:val="right"/>
              <w:rPr>
                <w:rFonts w:ascii="Arial Narrow" w:hAnsi="Arial Narrow" w:cs="Arial Narrow" w:eastAsia="Arial Narrow" w:hint="default"/>
                <w:sz w:val="24"/>
                <w:szCs w:val="24"/>
              </w:rPr>
            </w:pPr>
            <w:r>
              <w:rPr>
                <w:rFonts w:ascii="Arial Narrow"/>
                <w:sz w:val="24"/>
              </w:rPr>
              <w:t>-</w:t>
            </w: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8"/>
              <w:jc w:val="right"/>
              <w:rPr>
                <w:rFonts w:ascii="Arial Narrow" w:hAnsi="Arial Narrow" w:cs="Arial Narrow" w:eastAsia="Arial Narrow" w:hint="default"/>
                <w:sz w:val="24"/>
                <w:szCs w:val="24"/>
              </w:rPr>
            </w:pPr>
            <w:r>
              <w:rPr>
                <w:rFonts w:ascii="Arial Narrow"/>
                <w:sz w:val="24"/>
              </w:rPr>
              <w:t>-</w:t>
            </w: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Arial Narrow" w:hAnsi="Arial Narrow" w:cs="Arial Narrow" w:eastAsia="Arial Narrow" w:hint="default"/>
                <w:sz w:val="24"/>
                <w:szCs w:val="24"/>
              </w:rPr>
            </w:pPr>
            <w:r>
              <w:rPr>
                <w:rFonts w:ascii="Arial Narrow"/>
                <w:sz w:val="24"/>
              </w:rPr>
              <w:t>-</w:t>
            </w:r>
          </w:p>
        </w:tc>
      </w:tr>
      <w:tr>
        <w:trPr>
          <w:trHeight w:val="404" w:hRule="exact"/>
        </w:trPr>
        <w:tc>
          <w:tcPr>
            <w:tcW w:w="3466" w:type="dxa"/>
            <w:tcBorders>
              <w:top w:val="single" w:sz="4" w:space="0" w:color="000000"/>
              <w:left w:val="nil" w:sz="6" w:space="0" w:color="auto"/>
              <w:bottom w:val="single" w:sz="8" w:space="0" w:color="000000"/>
              <w:right w:val="nil" w:sz="6" w:space="0" w:color="auto"/>
            </w:tcBorders>
          </w:tcPr>
          <w:p>
            <w:pPr>
              <w:pStyle w:val="TableParagraph"/>
              <w:tabs>
                <w:tab w:pos="496" w:val="left" w:leader="none"/>
              </w:tabs>
              <w:spacing w:line="313" w:lineRule="exact"/>
              <w:ind w:left="14"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39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42"/>
              <w:jc w:val="right"/>
              <w:rPr>
                <w:rFonts w:ascii="Arial Narrow" w:hAnsi="Arial Narrow" w:cs="Arial Narrow" w:eastAsia="Arial Narrow" w:hint="default"/>
                <w:sz w:val="24"/>
                <w:szCs w:val="24"/>
              </w:rPr>
            </w:pPr>
            <w:r>
              <w:rPr>
                <w:rFonts w:ascii="Arial Narrow"/>
                <w:b/>
                <w:spacing w:val="-1"/>
                <w:sz w:val="24"/>
              </w:rPr>
              <w:t>12,071,066.28</w:t>
            </w:r>
            <w:r>
              <w:rPr>
                <w:rFonts w:ascii="Arial Narrow"/>
                <w:spacing w:val="-1"/>
                <w:sz w:val="24"/>
              </w:rPr>
            </w:r>
          </w:p>
        </w:tc>
        <w:tc>
          <w:tcPr>
            <w:tcW w:w="144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6"/>
              <w:jc w:val="right"/>
              <w:rPr>
                <w:rFonts w:ascii="Arial Narrow" w:hAnsi="Arial Narrow" w:cs="Arial Narrow" w:eastAsia="Arial Narrow" w:hint="default"/>
                <w:sz w:val="24"/>
                <w:szCs w:val="24"/>
              </w:rPr>
            </w:pPr>
            <w:r>
              <w:rPr>
                <w:rFonts w:ascii="Arial Narrow"/>
                <w:b/>
                <w:spacing w:val="-2"/>
                <w:sz w:val="24"/>
              </w:rPr>
              <w:t>110,149,842.59</w:t>
            </w:r>
            <w:r>
              <w:rPr>
                <w:rFonts w:ascii="Arial Narrow"/>
                <w:spacing w:val="-2"/>
                <w:sz w:val="24"/>
              </w:rPr>
            </w:r>
          </w:p>
        </w:tc>
        <w:tc>
          <w:tcPr>
            <w:tcW w:w="149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90"/>
              <w:jc w:val="right"/>
              <w:rPr>
                <w:rFonts w:ascii="Arial Narrow" w:hAnsi="Arial Narrow" w:cs="Arial Narrow" w:eastAsia="Arial Narrow" w:hint="default"/>
                <w:sz w:val="24"/>
                <w:szCs w:val="24"/>
              </w:rPr>
            </w:pPr>
            <w:r>
              <w:rPr>
                <w:rFonts w:ascii="Arial Narrow"/>
                <w:b/>
                <w:spacing w:val="-1"/>
                <w:sz w:val="24"/>
              </w:rPr>
              <w:t>107,282,215.30</w:t>
            </w:r>
            <w:r>
              <w:rPr>
                <w:rFonts w:ascii="Arial Narrow"/>
                <w:spacing w:val="-1"/>
                <w:sz w:val="24"/>
              </w:rPr>
            </w:r>
          </w:p>
        </w:tc>
        <w:tc>
          <w:tcPr>
            <w:tcW w:w="135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b/>
                <w:spacing w:val="-1"/>
                <w:sz w:val="24"/>
              </w:rPr>
              <w:t>14,938,693.57</w:t>
            </w:r>
            <w:r>
              <w:rPr>
                <w:rFonts w:ascii="Arial Narrow"/>
                <w:spacing w:val="-1"/>
                <w:sz w:val="24"/>
              </w:rPr>
            </w:r>
          </w:p>
        </w:tc>
      </w:tr>
    </w:tbl>
    <w:p>
      <w:pPr>
        <w:pStyle w:val="BodyText"/>
        <w:spacing w:line="240" w:lineRule="auto" w:before="79"/>
        <w:ind w:left="102" w:right="0"/>
        <w:jc w:val="left"/>
      </w:pPr>
      <w:r>
        <w:rPr>
          <w:rFonts w:ascii="Arial Narrow" w:hAnsi="Arial Narrow" w:cs="Arial Narrow" w:eastAsia="Arial Narrow" w:hint="default"/>
        </w:rPr>
        <w:t>23</w:t>
      </w:r>
      <w:r>
        <w:rPr/>
        <w:t>、应交税费</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2900"/>
        <w:gridCol w:w="4154"/>
        <w:gridCol w:w="2097"/>
      </w:tblGrid>
      <w:tr>
        <w:trPr>
          <w:trHeight w:val="410" w:hRule="exact"/>
        </w:trPr>
        <w:tc>
          <w:tcPr>
            <w:tcW w:w="2900" w:type="dxa"/>
            <w:tcBorders>
              <w:top w:val="single" w:sz="8" w:space="0" w:color="000000"/>
              <w:left w:val="nil" w:sz="6" w:space="0" w:color="auto"/>
              <w:bottom w:val="single" w:sz="4" w:space="0" w:color="000000"/>
              <w:right w:val="nil" w:sz="6" w:space="0" w:color="auto"/>
            </w:tcBorders>
          </w:tcPr>
          <w:p>
            <w:pPr>
              <w:pStyle w:val="TableParagraph"/>
              <w:tabs>
                <w:tab w:pos="602" w:val="left" w:leader="none"/>
              </w:tabs>
              <w:spacing w:line="240" w:lineRule="auto" w:before="3"/>
              <w:ind w:left="120" w:right="0"/>
              <w:jc w:val="left"/>
              <w:rPr>
                <w:rFonts w:ascii="宋体" w:hAnsi="宋体" w:cs="宋体" w:eastAsia="宋体" w:hint="default"/>
                <w:sz w:val="24"/>
                <w:szCs w:val="24"/>
              </w:rPr>
            </w:pPr>
            <w:r>
              <w:rPr>
                <w:rFonts w:ascii="宋体" w:hAnsi="宋体" w:cs="宋体" w:eastAsia="宋体" w:hint="default"/>
                <w:b/>
                <w:bCs/>
                <w:w w:val="95"/>
                <w:sz w:val="24"/>
                <w:szCs w:val="24"/>
              </w:rPr>
              <w:t>税</w:t>
              <w:tab/>
            </w:r>
            <w:r>
              <w:rPr>
                <w:rFonts w:ascii="宋体" w:hAnsi="宋体" w:cs="宋体" w:eastAsia="宋体" w:hint="default"/>
                <w:b/>
                <w:bCs/>
                <w:sz w:val="24"/>
                <w:szCs w:val="24"/>
              </w:rPr>
              <w:t>项</w:t>
            </w:r>
            <w:r>
              <w:rPr>
                <w:rFonts w:ascii="宋体" w:hAnsi="宋体" w:cs="宋体" w:eastAsia="宋体" w:hint="default"/>
                <w:sz w:val="24"/>
                <w:szCs w:val="24"/>
              </w:rPr>
            </w:r>
          </w:p>
        </w:tc>
        <w:tc>
          <w:tcPr>
            <w:tcW w:w="415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945"/>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209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415" w:hRule="exact"/>
        </w:trPr>
        <w:tc>
          <w:tcPr>
            <w:tcW w:w="2900"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4154"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945"/>
              <w:jc w:val="right"/>
              <w:rPr>
                <w:rFonts w:ascii="Arial Narrow" w:hAnsi="Arial Narrow" w:cs="Arial Narrow" w:eastAsia="Arial Narrow" w:hint="default"/>
                <w:sz w:val="24"/>
                <w:szCs w:val="24"/>
              </w:rPr>
            </w:pPr>
            <w:r>
              <w:rPr>
                <w:rFonts w:ascii="Arial Narrow"/>
                <w:spacing w:val="-1"/>
                <w:sz w:val="24"/>
              </w:rPr>
              <w:t>6,410,162.18</w:t>
            </w:r>
          </w:p>
        </w:tc>
        <w:tc>
          <w:tcPr>
            <w:tcW w:w="2097" w:type="dxa"/>
            <w:tcBorders>
              <w:top w:val="single" w:sz="4" w:space="0" w:color="000000"/>
              <w:left w:val="nil" w:sz="6" w:space="0" w:color="auto"/>
              <w:bottom w:val="single" w:sz="4" w:space="0" w:color="000000"/>
              <w:right w:val="nil" w:sz="6" w:space="0" w:color="auto"/>
            </w:tcBorders>
          </w:tcPr>
          <w:p>
            <w:pPr>
              <w:pStyle w:val="TableParagraph"/>
              <w:spacing w:line="240" w:lineRule="auto" w:before="58"/>
              <w:ind w:right="0"/>
              <w:jc w:val="right"/>
              <w:rPr>
                <w:rFonts w:ascii="Arial Narrow" w:hAnsi="Arial Narrow" w:cs="Arial Narrow" w:eastAsia="Arial Narrow" w:hint="default"/>
                <w:sz w:val="24"/>
                <w:szCs w:val="24"/>
              </w:rPr>
            </w:pPr>
            <w:r>
              <w:rPr>
                <w:rFonts w:ascii="Arial Narrow"/>
                <w:spacing w:val="-1"/>
                <w:sz w:val="24"/>
              </w:rPr>
              <w:t>2,761,089.66</w:t>
            </w:r>
          </w:p>
        </w:tc>
      </w:tr>
    </w:tbl>
    <w:p>
      <w:pPr>
        <w:spacing w:after="0" w:line="240" w:lineRule="auto"/>
        <w:jc w:val="right"/>
        <w:rPr>
          <w:rFonts w:ascii="Arial Narrow" w:hAnsi="Arial Narrow" w:cs="Arial Narrow" w:eastAsia="Arial Narrow" w:hint="default"/>
          <w:sz w:val="24"/>
          <w:szCs w:val="24"/>
        </w:rPr>
        <w:sectPr>
          <w:pgSz w:w="11900" w:h="16850"/>
          <w:pgMar w:header="0" w:footer="919" w:top="1640" w:bottom="1100" w:left="1180" w:right="960"/>
        </w:sectPr>
      </w:pPr>
    </w:p>
    <w:p>
      <w:pPr>
        <w:spacing w:line="240" w:lineRule="auto" w:before="3"/>
        <w:rPr>
          <w:rFonts w:ascii="宋体" w:hAnsi="宋体" w:cs="宋体" w:eastAsia="宋体" w:hint="default"/>
          <w:sz w:val="5"/>
          <w:szCs w:val="5"/>
        </w:rPr>
      </w:pPr>
      <w:r>
        <w:rPr/>
        <w:pict>
          <v:group style="position:absolute;margin-left:62.664001pt;margin-top:85.93998pt;width:477.25pt;height:.1pt;mso-position-horizontal-relative:page;mso-position-vertical-relative:page;z-index:-764680" coordorigin="1253,1719" coordsize="9545,2">
            <v:shape style="position:absolute;left:1253;top:1719;width:9545;height:2" coordorigin="1253,1719" coordsize="9545,0" path="m1253,1719l10798,1719e" filled="false" stroked="true" strokeweight=".72pt" strokecolor="#000000">
              <v:path arrowok="t"/>
            </v:shape>
            <w10:wrap type="none"/>
          </v:group>
        </w:pict>
      </w:r>
    </w:p>
    <w:tbl>
      <w:tblPr>
        <w:tblW w:w="0" w:type="auto"/>
        <w:jc w:val="left"/>
        <w:tblInd w:w="547" w:type="dxa"/>
        <w:tblLayout w:type="fixed"/>
        <w:tblCellMar>
          <w:top w:w="0" w:type="dxa"/>
          <w:left w:w="0" w:type="dxa"/>
          <w:bottom w:w="0" w:type="dxa"/>
          <w:right w:w="0" w:type="dxa"/>
        </w:tblCellMar>
        <w:tblLook w:val="01E0"/>
      </w:tblPr>
      <w:tblGrid>
        <w:gridCol w:w="3270"/>
        <w:gridCol w:w="3728"/>
        <w:gridCol w:w="2152"/>
      </w:tblGrid>
      <w:tr>
        <w:trPr>
          <w:trHeight w:val="523" w:hRule="exact"/>
        </w:trPr>
        <w:tc>
          <w:tcPr>
            <w:tcW w:w="3270"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left="14"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728"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889"/>
              <w:jc w:val="right"/>
              <w:rPr>
                <w:rFonts w:ascii="Arial Narrow" w:hAnsi="Arial Narrow" w:cs="Arial Narrow" w:eastAsia="Arial Narrow" w:hint="default"/>
                <w:sz w:val="24"/>
                <w:szCs w:val="24"/>
              </w:rPr>
            </w:pPr>
            <w:r>
              <w:rPr>
                <w:rFonts w:ascii="Arial Narrow"/>
                <w:spacing w:val="-2"/>
                <w:sz w:val="24"/>
              </w:rPr>
              <w:t>1,075,811.34</w:t>
            </w:r>
          </w:p>
        </w:tc>
        <w:tc>
          <w:tcPr>
            <w:tcW w:w="2152"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right="0"/>
              <w:jc w:val="right"/>
              <w:rPr>
                <w:rFonts w:ascii="Arial Narrow" w:hAnsi="Arial Narrow" w:cs="Arial Narrow" w:eastAsia="Arial Narrow" w:hint="default"/>
                <w:sz w:val="24"/>
                <w:szCs w:val="24"/>
              </w:rPr>
            </w:pPr>
            <w:r>
              <w:rPr>
                <w:rFonts w:ascii="Arial Narrow"/>
                <w:spacing w:val="-1"/>
                <w:sz w:val="24"/>
              </w:rPr>
              <w:t>3,069,219.37</w:t>
            </w:r>
          </w:p>
        </w:tc>
      </w:tr>
      <w:tr>
        <w:trPr>
          <w:trHeight w:val="414"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4"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90"/>
              <w:jc w:val="right"/>
              <w:rPr>
                <w:rFonts w:ascii="Arial Narrow" w:hAnsi="Arial Narrow" w:cs="Arial Narrow" w:eastAsia="Arial Narrow" w:hint="default"/>
                <w:sz w:val="24"/>
                <w:szCs w:val="24"/>
              </w:rPr>
            </w:pPr>
            <w:r>
              <w:rPr>
                <w:rFonts w:ascii="Arial Narrow"/>
                <w:spacing w:val="-1"/>
                <w:sz w:val="24"/>
              </w:rPr>
              <w:t>6,239,094.00</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Arial Narrow" w:hAnsi="Arial Narrow" w:cs="Arial Narrow" w:eastAsia="Arial Narrow" w:hint="default"/>
                <w:sz w:val="24"/>
                <w:szCs w:val="24"/>
              </w:rPr>
            </w:pPr>
            <w:r>
              <w:rPr>
                <w:rFonts w:ascii="Arial Narrow"/>
                <w:spacing w:val="-1"/>
                <w:sz w:val="24"/>
              </w:rPr>
              <w:t>3,838,312.91</w:t>
            </w:r>
          </w:p>
        </w:tc>
      </w:tr>
      <w:tr>
        <w:trPr>
          <w:trHeight w:val="415"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89"/>
              <w:jc w:val="right"/>
              <w:rPr>
                <w:rFonts w:ascii="Arial Narrow" w:hAnsi="Arial Narrow" w:cs="Arial Narrow" w:eastAsia="Arial Narrow" w:hint="default"/>
                <w:sz w:val="24"/>
                <w:szCs w:val="24"/>
              </w:rPr>
            </w:pPr>
            <w:r>
              <w:rPr>
                <w:rFonts w:ascii="Arial Narrow"/>
                <w:spacing w:val="-1"/>
                <w:sz w:val="24"/>
              </w:rPr>
              <w:t>589,812.82</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Narrow" w:hAnsi="Arial Narrow" w:cs="Arial Narrow" w:eastAsia="Arial Narrow" w:hint="default"/>
                <w:sz w:val="24"/>
                <w:szCs w:val="24"/>
              </w:rPr>
            </w:pPr>
            <w:r>
              <w:rPr>
                <w:rFonts w:ascii="Arial Narrow"/>
                <w:spacing w:val="-1"/>
                <w:sz w:val="24"/>
              </w:rPr>
              <w:t>464,538.08</w:t>
            </w:r>
          </w:p>
        </w:tc>
      </w:tr>
      <w:tr>
        <w:trPr>
          <w:trHeight w:val="415"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89"/>
              <w:jc w:val="right"/>
              <w:rPr>
                <w:rFonts w:ascii="Arial Narrow" w:hAnsi="Arial Narrow" w:cs="Arial Narrow" w:eastAsia="Arial Narrow" w:hint="default"/>
                <w:sz w:val="24"/>
                <w:szCs w:val="24"/>
              </w:rPr>
            </w:pPr>
            <w:r>
              <w:rPr>
                <w:rFonts w:ascii="Arial Narrow"/>
                <w:spacing w:val="-1"/>
                <w:sz w:val="24"/>
              </w:rPr>
              <w:t>252,776.93</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Narrow" w:hAnsi="Arial Narrow" w:cs="Arial Narrow" w:eastAsia="Arial Narrow" w:hint="default"/>
                <w:sz w:val="24"/>
                <w:szCs w:val="24"/>
              </w:rPr>
            </w:pPr>
            <w:r>
              <w:rPr>
                <w:rFonts w:ascii="Arial Narrow"/>
                <w:spacing w:val="-1"/>
                <w:sz w:val="24"/>
              </w:rPr>
              <w:t>199,087.75</w:t>
            </w:r>
          </w:p>
        </w:tc>
      </w:tr>
      <w:tr>
        <w:trPr>
          <w:trHeight w:val="415"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372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89"/>
              <w:jc w:val="right"/>
              <w:rPr>
                <w:rFonts w:ascii="Arial Narrow" w:hAnsi="Arial Narrow" w:cs="Arial Narrow" w:eastAsia="Arial Narrow" w:hint="default"/>
                <w:sz w:val="24"/>
                <w:szCs w:val="24"/>
              </w:rPr>
            </w:pPr>
            <w:r>
              <w:rPr>
                <w:rFonts w:ascii="Arial Narrow"/>
                <w:spacing w:val="-1"/>
                <w:sz w:val="24"/>
              </w:rPr>
              <w:t>303,507.77</w:t>
            </w:r>
          </w:p>
        </w:tc>
        <w:tc>
          <w:tcPr>
            <w:tcW w:w="21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Narrow" w:hAnsi="Arial Narrow" w:cs="Arial Narrow" w:eastAsia="Arial Narrow" w:hint="default"/>
                <w:sz w:val="24"/>
                <w:szCs w:val="24"/>
              </w:rPr>
            </w:pPr>
            <w:r>
              <w:rPr>
                <w:rFonts w:ascii="Arial Narrow"/>
                <w:spacing w:val="-1"/>
                <w:sz w:val="24"/>
              </w:rPr>
              <w:t>388,662.79</w:t>
            </w:r>
          </w:p>
        </w:tc>
      </w:tr>
      <w:tr>
        <w:trPr>
          <w:trHeight w:val="417" w:hRule="exact"/>
        </w:trPr>
        <w:tc>
          <w:tcPr>
            <w:tcW w:w="3270"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4" w:right="0"/>
              <w:jc w:val="left"/>
              <w:rPr>
                <w:rFonts w:ascii="宋体" w:hAnsi="宋体" w:cs="宋体" w:eastAsia="宋体" w:hint="default"/>
                <w:sz w:val="24"/>
                <w:szCs w:val="24"/>
              </w:rPr>
            </w:pPr>
            <w:r>
              <w:rPr>
                <w:rFonts w:ascii="宋体" w:hAnsi="宋体" w:cs="宋体" w:eastAsia="宋体" w:hint="default"/>
                <w:sz w:val="24"/>
                <w:szCs w:val="24"/>
              </w:rPr>
              <w:t>契税</w:t>
            </w:r>
          </w:p>
        </w:tc>
        <w:tc>
          <w:tcPr>
            <w:tcW w:w="372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890"/>
              <w:jc w:val="right"/>
              <w:rPr>
                <w:rFonts w:ascii="Arial Narrow" w:hAnsi="Arial Narrow" w:cs="Arial Narrow" w:eastAsia="Arial Narrow" w:hint="default"/>
                <w:sz w:val="24"/>
                <w:szCs w:val="24"/>
              </w:rPr>
            </w:pPr>
            <w:r>
              <w:rPr>
                <w:rFonts w:ascii="Arial Narrow"/>
                <w:spacing w:val="-1"/>
                <w:sz w:val="24"/>
              </w:rPr>
              <w:t>1,476,196.63</w:t>
            </w:r>
          </w:p>
        </w:tc>
        <w:tc>
          <w:tcPr>
            <w:tcW w:w="215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right"/>
              <w:rPr>
                <w:rFonts w:ascii="Arial Narrow" w:hAnsi="Arial Narrow" w:cs="Arial Narrow" w:eastAsia="Arial Narrow" w:hint="default"/>
                <w:sz w:val="24"/>
                <w:szCs w:val="24"/>
              </w:rPr>
            </w:pPr>
            <w:r>
              <w:rPr>
                <w:rFonts w:ascii="Arial Narrow"/>
                <w:spacing w:val="-1"/>
                <w:sz w:val="24"/>
              </w:rPr>
              <w:t>1,279,680.00</w:t>
            </w:r>
          </w:p>
        </w:tc>
      </w:tr>
      <w:tr>
        <w:trPr>
          <w:trHeight w:val="423" w:hRule="exact"/>
        </w:trPr>
        <w:tc>
          <w:tcPr>
            <w:tcW w:w="3270" w:type="dxa"/>
            <w:tcBorders>
              <w:top w:val="single" w:sz="4" w:space="0" w:color="000000"/>
              <w:left w:val="nil" w:sz="6" w:space="0" w:color="auto"/>
              <w:bottom w:val="single" w:sz="8" w:space="0" w:color="000000"/>
              <w:right w:val="nil" w:sz="6" w:space="0" w:color="auto"/>
            </w:tcBorders>
          </w:tcPr>
          <w:p>
            <w:pPr>
              <w:pStyle w:val="TableParagraph"/>
              <w:spacing w:line="240" w:lineRule="auto" w:before="7"/>
              <w:ind w:left="14" w:right="0"/>
              <w:jc w:val="left"/>
              <w:rPr>
                <w:rFonts w:ascii="宋体" w:hAnsi="宋体" w:cs="宋体" w:eastAsia="宋体" w:hint="default"/>
                <w:sz w:val="24"/>
                <w:szCs w:val="24"/>
              </w:rPr>
            </w:pPr>
            <w:r>
              <w:rPr>
                <w:rFonts w:ascii="宋体" w:hAnsi="宋体" w:cs="宋体" w:eastAsia="宋体" w:hint="default"/>
                <w:b/>
                <w:bCs/>
                <w:sz w:val="24"/>
                <w:szCs w:val="24"/>
              </w:rPr>
              <w:t>合</w:t>
            </w:r>
            <w:r>
              <w:rPr>
                <w:rFonts w:ascii="宋体" w:hAnsi="宋体" w:cs="宋体" w:eastAsia="宋体" w:hint="default"/>
                <w:b/>
                <w:bCs/>
                <w:spacing w:val="-1"/>
                <w:sz w:val="24"/>
                <w:szCs w:val="24"/>
              </w:rPr>
              <w:t> </w:t>
            </w:r>
            <w:r>
              <w:rPr>
                <w:rFonts w:ascii="宋体" w:hAnsi="宋体" w:cs="宋体" w:eastAsia="宋体" w:hint="default"/>
                <w:b/>
                <w:bCs/>
                <w:sz w:val="24"/>
                <w:szCs w:val="24"/>
              </w:rPr>
              <w:t>计</w:t>
            </w:r>
            <w:r>
              <w:rPr>
                <w:rFonts w:ascii="宋体" w:hAnsi="宋体" w:cs="宋体" w:eastAsia="宋体" w:hint="default"/>
                <w:sz w:val="24"/>
                <w:szCs w:val="24"/>
              </w:rPr>
            </w:r>
          </w:p>
        </w:tc>
        <w:tc>
          <w:tcPr>
            <w:tcW w:w="3728"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890"/>
              <w:jc w:val="right"/>
              <w:rPr>
                <w:rFonts w:ascii="Arial Narrow" w:hAnsi="Arial Narrow" w:cs="Arial Narrow" w:eastAsia="Arial Narrow" w:hint="default"/>
                <w:sz w:val="24"/>
                <w:szCs w:val="24"/>
              </w:rPr>
            </w:pPr>
            <w:r>
              <w:rPr>
                <w:rFonts w:ascii="Arial Narrow"/>
                <w:b/>
                <w:spacing w:val="-1"/>
                <w:sz w:val="24"/>
              </w:rPr>
              <w:t>16,347,361.67</w:t>
            </w:r>
            <w:r>
              <w:rPr>
                <w:rFonts w:ascii="Arial Narrow"/>
                <w:spacing w:val="-1"/>
                <w:sz w:val="24"/>
              </w:rPr>
            </w:r>
          </w:p>
        </w:tc>
        <w:tc>
          <w:tcPr>
            <w:tcW w:w="2152"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0"/>
              <w:jc w:val="right"/>
              <w:rPr>
                <w:rFonts w:ascii="Arial Narrow" w:hAnsi="Arial Narrow" w:cs="Arial Narrow" w:eastAsia="Arial Narrow" w:hint="default"/>
                <w:sz w:val="24"/>
                <w:szCs w:val="24"/>
              </w:rPr>
            </w:pPr>
            <w:r>
              <w:rPr>
                <w:rFonts w:ascii="Arial Narrow"/>
                <w:b/>
                <w:spacing w:val="-1"/>
                <w:sz w:val="24"/>
              </w:rPr>
              <w:t>12,000,590.56</w:t>
            </w:r>
            <w:r>
              <w:rPr>
                <w:rFonts w:ascii="Arial Narrow"/>
                <w:spacing w:val="-1"/>
                <w:sz w:val="24"/>
              </w:rPr>
            </w:r>
          </w:p>
        </w:tc>
      </w:tr>
    </w:tbl>
    <w:p>
      <w:pPr>
        <w:pStyle w:val="BodyText"/>
        <w:spacing w:line="240" w:lineRule="auto" w:before="79"/>
        <w:ind w:left="142" w:right="173"/>
        <w:jc w:val="left"/>
      </w:pPr>
      <w:r>
        <w:rPr>
          <w:rFonts w:ascii="Arial Narrow" w:hAnsi="Arial Narrow" w:cs="Arial Narrow" w:eastAsia="Arial Narrow" w:hint="default"/>
        </w:rPr>
        <w:t>24</w:t>
      </w:r>
      <w:r>
        <w:rPr/>
        <w:t>、应付利息</w:t>
      </w:r>
    </w:p>
    <w:p>
      <w:pPr>
        <w:spacing w:line="240" w:lineRule="auto" w:before="13"/>
        <w:rPr>
          <w:rFonts w:ascii="宋体" w:hAnsi="宋体" w:cs="宋体" w:eastAsia="宋体" w:hint="default"/>
          <w:sz w:val="17"/>
          <w:szCs w:val="17"/>
        </w:rPr>
      </w:pPr>
    </w:p>
    <w:tbl>
      <w:tblPr>
        <w:tblW w:w="0" w:type="auto"/>
        <w:jc w:val="left"/>
        <w:tblInd w:w="590" w:type="dxa"/>
        <w:tblLayout w:type="fixed"/>
        <w:tblCellMar>
          <w:top w:w="0" w:type="dxa"/>
          <w:left w:w="0" w:type="dxa"/>
          <w:bottom w:w="0" w:type="dxa"/>
          <w:right w:w="0" w:type="dxa"/>
        </w:tblCellMar>
        <w:tblLook w:val="01E0"/>
      </w:tblPr>
      <w:tblGrid>
        <w:gridCol w:w="4658"/>
        <w:gridCol w:w="2620"/>
        <w:gridCol w:w="1732"/>
      </w:tblGrid>
      <w:tr>
        <w:trPr>
          <w:trHeight w:val="394" w:hRule="exact"/>
        </w:trPr>
        <w:tc>
          <w:tcPr>
            <w:tcW w:w="4658" w:type="dxa"/>
            <w:tcBorders>
              <w:top w:val="single" w:sz="8" w:space="0" w:color="000000"/>
              <w:left w:val="nil" w:sz="6" w:space="0" w:color="auto"/>
              <w:bottom w:val="single" w:sz="4" w:space="0" w:color="000000"/>
              <w:right w:val="nil" w:sz="6" w:space="0" w:color="auto"/>
            </w:tcBorders>
          </w:tcPr>
          <w:p>
            <w:pPr>
              <w:pStyle w:val="TableParagraph"/>
              <w:tabs>
                <w:tab w:pos="587" w:val="left" w:leader="none"/>
              </w:tabs>
              <w:spacing w:line="307" w:lineRule="exact"/>
              <w:ind w:left="105"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620"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93" w:right="0"/>
              <w:jc w:val="center"/>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732"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6"/>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403" w:hRule="exact"/>
        </w:trPr>
        <w:tc>
          <w:tcPr>
            <w:tcW w:w="4658"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分期付息到期还本的长期借款利息</w:t>
            </w:r>
          </w:p>
        </w:tc>
        <w:tc>
          <w:tcPr>
            <w:tcW w:w="2620"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left="50" w:right="0"/>
              <w:jc w:val="center"/>
              <w:rPr>
                <w:rFonts w:ascii="Arial Narrow" w:hAnsi="Arial Narrow" w:cs="Arial Narrow" w:eastAsia="Arial Narrow" w:hint="default"/>
                <w:sz w:val="24"/>
                <w:szCs w:val="24"/>
              </w:rPr>
            </w:pPr>
            <w:r>
              <w:rPr>
                <w:rFonts w:ascii="Arial Narrow"/>
                <w:sz w:val="24"/>
              </w:rPr>
              <w:t>3,806.00</w:t>
            </w:r>
          </w:p>
        </w:tc>
        <w:tc>
          <w:tcPr>
            <w:tcW w:w="1732"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sz w:val="24"/>
              </w:rPr>
              <w:t>-</w:t>
            </w:r>
          </w:p>
        </w:tc>
      </w:tr>
    </w:tbl>
    <w:p>
      <w:pPr>
        <w:pStyle w:val="BodyText"/>
        <w:spacing w:line="240" w:lineRule="auto" w:before="79"/>
        <w:ind w:left="142" w:right="173"/>
        <w:jc w:val="left"/>
      </w:pPr>
      <w:r>
        <w:rPr>
          <w:rFonts w:ascii="Arial Narrow" w:hAnsi="Arial Narrow" w:cs="Arial Narrow" w:eastAsia="Arial Narrow" w:hint="default"/>
        </w:rPr>
        <w:t>25</w:t>
      </w:r>
      <w:r>
        <w:rPr/>
        <w:t>、其他应付款</w:t>
      </w:r>
    </w:p>
    <w:p>
      <w:pPr>
        <w:pStyle w:val="BodyText"/>
        <w:spacing w:line="240" w:lineRule="auto" w:before="194"/>
        <w:ind w:left="502" w:right="173"/>
        <w:jc w:val="left"/>
      </w:pPr>
      <w:r>
        <w:rPr/>
        <w:t>（</w:t>
      </w:r>
      <w:r>
        <w:rPr>
          <w:rFonts w:ascii="Arial Narrow" w:hAnsi="Arial Narrow" w:cs="Arial Narrow" w:eastAsia="Arial Narrow" w:hint="default"/>
        </w:rPr>
        <w:t>1</w:t>
      </w:r>
      <w:r>
        <w:rPr/>
        <w:t>）账龄分析</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1885"/>
        <w:gridCol w:w="2981"/>
        <w:gridCol w:w="1028"/>
        <w:gridCol w:w="1978"/>
        <w:gridCol w:w="1277"/>
      </w:tblGrid>
      <w:tr>
        <w:trPr>
          <w:trHeight w:val="297" w:hRule="exact"/>
        </w:trPr>
        <w:tc>
          <w:tcPr>
            <w:tcW w:w="1885" w:type="dxa"/>
            <w:tcBorders>
              <w:top w:val="single" w:sz="8" w:space="0" w:color="000000"/>
              <w:left w:val="nil" w:sz="6" w:space="0" w:color="auto"/>
              <w:bottom w:val="nil" w:sz="6" w:space="0" w:color="auto"/>
              <w:right w:val="nil" w:sz="6" w:space="0" w:color="auto"/>
            </w:tcBorders>
          </w:tcPr>
          <w:p>
            <w:pPr/>
          </w:p>
        </w:tc>
        <w:tc>
          <w:tcPr>
            <w:tcW w:w="2981" w:type="dxa"/>
            <w:tcBorders>
              <w:top w:val="single" w:sz="8" w:space="0" w:color="000000"/>
              <w:left w:val="nil" w:sz="6" w:space="0" w:color="auto"/>
              <w:bottom w:val="nil" w:sz="6" w:space="0" w:color="auto"/>
              <w:right w:val="nil" w:sz="6" w:space="0" w:color="auto"/>
            </w:tcBorders>
          </w:tcPr>
          <w:p>
            <w:pPr>
              <w:pStyle w:val="TableParagraph"/>
              <w:spacing w:line="307" w:lineRule="exact"/>
              <w:ind w:right="49"/>
              <w:jc w:val="right"/>
              <w:rPr>
                <w:rFonts w:ascii="宋体" w:hAnsi="宋体" w:cs="宋体" w:eastAsia="宋体" w:hint="default"/>
                <w:sz w:val="24"/>
                <w:szCs w:val="24"/>
              </w:rPr>
            </w:pPr>
            <w:r>
              <w:rPr>
                <w:rFonts w:ascii="宋体" w:hAnsi="宋体" w:cs="宋体" w:eastAsia="宋体" w:hint="default"/>
                <w:b/>
                <w:bCs/>
                <w:spacing w:val="2"/>
                <w:w w:val="95"/>
                <w:sz w:val="24"/>
                <w:szCs w:val="24"/>
              </w:rPr>
              <w:t>期末数</w:t>
            </w:r>
            <w:r>
              <w:rPr>
                <w:rFonts w:ascii="宋体" w:hAnsi="宋体" w:cs="宋体" w:eastAsia="宋体" w:hint="default"/>
                <w:sz w:val="24"/>
                <w:szCs w:val="24"/>
              </w:rPr>
            </w:r>
          </w:p>
        </w:tc>
        <w:tc>
          <w:tcPr>
            <w:tcW w:w="1028" w:type="dxa"/>
            <w:tcBorders>
              <w:top w:val="single" w:sz="8" w:space="0" w:color="000000"/>
              <w:left w:val="nil" w:sz="6" w:space="0" w:color="auto"/>
              <w:bottom w:val="nil" w:sz="6" w:space="0" w:color="auto"/>
              <w:right w:val="nil" w:sz="6" w:space="0" w:color="auto"/>
            </w:tcBorders>
          </w:tcPr>
          <w:p>
            <w:pPr/>
          </w:p>
        </w:tc>
        <w:tc>
          <w:tcPr>
            <w:tcW w:w="3256" w:type="dxa"/>
            <w:gridSpan w:val="2"/>
            <w:tcBorders>
              <w:top w:val="single" w:sz="8" w:space="0" w:color="000000"/>
              <w:left w:val="nil" w:sz="6" w:space="0" w:color="auto"/>
              <w:bottom w:val="nil" w:sz="6" w:space="0" w:color="auto"/>
              <w:right w:val="nil" w:sz="6" w:space="0" w:color="auto"/>
            </w:tcBorders>
          </w:tcPr>
          <w:p>
            <w:pPr>
              <w:pStyle w:val="TableParagraph"/>
              <w:spacing w:line="307" w:lineRule="exact"/>
              <w:ind w:left="1577" w:right="0"/>
              <w:jc w:val="left"/>
              <w:rPr>
                <w:rFonts w:ascii="宋体" w:hAnsi="宋体" w:cs="宋体" w:eastAsia="宋体" w:hint="default"/>
                <w:sz w:val="24"/>
                <w:szCs w:val="24"/>
              </w:rPr>
            </w:pPr>
            <w:r>
              <w:rPr>
                <w:rFonts w:ascii="宋体" w:hAnsi="宋体" w:cs="宋体" w:eastAsia="宋体" w:hint="default"/>
                <w:b/>
                <w:bCs/>
                <w:spacing w:val="2"/>
                <w:sz w:val="24"/>
                <w:szCs w:val="24"/>
              </w:rPr>
              <w:t>期初数</w:t>
            </w:r>
            <w:r>
              <w:rPr>
                <w:rFonts w:ascii="宋体" w:hAnsi="宋体" w:cs="宋体" w:eastAsia="宋体" w:hint="default"/>
                <w:sz w:val="24"/>
                <w:szCs w:val="24"/>
              </w:rPr>
            </w:r>
          </w:p>
        </w:tc>
      </w:tr>
      <w:tr>
        <w:trPr>
          <w:trHeight w:val="493" w:hRule="exact"/>
        </w:trPr>
        <w:tc>
          <w:tcPr>
            <w:tcW w:w="1885" w:type="dxa"/>
            <w:tcBorders>
              <w:top w:val="nil" w:sz="6" w:space="0" w:color="auto"/>
              <w:left w:val="nil" w:sz="6" w:space="0" w:color="auto"/>
              <w:bottom w:val="single" w:sz="4" w:space="0" w:color="000000"/>
              <w:right w:val="nil" w:sz="6" w:space="0" w:color="auto"/>
            </w:tcBorders>
          </w:tcPr>
          <w:p>
            <w:pPr>
              <w:pStyle w:val="TableParagraph"/>
              <w:spacing w:line="220" w:lineRule="exact"/>
              <w:ind w:left="122" w:right="0"/>
              <w:jc w:val="left"/>
              <w:rPr>
                <w:rFonts w:ascii="宋体" w:hAnsi="宋体" w:cs="宋体" w:eastAsia="宋体" w:hint="default"/>
                <w:sz w:val="24"/>
                <w:szCs w:val="24"/>
              </w:rPr>
            </w:pPr>
            <w:r>
              <w:rPr>
                <w:rFonts w:ascii="宋体" w:hAnsi="宋体" w:cs="宋体" w:eastAsia="宋体" w:hint="default"/>
                <w:b/>
                <w:bCs/>
                <w:sz w:val="24"/>
                <w:szCs w:val="24"/>
              </w:rPr>
              <w:t>账</w:t>
            </w:r>
            <w:r>
              <w:rPr>
                <w:rFonts w:ascii="宋体" w:hAnsi="宋体" w:cs="宋体" w:eastAsia="宋体" w:hint="default"/>
                <w:b/>
                <w:bCs/>
                <w:spacing w:val="-1"/>
                <w:sz w:val="24"/>
                <w:szCs w:val="24"/>
              </w:rPr>
              <w:t> </w:t>
            </w:r>
            <w:r>
              <w:rPr>
                <w:rFonts w:ascii="宋体" w:hAnsi="宋体" w:cs="宋体" w:eastAsia="宋体" w:hint="default"/>
                <w:b/>
                <w:bCs/>
                <w:sz w:val="24"/>
                <w:szCs w:val="24"/>
              </w:rPr>
              <w:t>龄</w:t>
            </w:r>
            <w:r>
              <w:rPr>
                <w:rFonts w:ascii="宋体" w:hAnsi="宋体" w:cs="宋体" w:eastAsia="宋体" w:hint="default"/>
                <w:sz w:val="24"/>
                <w:szCs w:val="24"/>
              </w:rPr>
            </w:r>
          </w:p>
        </w:tc>
        <w:tc>
          <w:tcPr>
            <w:tcW w:w="2981" w:type="dxa"/>
            <w:tcBorders>
              <w:top w:val="nil" w:sz="6" w:space="0" w:color="auto"/>
              <w:left w:val="nil" w:sz="6" w:space="0" w:color="auto"/>
              <w:bottom w:val="single" w:sz="4" w:space="0" w:color="000000"/>
              <w:right w:val="nil" w:sz="6" w:space="0" w:color="auto"/>
            </w:tcBorders>
          </w:tcPr>
          <w:p>
            <w:pPr>
              <w:pStyle w:val="TableParagraph"/>
              <w:tabs>
                <w:tab w:pos="1952" w:val="left" w:leader="none"/>
              </w:tabs>
              <w:spacing w:line="240" w:lineRule="auto" w:before="93"/>
              <w:ind w:left="1470" w:right="0"/>
              <w:jc w:val="left"/>
              <w:rPr>
                <w:rFonts w:ascii="宋体" w:hAnsi="宋体" w:cs="宋体" w:eastAsia="宋体" w:hint="default"/>
                <w:sz w:val="24"/>
                <w:szCs w:val="24"/>
              </w:rPr>
            </w:pPr>
            <w:r>
              <w:rPr>
                <w:rFonts w:ascii="宋体" w:hAnsi="宋体" w:cs="宋体" w:eastAsia="宋体" w:hint="default"/>
                <w:b/>
                <w:bCs/>
                <w:w w:val="95"/>
                <w:sz w:val="24"/>
                <w:szCs w:val="24"/>
              </w:rPr>
              <w:t>金</w:t>
              <w:tab/>
            </w:r>
            <w:r>
              <w:rPr>
                <w:rFonts w:ascii="宋体" w:hAnsi="宋体" w:cs="宋体" w:eastAsia="宋体" w:hint="default"/>
                <w:b/>
                <w:bCs/>
                <w:sz w:val="24"/>
                <w:szCs w:val="24"/>
              </w:rPr>
              <w:t>额</w:t>
            </w:r>
            <w:r>
              <w:rPr>
                <w:rFonts w:ascii="宋体" w:hAnsi="宋体" w:cs="宋体" w:eastAsia="宋体" w:hint="default"/>
                <w:sz w:val="24"/>
                <w:szCs w:val="24"/>
              </w:rPr>
            </w:r>
          </w:p>
        </w:tc>
        <w:tc>
          <w:tcPr>
            <w:tcW w:w="1028"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314"/>
              <w:jc w:val="right"/>
              <w:rPr>
                <w:rFonts w:ascii="Arial Narrow" w:hAnsi="Arial Narrow" w:cs="Arial Narrow" w:eastAsia="Arial Narrow" w:hint="default"/>
                <w:sz w:val="24"/>
                <w:szCs w:val="24"/>
              </w:rPr>
            </w:pPr>
            <w:r>
              <w:rPr>
                <w:rFonts w:ascii="宋体" w:hAnsi="宋体" w:cs="宋体" w:eastAsia="宋体"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978" w:type="dxa"/>
            <w:tcBorders>
              <w:top w:val="nil" w:sz="6" w:space="0" w:color="auto"/>
              <w:left w:val="nil" w:sz="6" w:space="0" w:color="auto"/>
              <w:bottom w:val="single" w:sz="4" w:space="0" w:color="000000"/>
              <w:right w:val="nil" w:sz="6" w:space="0" w:color="auto"/>
            </w:tcBorders>
          </w:tcPr>
          <w:p>
            <w:pPr>
              <w:pStyle w:val="TableParagraph"/>
              <w:tabs>
                <w:tab w:pos="482" w:val="left" w:leader="none"/>
              </w:tabs>
              <w:spacing w:line="240" w:lineRule="auto" w:before="93"/>
              <w:ind w:right="509"/>
              <w:jc w:val="right"/>
              <w:rPr>
                <w:rFonts w:ascii="宋体" w:hAnsi="宋体" w:cs="宋体" w:eastAsia="宋体" w:hint="default"/>
                <w:sz w:val="24"/>
                <w:szCs w:val="24"/>
              </w:rPr>
            </w:pPr>
            <w:r>
              <w:rPr>
                <w:rFonts w:ascii="宋体" w:hAnsi="宋体" w:cs="宋体" w:eastAsia="宋体" w:hint="default"/>
                <w:b/>
                <w:bCs/>
                <w:w w:val="95"/>
                <w:sz w:val="24"/>
                <w:szCs w:val="24"/>
              </w:rPr>
              <w:t>金</w:t>
              <w:tab/>
              <w:t>额</w:t>
            </w:r>
            <w:r>
              <w:rPr>
                <w:rFonts w:ascii="宋体" w:hAnsi="宋体" w:cs="宋体" w:eastAsia="宋体" w:hint="default"/>
                <w:sz w:val="24"/>
                <w:szCs w:val="24"/>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right="104"/>
              <w:jc w:val="right"/>
              <w:rPr>
                <w:rFonts w:ascii="Arial Narrow" w:hAnsi="Arial Narrow" w:cs="Arial Narrow" w:eastAsia="Arial Narrow" w:hint="default"/>
                <w:sz w:val="24"/>
                <w:szCs w:val="24"/>
              </w:rPr>
            </w:pPr>
            <w:r>
              <w:rPr>
                <w:rFonts w:ascii="宋体" w:hAnsi="宋体" w:cs="宋体" w:eastAsia="宋体"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398" w:hRule="exact"/>
        </w:trPr>
        <w:tc>
          <w:tcPr>
            <w:tcW w:w="1885" w:type="dxa"/>
            <w:tcBorders>
              <w:top w:val="single" w:sz="4" w:space="0" w:color="000000"/>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298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043" w:right="0"/>
              <w:jc w:val="left"/>
              <w:rPr>
                <w:rFonts w:ascii="Arial Narrow" w:hAnsi="Arial Narrow" w:cs="Arial Narrow" w:eastAsia="Arial Narrow" w:hint="default"/>
                <w:sz w:val="24"/>
                <w:szCs w:val="24"/>
              </w:rPr>
            </w:pPr>
            <w:r>
              <w:rPr>
                <w:rFonts w:ascii="Arial Narrow"/>
                <w:sz w:val="24"/>
              </w:rPr>
              <w:t>7,486,593.28</w:t>
            </w:r>
          </w:p>
        </w:tc>
        <w:tc>
          <w:tcPr>
            <w:tcW w:w="102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316"/>
              <w:jc w:val="right"/>
              <w:rPr>
                <w:rFonts w:ascii="Arial Narrow" w:hAnsi="Arial Narrow" w:cs="Arial Narrow" w:eastAsia="Arial Narrow" w:hint="default"/>
                <w:sz w:val="24"/>
                <w:szCs w:val="24"/>
              </w:rPr>
            </w:pPr>
            <w:r>
              <w:rPr>
                <w:rFonts w:ascii="Arial Narrow"/>
                <w:spacing w:val="-1"/>
                <w:sz w:val="24"/>
              </w:rPr>
              <w:t>59.56</w:t>
            </w:r>
          </w:p>
        </w:tc>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509"/>
              <w:jc w:val="right"/>
              <w:rPr>
                <w:rFonts w:ascii="Arial Narrow" w:hAnsi="Arial Narrow" w:cs="Arial Narrow" w:eastAsia="Arial Narrow" w:hint="default"/>
                <w:sz w:val="24"/>
                <w:szCs w:val="24"/>
              </w:rPr>
            </w:pPr>
            <w:r>
              <w:rPr>
                <w:rFonts w:ascii="Arial Narrow"/>
                <w:spacing w:val="-1"/>
                <w:sz w:val="24"/>
              </w:rPr>
              <w:t>4,903,228.47</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spacing w:val="-1"/>
                <w:sz w:val="24"/>
              </w:rPr>
              <w:t>73.09</w:t>
            </w:r>
          </w:p>
        </w:tc>
      </w:tr>
      <w:tr>
        <w:trPr>
          <w:trHeight w:val="395"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327"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至</w:t>
            </w:r>
            <w:r>
              <w:rPr>
                <w:rFonts w:ascii="Arial Narrow" w:hAnsi="Arial Narrow" w:cs="Arial Narrow" w:eastAsia="Arial Narrow" w:hint="default"/>
                <w:sz w:val="24"/>
                <w:szCs w:val="24"/>
              </w:rPr>
              <w:t>2</w:t>
            </w:r>
            <w:r>
              <w:rPr>
                <w:rFonts w:ascii="宋体" w:hAnsi="宋体" w:cs="宋体" w:eastAsia="宋体" w:hint="default"/>
                <w:sz w:val="24"/>
                <w:szCs w:val="24"/>
              </w:rPr>
              <w:t>年</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43" w:right="0"/>
              <w:jc w:val="left"/>
              <w:rPr>
                <w:rFonts w:ascii="Arial Narrow" w:hAnsi="Arial Narrow" w:cs="Arial Narrow" w:eastAsia="Arial Narrow" w:hint="default"/>
                <w:sz w:val="24"/>
                <w:szCs w:val="24"/>
              </w:rPr>
            </w:pPr>
            <w:r>
              <w:rPr>
                <w:rFonts w:ascii="Arial Narrow"/>
                <w:sz w:val="24"/>
              </w:rPr>
              <w:t>3,305,189.27</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6"/>
              <w:jc w:val="right"/>
              <w:rPr>
                <w:rFonts w:ascii="Arial Narrow" w:hAnsi="Arial Narrow" w:cs="Arial Narrow" w:eastAsia="Arial Narrow" w:hint="default"/>
                <w:sz w:val="24"/>
                <w:szCs w:val="24"/>
              </w:rPr>
            </w:pPr>
            <w:r>
              <w:rPr>
                <w:rFonts w:ascii="Arial Narrow"/>
                <w:spacing w:val="-1"/>
                <w:sz w:val="24"/>
              </w:rPr>
              <w:t>26.29</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09"/>
              <w:jc w:val="right"/>
              <w:rPr>
                <w:rFonts w:ascii="Arial Narrow" w:hAnsi="Arial Narrow" w:cs="Arial Narrow" w:eastAsia="Arial Narrow" w:hint="default"/>
                <w:sz w:val="24"/>
                <w:szCs w:val="24"/>
              </w:rPr>
            </w:pPr>
            <w:r>
              <w:rPr>
                <w:rFonts w:ascii="Arial Narrow"/>
                <w:spacing w:val="-1"/>
                <w:sz w:val="24"/>
              </w:rPr>
              <w:t>683,457.05</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Arial Narrow" w:hAnsi="Arial Narrow" w:cs="Arial Narrow" w:eastAsia="Arial Narrow" w:hint="default"/>
                <w:sz w:val="24"/>
                <w:szCs w:val="24"/>
              </w:rPr>
            </w:pPr>
            <w:r>
              <w:rPr>
                <w:rFonts w:ascii="Arial Narrow"/>
                <w:spacing w:val="-1"/>
                <w:sz w:val="24"/>
              </w:rPr>
              <w:t>10.19</w:t>
            </w:r>
          </w:p>
        </w:tc>
      </w:tr>
      <w:tr>
        <w:trPr>
          <w:trHeight w:val="397" w:hRule="exact"/>
        </w:trPr>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至</w:t>
            </w:r>
            <w:r>
              <w:rPr>
                <w:rFonts w:ascii="Arial Narrow" w:hAnsi="Arial Narrow" w:cs="Arial Narrow" w:eastAsia="Arial Narrow" w:hint="default"/>
                <w:sz w:val="24"/>
                <w:szCs w:val="24"/>
              </w:rPr>
              <w:t>3</w:t>
            </w:r>
            <w:r>
              <w:rPr>
                <w:rFonts w:ascii="宋体" w:hAnsi="宋体" w:cs="宋体" w:eastAsia="宋体" w:hint="default"/>
                <w:sz w:val="24"/>
                <w:szCs w:val="24"/>
              </w:rPr>
              <w:t>年</w:t>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08" w:right="0"/>
              <w:jc w:val="left"/>
              <w:rPr>
                <w:rFonts w:ascii="Arial Narrow" w:hAnsi="Arial Narrow" w:cs="Arial Narrow" w:eastAsia="Arial Narrow" w:hint="default"/>
                <w:sz w:val="24"/>
                <w:szCs w:val="24"/>
              </w:rPr>
            </w:pPr>
            <w:r>
              <w:rPr>
                <w:rFonts w:ascii="Arial Narrow"/>
                <w:sz w:val="24"/>
              </w:rPr>
              <w:t>657,463.42</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6"/>
              <w:jc w:val="right"/>
              <w:rPr>
                <w:rFonts w:ascii="Arial Narrow" w:hAnsi="Arial Narrow" w:cs="Arial Narrow" w:eastAsia="Arial Narrow" w:hint="default"/>
                <w:sz w:val="24"/>
                <w:szCs w:val="24"/>
              </w:rPr>
            </w:pPr>
            <w:r>
              <w:rPr>
                <w:rFonts w:ascii="Arial Narrow"/>
                <w:sz w:val="24"/>
              </w:rPr>
              <w:t>5.23</w:t>
            </w: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09"/>
              <w:jc w:val="right"/>
              <w:rPr>
                <w:rFonts w:ascii="Arial Narrow" w:hAnsi="Arial Narrow" w:cs="Arial Narrow" w:eastAsia="Arial Narrow" w:hint="default"/>
                <w:sz w:val="24"/>
                <w:szCs w:val="24"/>
              </w:rPr>
            </w:pPr>
            <w:r>
              <w:rPr>
                <w:rFonts w:ascii="Arial Narrow"/>
                <w:spacing w:val="-1"/>
                <w:sz w:val="24"/>
              </w:rPr>
              <w:t>155,056.97</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Arial Narrow" w:hAnsi="Arial Narrow" w:cs="Arial Narrow" w:eastAsia="Arial Narrow" w:hint="default"/>
                <w:sz w:val="24"/>
                <w:szCs w:val="24"/>
              </w:rPr>
            </w:pPr>
            <w:r>
              <w:rPr>
                <w:rFonts w:ascii="Arial Narrow"/>
                <w:sz w:val="24"/>
              </w:rPr>
              <w:t>2.31</w:t>
            </w:r>
          </w:p>
        </w:tc>
      </w:tr>
      <w:tr>
        <w:trPr>
          <w:trHeight w:val="397" w:hRule="exact"/>
        </w:trPr>
        <w:tc>
          <w:tcPr>
            <w:tcW w:w="1885" w:type="dxa"/>
            <w:tcBorders>
              <w:top w:val="nil" w:sz="6" w:space="0" w:color="auto"/>
              <w:left w:val="nil" w:sz="6" w:space="0" w:color="auto"/>
              <w:bottom w:val="single" w:sz="4" w:space="0" w:color="000000"/>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年以上</w:t>
            </w:r>
          </w:p>
        </w:tc>
        <w:tc>
          <w:tcPr>
            <w:tcW w:w="298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043" w:right="0"/>
              <w:jc w:val="left"/>
              <w:rPr>
                <w:rFonts w:ascii="Arial Narrow" w:hAnsi="Arial Narrow" w:cs="Arial Narrow" w:eastAsia="Arial Narrow" w:hint="default"/>
                <w:sz w:val="24"/>
                <w:szCs w:val="24"/>
              </w:rPr>
            </w:pPr>
            <w:r>
              <w:rPr>
                <w:rFonts w:ascii="Arial Narrow"/>
                <w:sz w:val="24"/>
              </w:rPr>
              <w:t>1,121,376.97</w:t>
            </w:r>
          </w:p>
        </w:tc>
        <w:tc>
          <w:tcPr>
            <w:tcW w:w="102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16"/>
              <w:jc w:val="right"/>
              <w:rPr>
                <w:rFonts w:ascii="Arial Narrow" w:hAnsi="Arial Narrow" w:cs="Arial Narrow" w:eastAsia="Arial Narrow" w:hint="default"/>
                <w:sz w:val="24"/>
                <w:szCs w:val="24"/>
              </w:rPr>
            </w:pPr>
            <w:r>
              <w:rPr>
                <w:rFonts w:ascii="Arial Narrow"/>
                <w:sz w:val="24"/>
              </w:rPr>
              <w:t>8.92</w:t>
            </w:r>
          </w:p>
        </w:tc>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509"/>
              <w:jc w:val="right"/>
              <w:rPr>
                <w:rFonts w:ascii="Arial Narrow" w:hAnsi="Arial Narrow" w:cs="Arial Narrow" w:eastAsia="Arial Narrow" w:hint="default"/>
                <w:sz w:val="24"/>
                <w:szCs w:val="24"/>
              </w:rPr>
            </w:pPr>
            <w:r>
              <w:rPr>
                <w:rFonts w:ascii="Arial Narrow"/>
                <w:spacing w:val="-1"/>
                <w:sz w:val="24"/>
              </w:rPr>
              <w:t>966,320.00</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5"/>
              <w:jc w:val="right"/>
              <w:rPr>
                <w:rFonts w:ascii="Arial Narrow" w:hAnsi="Arial Narrow" w:cs="Arial Narrow" w:eastAsia="Arial Narrow" w:hint="default"/>
                <w:sz w:val="24"/>
                <w:szCs w:val="24"/>
              </w:rPr>
            </w:pPr>
            <w:r>
              <w:rPr>
                <w:rFonts w:ascii="Arial Narrow"/>
                <w:spacing w:val="-1"/>
                <w:sz w:val="24"/>
              </w:rPr>
              <w:t>14.41</w:t>
            </w:r>
          </w:p>
        </w:tc>
      </w:tr>
      <w:tr>
        <w:trPr>
          <w:trHeight w:val="403" w:hRule="exact"/>
        </w:trPr>
        <w:tc>
          <w:tcPr>
            <w:tcW w:w="1885"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98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932" w:right="0"/>
              <w:jc w:val="left"/>
              <w:rPr>
                <w:rFonts w:ascii="Arial Narrow" w:hAnsi="Arial Narrow" w:cs="Arial Narrow" w:eastAsia="Arial Narrow" w:hint="default"/>
                <w:sz w:val="24"/>
                <w:szCs w:val="24"/>
              </w:rPr>
            </w:pPr>
            <w:r>
              <w:rPr>
                <w:rFonts w:ascii="Arial Narrow"/>
                <w:b/>
                <w:sz w:val="24"/>
              </w:rPr>
              <w:t>12,570,622.94</w:t>
            </w:r>
            <w:r>
              <w:rPr>
                <w:rFonts w:ascii="Arial Narrow"/>
                <w:sz w:val="24"/>
              </w:rPr>
            </w:r>
          </w:p>
        </w:tc>
        <w:tc>
          <w:tcPr>
            <w:tcW w:w="102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16"/>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197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509"/>
              <w:jc w:val="right"/>
              <w:rPr>
                <w:rFonts w:ascii="Arial Narrow" w:hAnsi="Arial Narrow" w:cs="Arial Narrow" w:eastAsia="Arial Narrow" w:hint="default"/>
                <w:sz w:val="24"/>
                <w:szCs w:val="24"/>
              </w:rPr>
            </w:pPr>
            <w:r>
              <w:rPr>
                <w:rFonts w:ascii="Arial Narrow"/>
                <w:b/>
                <w:spacing w:val="-1"/>
                <w:sz w:val="24"/>
              </w:rPr>
              <w:t>6,708,062.49</w:t>
            </w:r>
            <w:r>
              <w:rPr>
                <w:rFonts w:ascii="Arial Narrow"/>
                <w:spacing w:val="-1"/>
                <w:sz w:val="24"/>
              </w:rPr>
            </w:r>
          </w:p>
        </w:tc>
        <w:tc>
          <w:tcPr>
            <w:tcW w:w="127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4"/>
              <w:jc w:val="right"/>
              <w:rPr>
                <w:rFonts w:ascii="Arial Narrow" w:hAnsi="Arial Narrow" w:cs="Arial Narrow" w:eastAsia="Arial Narrow" w:hint="default"/>
                <w:sz w:val="24"/>
                <w:szCs w:val="24"/>
              </w:rPr>
            </w:pPr>
            <w:r>
              <w:rPr>
                <w:rFonts w:ascii="Arial Narrow"/>
                <w:b/>
                <w:sz w:val="24"/>
              </w:rPr>
              <w:t>100</w:t>
            </w:r>
            <w:r>
              <w:rPr>
                <w:rFonts w:ascii="Arial Narrow"/>
                <w:sz w:val="24"/>
              </w:rPr>
            </w:r>
          </w:p>
        </w:tc>
      </w:tr>
    </w:tbl>
    <w:p>
      <w:pPr>
        <w:pStyle w:val="BodyText"/>
        <w:spacing w:line="240" w:lineRule="auto" w:before="79"/>
        <w:ind w:left="562" w:right="173"/>
        <w:jc w:val="left"/>
      </w:pPr>
      <w:r>
        <w:rPr/>
        <w:t>说明：账龄超过一年的其他应付款主要系购房尾款和项目外包方的投标保证金。</w:t>
      </w:r>
    </w:p>
    <w:p>
      <w:pPr>
        <w:spacing w:line="240" w:lineRule="auto" w:before="10"/>
        <w:rPr>
          <w:rFonts w:ascii="宋体" w:hAnsi="宋体" w:cs="宋体" w:eastAsia="宋体" w:hint="default"/>
          <w:sz w:val="18"/>
          <w:szCs w:val="18"/>
        </w:rPr>
      </w:pPr>
    </w:p>
    <w:p>
      <w:pPr>
        <w:pStyle w:val="BodyText"/>
        <w:spacing w:line="312" w:lineRule="exact"/>
        <w:ind w:left="559" w:right="173" w:hanging="58"/>
        <w:jc w:val="left"/>
      </w:pPr>
      <w:r>
        <w:rPr/>
        <w:t>（</w:t>
      </w:r>
      <w:r>
        <w:rPr>
          <w:rFonts w:ascii="Arial Narrow" w:hAnsi="Arial Narrow" w:cs="Arial Narrow" w:eastAsia="Arial Narrow" w:hint="default"/>
        </w:rPr>
        <w:t>2</w:t>
      </w:r>
      <w:r>
        <w:rPr/>
        <w:t>）期末其他应付款中不存在应付持本公司</w:t>
      </w:r>
      <w:r>
        <w:rPr>
          <w:spacing w:val="-83"/>
        </w:rPr>
        <w:t> </w:t>
      </w:r>
      <w:r>
        <w:rPr>
          <w:rFonts w:ascii="Arial Narrow" w:hAnsi="Arial Narrow" w:cs="Arial Narrow" w:eastAsia="Arial Narrow" w:hint="default"/>
          <w:spacing w:val="-7"/>
        </w:rPr>
        <w:t>5%</w:t>
      </w:r>
      <w:r>
        <w:rPr>
          <w:spacing w:val="-7"/>
        </w:rPr>
        <w:t>（含</w:t>
      </w:r>
      <w:r>
        <w:rPr>
          <w:spacing w:val="-83"/>
        </w:rPr>
        <w:t> </w:t>
      </w:r>
      <w:r>
        <w:rPr>
          <w:rFonts w:ascii="Arial Narrow" w:hAnsi="Arial Narrow" w:cs="Arial Narrow" w:eastAsia="Arial Narrow" w:hint="default"/>
        </w:rPr>
        <w:t>5%</w:t>
      </w:r>
      <w:r>
        <w:rPr/>
        <w:t>）以上表决权股份的股东单位或 其他关联方款项。</w:t>
      </w:r>
    </w:p>
    <w:p>
      <w:pPr>
        <w:pStyle w:val="BodyText"/>
        <w:spacing w:line="240" w:lineRule="auto" w:before="183"/>
        <w:ind w:left="142" w:right="173"/>
        <w:jc w:val="left"/>
      </w:pPr>
      <w:r>
        <w:rPr>
          <w:rFonts w:ascii="Arial Narrow" w:hAnsi="Arial Narrow" w:cs="Arial Narrow" w:eastAsia="Arial Narrow" w:hint="default"/>
        </w:rPr>
        <w:t>26</w:t>
      </w:r>
      <w:r>
        <w:rPr/>
        <w:t>、一年内到期的非流动负债</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672"/>
        <w:gridCol w:w="3264"/>
        <w:gridCol w:w="2207"/>
      </w:tblGrid>
      <w:tr>
        <w:trPr>
          <w:trHeight w:val="391" w:hRule="exact"/>
        </w:trPr>
        <w:tc>
          <w:tcPr>
            <w:tcW w:w="3672"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264"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948"/>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2207"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6"/>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398" w:hRule="exact"/>
        </w:trPr>
        <w:tc>
          <w:tcPr>
            <w:tcW w:w="3672"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一年内到期的长期借款</w:t>
            </w:r>
          </w:p>
        </w:tc>
        <w:tc>
          <w:tcPr>
            <w:tcW w:w="32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47"/>
              <w:jc w:val="right"/>
              <w:rPr>
                <w:rFonts w:ascii="Arial Narrow" w:hAnsi="Arial Narrow" w:cs="Arial Narrow" w:eastAsia="Arial Narrow" w:hint="default"/>
                <w:sz w:val="24"/>
                <w:szCs w:val="24"/>
              </w:rPr>
            </w:pPr>
            <w:r>
              <w:rPr>
                <w:rFonts w:ascii="Arial Narrow"/>
                <w:spacing w:val="-1"/>
                <w:sz w:val="24"/>
              </w:rPr>
              <w:t>3,785,806.94</w:t>
            </w:r>
          </w:p>
        </w:tc>
        <w:tc>
          <w:tcPr>
            <w:tcW w:w="22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4,285,571.14</w:t>
            </w:r>
          </w:p>
        </w:tc>
      </w:tr>
      <w:tr>
        <w:trPr>
          <w:trHeight w:val="397" w:hRule="exact"/>
        </w:trPr>
        <w:tc>
          <w:tcPr>
            <w:tcW w:w="3672"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一年内到期的应付债券</w:t>
            </w:r>
          </w:p>
        </w:tc>
        <w:tc>
          <w:tcPr>
            <w:tcW w:w="326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947"/>
              <w:jc w:val="right"/>
              <w:rPr>
                <w:rFonts w:ascii="Arial Narrow" w:hAnsi="Arial Narrow" w:cs="Arial Narrow" w:eastAsia="Arial Narrow" w:hint="default"/>
                <w:sz w:val="24"/>
                <w:szCs w:val="24"/>
              </w:rPr>
            </w:pPr>
            <w:r>
              <w:rPr>
                <w:rFonts w:ascii="Arial Narrow"/>
                <w:sz w:val="24"/>
              </w:rPr>
              <w:t>-</w:t>
            </w:r>
          </w:p>
        </w:tc>
        <w:tc>
          <w:tcPr>
            <w:tcW w:w="2207"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spacing w:val="-1"/>
                <w:sz w:val="24"/>
              </w:rPr>
              <w:t>487,560.00</w:t>
            </w:r>
          </w:p>
        </w:tc>
      </w:tr>
      <w:tr>
        <w:trPr>
          <w:trHeight w:val="403" w:hRule="exact"/>
        </w:trPr>
        <w:tc>
          <w:tcPr>
            <w:tcW w:w="3672"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2"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26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947"/>
              <w:jc w:val="right"/>
              <w:rPr>
                <w:rFonts w:ascii="Arial Narrow" w:hAnsi="Arial Narrow" w:cs="Arial Narrow" w:eastAsia="Arial Narrow" w:hint="default"/>
                <w:sz w:val="24"/>
                <w:szCs w:val="24"/>
              </w:rPr>
            </w:pPr>
            <w:r>
              <w:rPr>
                <w:rFonts w:ascii="Arial Narrow"/>
                <w:b/>
                <w:spacing w:val="-1"/>
                <w:sz w:val="24"/>
              </w:rPr>
              <w:t>3,785,806.94</w:t>
            </w:r>
            <w:r>
              <w:rPr>
                <w:rFonts w:ascii="Arial Narrow"/>
                <w:spacing w:val="-1"/>
                <w:sz w:val="24"/>
              </w:rPr>
            </w:r>
          </w:p>
        </w:tc>
        <w:tc>
          <w:tcPr>
            <w:tcW w:w="220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b/>
                <w:spacing w:val="-1"/>
                <w:sz w:val="24"/>
              </w:rPr>
              <w:t>4,773,131.14</w:t>
            </w:r>
            <w:r>
              <w:rPr>
                <w:rFonts w:ascii="Arial Narrow"/>
                <w:spacing w:val="-1"/>
                <w:sz w:val="24"/>
              </w:rPr>
            </w:r>
          </w:p>
        </w:tc>
      </w:tr>
    </w:tbl>
    <w:p>
      <w:pPr>
        <w:pStyle w:val="BodyText"/>
        <w:spacing w:line="240" w:lineRule="auto" w:before="80"/>
        <w:ind w:left="502" w:right="173"/>
        <w:jc w:val="left"/>
      </w:pPr>
      <w:r>
        <w:rPr/>
        <w:t>（</w:t>
      </w:r>
      <w:r>
        <w:rPr>
          <w:rFonts w:ascii="Arial Narrow" w:hAnsi="Arial Narrow" w:cs="Arial Narrow" w:eastAsia="Arial Narrow" w:hint="default"/>
        </w:rPr>
        <w:t>1</w:t>
      </w:r>
      <w:r>
        <w:rPr/>
        <w:t>）一年内到期的长期借款</w:t>
      </w:r>
    </w:p>
    <w:p>
      <w:pPr>
        <w:pStyle w:val="BodyText"/>
        <w:spacing w:line="240" w:lineRule="auto" w:before="197"/>
        <w:ind w:left="682" w:right="173"/>
        <w:jc w:val="left"/>
      </w:pPr>
      <w:r>
        <w:rPr/>
        <w:t>①</w:t>
      </w:r>
      <w:r>
        <w:rPr>
          <w:spacing w:val="-1"/>
        </w:rPr>
        <w:t> </w:t>
      </w:r>
      <w:r>
        <w:rPr/>
        <w:t>一年内到期的长期借款分类</w:t>
      </w:r>
    </w:p>
    <w:p>
      <w:pPr>
        <w:spacing w:line="240" w:lineRule="auto" w:before="3"/>
        <w:rPr>
          <w:rFonts w:ascii="宋体" w:hAnsi="宋体" w:cs="宋体" w:eastAsia="宋体" w:hint="default"/>
          <w:sz w:val="19"/>
          <w:szCs w:val="19"/>
        </w:rPr>
      </w:pPr>
    </w:p>
    <w:tbl>
      <w:tblPr>
        <w:tblW w:w="0" w:type="auto"/>
        <w:jc w:val="left"/>
        <w:tblInd w:w="562" w:type="dxa"/>
        <w:tblLayout w:type="fixed"/>
        <w:tblCellMar>
          <w:top w:w="0" w:type="dxa"/>
          <w:left w:w="0" w:type="dxa"/>
          <w:bottom w:w="0" w:type="dxa"/>
          <w:right w:w="0" w:type="dxa"/>
        </w:tblCellMar>
        <w:tblLook w:val="01E0"/>
      </w:tblPr>
      <w:tblGrid>
        <w:gridCol w:w="3045"/>
        <w:gridCol w:w="4099"/>
        <w:gridCol w:w="1993"/>
      </w:tblGrid>
      <w:tr>
        <w:trPr>
          <w:trHeight w:val="394" w:hRule="exact"/>
        </w:trPr>
        <w:tc>
          <w:tcPr>
            <w:tcW w:w="3045"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4099"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2214"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993"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1162"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bl>
    <w:p>
      <w:pPr>
        <w:spacing w:after="0" w:line="307" w:lineRule="exact"/>
        <w:jc w:val="left"/>
        <w:rPr>
          <w:rFonts w:ascii="宋体" w:hAnsi="宋体" w:cs="宋体" w:eastAsia="宋体" w:hint="default"/>
          <w:sz w:val="24"/>
          <w:szCs w:val="24"/>
        </w:rPr>
        <w:sectPr>
          <w:pgSz w:w="11900" w:h="16850"/>
          <w:pgMar w:header="0" w:footer="919" w:top="1640" w:bottom="1100" w:left="1140" w:right="94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400"/>
        <w:gridCol w:w="2950"/>
        <w:gridCol w:w="3980"/>
        <w:gridCol w:w="2166"/>
      </w:tblGrid>
      <w:tr>
        <w:trPr>
          <w:trHeight w:val="487" w:hRule="exact"/>
        </w:trPr>
        <w:tc>
          <w:tcPr>
            <w:tcW w:w="400" w:type="dxa"/>
            <w:tcBorders>
              <w:top w:val="single" w:sz="6" w:space="0" w:color="000000"/>
              <w:left w:val="nil" w:sz="6" w:space="0" w:color="auto"/>
              <w:bottom w:val="nil" w:sz="6" w:space="0" w:color="auto"/>
              <w:right w:val="nil" w:sz="6" w:space="0" w:color="auto"/>
            </w:tcBorders>
          </w:tcPr>
          <w:p>
            <w:pPr/>
          </w:p>
        </w:tc>
        <w:tc>
          <w:tcPr>
            <w:tcW w:w="2950" w:type="dxa"/>
            <w:tcBorders>
              <w:top w:val="single" w:sz="6" w:space="0" w:color="000000"/>
              <w:left w:val="nil" w:sz="6" w:space="0" w:color="auto"/>
              <w:bottom w:val="nil" w:sz="6" w:space="0" w:color="auto"/>
              <w:right w:val="nil" w:sz="6" w:space="0" w:color="auto"/>
            </w:tcBorders>
          </w:tcPr>
          <w:p>
            <w:pPr>
              <w:pStyle w:val="TableParagraph"/>
              <w:spacing w:line="240" w:lineRule="auto" w:before="87"/>
              <w:ind w:left="108"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3980" w:type="dxa"/>
            <w:tcBorders>
              <w:top w:val="single" w:sz="6" w:space="0" w:color="000000"/>
              <w:left w:val="nil" w:sz="6" w:space="0" w:color="auto"/>
              <w:bottom w:val="nil" w:sz="6" w:space="0" w:color="auto"/>
              <w:right w:val="nil" w:sz="6" w:space="0" w:color="auto"/>
            </w:tcBorders>
          </w:tcPr>
          <w:p>
            <w:pPr>
              <w:pStyle w:val="TableParagraph"/>
              <w:spacing w:line="240" w:lineRule="auto" w:before="137"/>
              <w:ind w:right="946"/>
              <w:jc w:val="right"/>
              <w:rPr>
                <w:rFonts w:ascii="Arial Narrow" w:hAnsi="Arial Narrow" w:cs="Arial Narrow" w:eastAsia="Arial Narrow" w:hint="default"/>
                <w:sz w:val="24"/>
                <w:szCs w:val="24"/>
              </w:rPr>
            </w:pPr>
            <w:r>
              <w:rPr>
                <w:rFonts w:ascii="Arial Narrow"/>
                <w:spacing w:val="-1"/>
                <w:sz w:val="24"/>
              </w:rPr>
              <w:t>1,904,379.54</w:t>
            </w:r>
          </w:p>
        </w:tc>
        <w:tc>
          <w:tcPr>
            <w:tcW w:w="2166" w:type="dxa"/>
            <w:tcBorders>
              <w:top w:val="single" w:sz="6" w:space="0" w:color="000000"/>
              <w:left w:val="nil" w:sz="6" w:space="0" w:color="auto"/>
              <w:bottom w:val="nil" w:sz="6" w:space="0" w:color="auto"/>
              <w:right w:val="nil" w:sz="6" w:space="0" w:color="auto"/>
            </w:tcBorders>
          </w:tcPr>
          <w:p>
            <w:pPr>
              <w:pStyle w:val="TableParagraph"/>
              <w:spacing w:line="240" w:lineRule="auto" w:before="137"/>
              <w:ind w:right="64"/>
              <w:jc w:val="right"/>
              <w:rPr>
                <w:rFonts w:ascii="Arial Narrow" w:hAnsi="Arial Narrow" w:cs="Arial Narrow" w:eastAsia="Arial Narrow" w:hint="default"/>
                <w:sz w:val="24"/>
                <w:szCs w:val="24"/>
              </w:rPr>
            </w:pPr>
            <w:r>
              <w:rPr>
                <w:rFonts w:ascii="Arial Narrow"/>
                <w:sz w:val="24"/>
              </w:rPr>
              <w:t>-</w:t>
            </w:r>
          </w:p>
        </w:tc>
      </w:tr>
      <w:tr>
        <w:trPr>
          <w:trHeight w:val="399" w:hRule="exact"/>
        </w:trPr>
        <w:tc>
          <w:tcPr>
            <w:tcW w:w="400" w:type="dxa"/>
            <w:tcBorders>
              <w:top w:val="nil" w:sz="6" w:space="0" w:color="auto"/>
              <w:left w:val="nil" w:sz="6" w:space="0" w:color="auto"/>
              <w:bottom w:val="nil" w:sz="6" w:space="0" w:color="auto"/>
              <w:right w:val="nil" w:sz="6" w:space="0" w:color="auto"/>
            </w:tcBorders>
          </w:tcPr>
          <w:p>
            <w:pPr/>
          </w:p>
        </w:tc>
        <w:tc>
          <w:tcPr>
            <w:tcW w:w="2950" w:type="dxa"/>
            <w:tcBorders>
              <w:top w:val="nil" w:sz="6" w:space="0" w:color="auto"/>
              <w:left w:val="nil" w:sz="6" w:space="0" w:color="auto"/>
              <w:bottom w:val="single" w:sz="4"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98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946"/>
              <w:jc w:val="right"/>
              <w:rPr>
                <w:rFonts w:ascii="Arial Narrow" w:hAnsi="Arial Narrow" w:cs="Arial Narrow" w:eastAsia="Arial Narrow" w:hint="default"/>
                <w:sz w:val="24"/>
                <w:szCs w:val="24"/>
              </w:rPr>
            </w:pPr>
            <w:r>
              <w:rPr>
                <w:rFonts w:ascii="Arial Narrow"/>
                <w:spacing w:val="-1"/>
                <w:sz w:val="24"/>
              </w:rPr>
              <w:t>1,881,427.40</w:t>
            </w:r>
          </w:p>
        </w:tc>
        <w:tc>
          <w:tcPr>
            <w:tcW w:w="216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65"/>
              <w:jc w:val="right"/>
              <w:rPr>
                <w:rFonts w:ascii="Arial Narrow" w:hAnsi="Arial Narrow" w:cs="Arial Narrow" w:eastAsia="Arial Narrow" w:hint="default"/>
                <w:sz w:val="24"/>
                <w:szCs w:val="24"/>
              </w:rPr>
            </w:pPr>
            <w:r>
              <w:rPr>
                <w:rFonts w:ascii="Arial Narrow"/>
                <w:spacing w:val="-1"/>
                <w:sz w:val="24"/>
              </w:rPr>
              <w:t>4,285,571.14</w:t>
            </w:r>
          </w:p>
        </w:tc>
      </w:tr>
      <w:tr>
        <w:trPr>
          <w:trHeight w:val="401" w:hRule="exact"/>
        </w:trPr>
        <w:tc>
          <w:tcPr>
            <w:tcW w:w="400" w:type="dxa"/>
            <w:tcBorders>
              <w:top w:val="nil" w:sz="6" w:space="0" w:color="auto"/>
              <w:left w:val="nil" w:sz="6" w:space="0" w:color="auto"/>
              <w:bottom w:val="nil" w:sz="6" w:space="0" w:color="auto"/>
              <w:right w:val="nil" w:sz="6" w:space="0" w:color="auto"/>
            </w:tcBorders>
          </w:tcPr>
          <w:p>
            <w:pPr/>
          </w:p>
        </w:tc>
        <w:tc>
          <w:tcPr>
            <w:tcW w:w="2950"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0"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980"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946"/>
              <w:jc w:val="right"/>
              <w:rPr>
                <w:rFonts w:ascii="Arial Narrow" w:hAnsi="Arial Narrow" w:cs="Arial Narrow" w:eastAsia="Arial Narrow" w:hint="default"/>
                <w:sz w:val="24"/>
                <w:szCs w:val="24"/>
              </w:rPr>
            </w:pPr>
            <w:r>
              <w:rPr>
                <w:rFonts w:ascii="Arial Narrow"/>
                <w:b/>
                <w:spacing w:val="-1"/>
                <w:sz w:val="24"/>
              </w:rPr>
              <w:t>3,785,806.94</w:t>
            </w:r>
            <w:r>
              <w:rPr>
                <w:rFonts w:ascii="Arial Narrow"/>
                <w:spacing w:val="-1"/>
                <w:sz w:val="24"/>
              </w:rPr>
            </w:r>
          </w:p>
        </w:tc>
        <w:tc>
          <w:tcPr>
            <w:tcW w:w="216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65"/>
              <w:jc w:val="right"/>
              <w:rPr>
                <w:rFonts w:ascii="Arial Narrow" w:hAnsi="Arial Narrow" w:cs="Arial Narrow" w:eastAsia="Arial Narrow" w:hint="default"/>
                <w:sz w:val="24"/>
                <w:szCs w:val="24"/>
              </w:rPr>
            </w:pPr>
            <w:r>
              <w:rPr>
                <w:rFonts w:ascii="Arial Narrow"/>
                <w:b/>
                <w:spacing w:val="-1"/>
                <w:sz w:val="24"/>
              </w:rPr>
              <w:t>4,285,571.14</w:t>
            </w:r>
            <w:r>
              <w:rPr>
                <w:rFonts w:ascii="Arial Narrow"/>
                <w:spacing w:val="-1"/>
                <w:sz w:val="24"/>
              </w:rPr>
            </w:r>
          </w:p>
        </w:tc>
      </w:tr>
    </w:tbl>
    <w:p>
      <w:pPr>
        <w:pStyle w:val="BodyText"/>
        <w:spacing w:line="312" w:lineRule="exact" w:before="110"/>
        <w:ind w:left="519" w:right="198" w:hanging="58"/>
        <w:jc w:val="left"/>
      </w:pPr>
      <w:r>
        <w:rPr/>
        <w:t>说明：保证借款为本公司之子公司日本超图株式会社借款，由东京中小企业经友会协同 组合提供担保。</w:t>
      </w:r>
    </w:p>
    <w:p>
      <w:pPr>
        <w:pStyle w:val="BodyText"/>
        <w:spacing w:line="240" w:lineRule="auto" w:before="185"/>
        <w:ind w:left="642" w:right="4177"/>
        <w:jc w:val="left"/>
      </w:pPr>
      <w:r>
        <w:rPr/>
        <w:t>②</w:t>
      </w:r>
      <w:r>
        <w:rPr>
          <w:spacing w:val="-1"/>
        </w:rPr>
        <w:t> </w:t>
      </w:r>
      <w:r>
        <w:rPr/>
        <w:t>金额前五名的一年内到期的长期借款</w:t>
      </w:r>
    </w:p>
    <w:p>
      <w:pPr>
        <w:spacing w:line="240" w:lineRule="auto" w:before="3"/>
        <w:rPr>
          <w:rFonts w:ascii="宋体" w:hAnsi="宋体" w:cs="宋体" w:eastAsia="宋体" w:hint="default"/>
          <w:sz w:val="19"/>
          <w:szCs w:val="19"/>
        </w:rPr>
      </w:pPr>
    </w:p>
    <w:tbl>
      <w:tblPr>
        <w:tblW w:w="0" w:type="auto"/>
        <w:jc w:val="left"/>
        <w:tblInd w:w="399" w:type="dxa"/>
        <w:tblLayout w:type="fixed"/>
        <w:tblCellMar>
          <w:top w:w="0" w:type="dxa"/>
          <w:left w:w="0" w:type="dxa"/>
          <w:bottom w:w="0" w:type="dxa"/>
          <w:right w:w="0" w:type="dxa"/>
        </w:tblCellMar>
        <w:tblLook w:val="01E0"/>
      </w:tblPr>
      <w:tblGrid>
        <w:gridCol w:w="1339"/>
        <w:gridCol w:w="976"/>
        <w:gridCol w:w="1078"/>
        <w:gridCol w:w="426"/>
        <w:gridCol w:w="720"/>
        <w:gridCol w:w="1149"/>
        <w:gridCol w:w="1265"/>
        <w:gridCol w:w="1121"/>
        <w:gridCol w:w="1222"/>
      </w:tblGrid>
      <w:tr>
        <w:trPr>
          <w:trHeight w:val="346" w:hRule="exact"/>
        </w:trPr>
        <w:tc>
          <w:tcPr>
            <w:tcW w:w="1339" w:type="dxa"/>
            <w:tcBorders>
              <w:top w:val="single" w:sz="8" w:space="0" w:color="000000"/>
              <w:left w:val="nil" w:sz="6" w:space="0" w:color="auto"/>
              <w:bottom w:val="nil" w:sz="6" w:space="0" w:color="auto"/>
              <w:right w:val="nil" w:sz="6" w:space="0" w:color="auto"/>
            </w:tcBorders>
          </w:tcPr>
          <w:p>
            <w:pPr/>
          </w:p>
        </w:tc>
        <w:tc>
          <w:tcPr>
            <w:tcW w:w="976" w:type="dxa"/>
            <w:vMerge w:val="restart"/>
            <w:tcBorders>
              <w:top w:val="single" w:sz="8" w:space="0" w:color="000000"/>
              <w:left w:val="nil" w:sz="6" w:space="0" w:color="auto"/>
              <w:right w:val="nil" w:sz="6" w:space="0" w:color="auto"/>
            </w:tcBorders>
          </w:tcPr>
          <w:p>
            <w:pPr>
              <w:pStyle w:val="TableParagraph"/>
              <w:spacing w:line="274" w:lineRule="exact" w:before="165"/>
              <w:ind w:left="232" w:right="0"/>
              <w:jc w:val="left"/>
              <w:rPr>
                <w:rFonts w:ascii="宋体" w:hAnsi="宋体" w:cs="宋体" w:eastAsia="宋体" w:hint="default"/>
                <w:sz w:val="21"/>
                <w:szCs w:val="21"/>
              </w:rPr>
            </w:pPr>
            <w:r>
              <w:rPr>
                <w:rFonts w:ascii="宋体" w:hAnsi="宋体" w:cs="宋体" w:eastAsia="宋体" w:hint="default"/>
                <w:b/>
                <w:bCs/>
                <w:sz w:val="21"/>
                <w:szCs w:val="21"/>
              </w:rPr>
              <w:t>借款起</w:t>
            </w:r>
            <w:r>
              <w:rPr>
                <w:rFonts w:ascii="宋体" w:hAnsi="宋体" w:cs="宋体" w:eastAsia="宋体" w:hint="default"/>
                <w:sz w:val="21"/>
                <w:szCs w:val="21"/>
              </w:rPr>
            </w:r>
          </w:p>
          <w:p>
            <w:pPr>
              <w:pStyle w:val="TableParagraph"/>
              <w:spacing w:line="274"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始日</w:t>
            </w:r>
            <w:r>
              <w:rPr>
                <w:rFonts w:ascii="宋体" w:hAnsi="宋体" w:cs="宋体" w:eastAsia="宋体" w:hint="default"/>
                <w:sz w:val="21"/>
                <w:szCs w:val="21"/>
              </w:rPr>
            </w:r>
          </w:p>
        </w:tc>
        <w:tc>
          <w:tcPr>
            <w:tcW w:w="1078" w:type="dxa"/>
            <w:vMerge w:val="restart"/>
            <w:tcBorders>
              <w:top w:val="single" w:sz="8" w:space="0" w:color="000000"/>
              <w:left w:val="nil" w:sz="6" w:space="0" w:color="auto"/>
              <w:right w:val="nil" w:sz="6" w:space="0" w:color="auto"/>
            </w:tcBorders>
          </w:tcPr>
          <w:p>
            <w:pPr>
              <w:pStyle w:val="TableParagraph"/>
              <w:spacing w:line="274" w:lineRule="exact" w:before="165"/>
              <w:ind w:right="104"/>
              <w:jc w:val="right"/>
              <w:rPr>
                <w:rFonts w:ascii="宋体" w:hAnsi="宋体" w:cs="宋体" w:eastAsia="宋体" w:hint="default"/>
                <w:sz w:val="21"/>
                <w:szCs w:val="21"/>
              </w:rPr>
            </w:pPr>
            <w:r>
              <w:rPr>
                <w:rFonts w:ascii="宋体" w:hAnsi="宋体" w:cs="宋体" w:eastAsia="宋体" w:hint="default"/>
                <w:b/>
                <w:bCs/>
                <w:sz w:val="21"/>
                <w:szCs w:val="21"/>
              </w:rPr>
              <w:t>借款终止</w:t>
            </w:r>
            <w:r>
              <w:rPr>
                <w:rFonts w:ascii="宋体" w:hAnsi="宋体" w:cs="宋体" w:eastAsia="宋体" w:hint="default"/>
                <w:sz w:val="21"/>
                <w:szCs w:val="21"/>
              </w:rPr>
            </w:r>
          </w:p>
          <w:p>
            <w:pPr>
              <w:pStyle w:val="TableParagraph"/>
              <w:spacing w:line="274" w:lineRule="exact"/>
              <w:ind w:right="107"/>
              <w:jc w:val="right"/>
              <w:rPr>
                <w:rFonts w:ascii="宋体" w:hAnsi="宋体" w:cs="宋体" w:eastAsia="宋体" w:hint="default"/>
                <w:sz w:val="21"/>
                <w:szCs w:val="21"/>
              </w:rPr>
            </w:pPr>
            <w:r>
              <w:rPr>
                <w:rFonts w:ascii="宋体" w:hAnsi="宋体" w:cs="宋体" w:eastAsia="宋体" w:hint="default"/>
                <w:b/>
                <w:bCs/>
                <w:w w:val="100"/>
                <w:sz w:val="21"/>
                <w:szCs w:val="21"/>
              </w:rPr>
              <w:t>日</w:t>
            </w:r>
            <w:r>
              <w:rPr>
                <w:rFonts w:ascii="宋体" w:hAnsi="宋体" w:cs="宋体" w:eastAsia="宋体" w:hint="default"/>
                <w:w w:val="100"/>
                <w:sz w:val="21"/>
                <w:szCs w:val="21"/>
              </w:rPr>
            </w:r>
          </w:p>
        </w:tc>
        <w:tc>
          <w:tcPr>
            <w:tcW w:w="426" w:type="dxa"/>
            <w:vMerge w:val="restart"/>
            <w:tcBorders>
              <w:top w:val="single" w:sz="8" w:space="0" w:color="000000"/>
              <w:left w:val="nil" w:sz="6" w:space="0" w:color="auto"/>
              <w:right w:val="nil" w:sz="6" w:space="0" w:color="auto"/>
            </w:tcBorders>
          </w:tcPr>
          <w:p>
            <w:pPr>
              <w:pStyle w:val="TableParagraph"/>
              <w:spacing w:line="240" w:lineRule="auto" w:before="165"/>
              <w:ind w:left="106" w:right="106"/>
              <w:jc w:val="left"/>
              <w:rPr>
                <w:rFonts w:ascii="宋体" w:hAnsi="宋体" w:cs="宋体" w:eastAsia="宋体" w:hint="default"/>
                <w:sz w:val="21"/>
                <w:szCs w:val="21"/>
              </w:rPr>
            </w:pPr>
            <w:r>
              <w:rPr>
                <w:rFonts w:ascii="宋体" w:hAnsi="宋体" w:cs="宋体" w:eastAsia="宋体" w:hint="default"/>
                <w:b/>
                <w:bCs/>
                <w:sz w:val="21"/>
                <w:szCs w:val="21"/>
              </w:rPr>
              <w:t>币</w:t>
            </w:r>
            <w:r>
              <w:rPr>
                <w:rFonts w:ascii="宋体" w:hAnsi="宋体" w:cs="宋体" w:eastAsia="宋体" w:hint="default"/>
                <w:b/>
                <w:bCs/>
                <w:w w:val="100"/>
                <w:sz w:val="21"/>
                <w:szCs w:val="21"/>
              </w:rPr>
              <w:t> </w:t>
            </w:r>
            <w:r>
              <w:rPr>
                <w:rFonts w:ascii="宋体" w:hAnsi="宋体" w:cs="宋体" w:eastAsia="宋体" w:hint="default"/>
                <w:b/>
                <w:bCs/>
                <w:sz w:val="21"/>
                <w:szCs w:val="21"/>
              </w:rPr>
              <w:t>种</w:t>
            </w:r>
            <w:r>
              <w:rPr>
                <w:rFonts w:ascii="宋体" w:hAnsi="宋体" w:cs="宋体" w:eastAsia="宋体" w:hint="default"/>
                <w:sz w:val="21"/>
                <w:szCs w:val="21"/>
              </w:rPr>
            </w:r>
          </w:p>
        </w:tc>
        <w:tc>
          <w:tcPr>
            <w:tcW w:w="720" w:type="dxa"/>
            <w:vMerge w:val="restart"/>
            <w:tcBorders>
              <w:top w:val="single" w:sz="8" w:space="0" w:color="000000"/>
              <w:left w:val="nil" w:sz="6" w:space="0" w:color="auto"/>
              <w:right w:val="nil" w:sz="6" w:space="0" w:color="auto"/>
            </w:tcBorders>
          </w:tcPr>
          <w:p>
            <w:pPr>
              <w:pStyle w:val="TableParagraph"/>
              <w:spacing w:line="240" w:lineRule="auto" w:before="165"/>
              <w:ind w:left="175" w:right="175" w:firstLine="153"/>
              <w:jc w:val="left"/>
              <w:rPr>
                <w:rFonts w:ascii="Arial Narrow" w:hAnsi="Arial Narrow" w:cs="Arial Narrow" w:eastAsia="Arial Narrow" w:hint="default"/>
                <w:sz w:val="21"/>
                <w:szCs w:val="21"/>
              </w:rPr>
            </w:pPr>
            <w:r>
              <w:rPr>
                <w:rFonts w:ascii="宋体" w:hAnsi="宋体" w:cs="宋体" w:eastAsia="宋体" w:hint="default"/>
                <w:b/>
                <w:bCs/>
                <w:sz w:val="21"/>
                <w:szCs w:val="21"/>
              </w:rPr>
              <w:t>利</w:t>
            </w:r>
            <w:r>
              <w:rPr>
                <w:rFonts w:ascii="宋体" w:hAnsi="宋体" w:cs="宋体" w:eastAsia="宋体" w:hint="default"/>
                <w:b/>
                <w:bCs/>
                <w:w w:val="100"/>
                <w:sz w:val="21"/>
                <w:szCs w:val="21"/>
              </w:rPr>
              <w:t> </w:t>
            </w:r>
            <w:r>
              <w:rPr>
                <w:rFonts w:ascii="宋体" w:hAnsi="宋体" w:cs="宋体" w:eastAsia="宋体" w:hint="default"/>
                <w:b/>
                <w:bCs/>
                <w:sz w:val="21"/>
                <w:szCs w:val="21"/>
              </w:rPr>
              <w:t>率</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149" w:type="dxa"/>
            <w:tcBorders>
              <w:top w:val="single" w:sz="8" w:space="0" w:color="000000"/>
              <w:left w:val="nil" w:sz="6" w:space="0" w:color="auto"/>
              <w:bottom w:val="nil" w:sz="6" w:space="0" w:color="auto"/>
              <w:right w:val="nil" w:sz="6" w:space="0" w:color="auto"/>
            </w:tcBorders>
          </w:tcPr>
          <w:p>
            <w:pPr/>
          </w:p>
        </w:tc>
        <w:tc>
          <w:tcPr>
            <w:tcW w:w="1265"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right="149"/>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121" w:type="dxa"/>
            <w:tcBorders>
              <w:top w:val="single" w:sz="8" w:space="0" w:color="000000"/>
              <w:left w:val="nil" w:sz="6" w:space="0" w:color="auto"/>
              <w:bottom w:val="nil" w:sz="6" w:space="0" w:color="auto"/>
              <w:right w:val="nil" w:sz="6" w:space="0" w:color="auto"/>
            </w:tcBorders>
          </w:tcPr>
          <w:p>
            <w:pPr/>
          </w:p>
        </w:tc>
        <w:tc>
          <w:tcPr>
            <w:tcW w:w="1222" w:type="dxa"/>
            <w:tcBorders>
              <w:top w:val="single" w:sz="8" w:space="0" w:color="000000"/>
              <w:left w:val="nil" w:sz="6" w:space="0" w:color="auto"/>
              <w:bottom w:val="nil" w:sz="6" w:space="0" w:color="auto"/>
              <w:right w:val="nil" w:sz="6" w:space="0" w:color="auto"/>
            </w:tcBorders>
          </w:tcPr>
          <w:p>
            <w:pPr>
              <w:pStyle w:val="TableParagraph"/>
              <w:spacing w:line="240" w:lineRule="auto" w:before="31"/>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612" w:hRule="exact"/>
        </w:trPr>
        <w:tc>
          <w:tcPr>
            <w:tcW w:w="1339" w:type="dxa"/>
            <w:tcBorders>
              <w:top w:val="nil" w:sz="6" w:space="0" w:color="auto"/>
              <w:left w:val="nil" w:sz="6" w:space="0" w:color="auto"/>
              <w:bottom w:val="single" w:sz="4" w:space="0" w:color="000000"/>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贷款单位</w:t>
            </w:r>
            <w:r>
              <w:rPr>
                <w:rFonts w:ascii="宋体" w:hAnsi="宋体" w:cs="宋体" w:eastAsia="宋体" w:hint="default"/>
                <w:sz w:val="21"/>
                <w:szCs w:val="21"/>
              </w:rPr>
            </w:r>
          </w:p>
        </w:tc>
        <w:tc>
          <w:tcPr>
            <w:tcW w:w="976" w:type="dxa"/>
            <w:vMerge/>
            <w:tcBorders>
              <w:left w:val="nil" w:sz="6" w:space="0" w:color="auto"/>
              <w:bottom w:val="single" w:sz="4" w:space="0" w:color="000000"/>
              <w:right w:val="nil" w:sz="6" w:space="0" w:color="auto"/>
            </w:tcBorders>
          </w:tcPr>
          <w:p>
            <w:pPr/>
          </w:p>
        </w:tc>
        <w:tc>
          <w:tcPr>
            <w:tcW w:w="1078" w:type="dxa"/>
            <w:vMerge/>
            <w:tcBorders>
              <w:left w:val="nil" w:sz="6" w:space="0" w:color="auto"/>
              <w:bottom w:val="single" w:sz="4" w:space="0" w:color="000000"/>
              <w:right w:val="nil" w:sz="6" w:space="0" w:color="auto"/>
            </w:tcBorders>
          </w:tcPr>
          <w:p>
            <w:pPr/>
          </w:p>
        </w:tc>
        <w:tc>
          <w:tcPr>
            <w:tcW w:w="426" w:type="dxa"/>
            <w:vMerge/>
            <w:tcBorders>
              <w:left w:val="nil" w:sz="6" w:space="0" w:color="auto"/>
              <w:bottom w:val="single" w:sz="4" w:space="0" w:color="000000"/>
              <w:right w:val="nil" w:sz="6" w:space="0" w:color="auto"/>
            </w:tcBorders>
          </w:tcPr>
          <w:p>
            <w:pPr/>
          </w:p>
        </w:tc>
        <w:tc>
          <w:tcPr>
            <w:tcW w:w="720" w:type="dxa"/>
            <w:vMerge/>
            <w:tcBorders>
              <w:left w:val="nil" w:sz="6" w:space="0" w:color="auto"/>
              <w:bottom w:val="single" w:sz="4" w:space="0" w:color="000000"/>
              <w:right w:val="nil" w:sz="6" w:space="0" w:color="auto"/>
            </w:tcBorders>
          </w:tcPr>
          <w:p>
            <w:pPr/>
          </w:p>
        </w:tc>
        <w:tc>
          <w:tcPr>
            <w:tcW w:w="114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616" w:right="108"/>
              <w:jc w:val="left"/>
              <w:rPr>
                <w:rFonts w:ascii="宋体" w:hAnsi="宋体" w:cs="宋体" w:eastAsia="宋体" w:hint="default"/>
                <w:sz w:val="21"/>
                <w:szCs w:val="21"/>
              </w:rPr>
            </w:pPr>
            <w:r>
              <w:rPr>
                <w:rFonts w:ascii="宋体" w:hAnsi="宋体" w:cs="宋体" w:eastAsia="宋体" w:hint="default"/>
                <w:b/>
                <w:bCs/>
                <w:sz w:val="21"/>
                <w:szCs w:val="21"/>
              </w:rPr>
              <w:t>外币</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691" w:right="149"/>
              <w:jc w:val="left"/>
              <w:rPr>
                <w:rFonts w:ascii="宋体" w:hAnsi="宋体" w:cs="宋体" w:eastAsia="宋体" w:hint="default"/>
                <w:sz w:val="21"/>
                <w:szCs w:val="21"/>
              </w:rPr>
            </w:pPr>
            <w:r>
              <w:rPr>
                <w:rFonts w:ascii="宋体" w:hAnsi="宋体" w:cs="宋体" w:eastAsia="宋体" w:hint="default"/>
                <w:b/>
                <w:bCs/>
                <w:sz w:val="21"/>
                <w:szCs w:val="21"/>
              </w:rPr>
              <w:t>本币</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590" w:right="107"/>
              <w:jc w:val="left"/>
              <w:rPr>
                <w:rFonts w:ascii="宋体" w:hAnsi="宋体" w:cs="宋体" w:eastAsia="宋体" w:hint="default"/>
                <w:sz w:val="21"/>
                <w:szCs w:val="21"/>
              </w:rPr>
            </w:pPr>
            <w:r>
              <w:rPr>
                <w:rFonts w:ascii="宋体" w:hAnsi="宋体" w:cs="宋体" w:eastAsia="宋体" w:hint="default"/>
                <w:b/>
                <w:bCs/>
                <w:sz w:val="21"/>
                <w:szCs w:val="21"/>
              </w:rPr>
              <w:t>外币</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691" w:right="106"/>
              <w:jc w:val="left"/>
              <w:rPr>
                <w:rFonts w:ascii="宋体" w:hAnsi="宋体" w:cs="宋体" w:eastAsia="宋体" w:hint="default"/>
                <w:sz w:val="21"/>
                <w:szCs w:val="21"/>
              </w:rPr>
            </w:pPr>
            <w:r>
              <w:rPr>
                <w:rFonts w:ascii="宋体" w:hAnsi="宋体" w:cs="宋体" w:eastAsia="宋体" w:hint="default"/>
                <w:b/>
                <w:bCs/>
                <w:sz w:val="21"/>
                <w:szCs w:val="21"/>
              </w:rPr>
              <w:t>本币</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549" w:hRule="exact"/>
        </w:trPr>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新银行东京</w:t>
            </w:r>
          </w:p>
        </w:tc>
        <w:tc>
          <w:tcPr>
            <w:tcW w:w="976"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2"/>
                <w:sz w:val="21"/>
              </w:rPr>
              <w:t>2011.6.30</w:t>
            </w: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5"/>
              <w:jc w:val="right"/>
              <w:rPr>
                <w:rFonts w:ascii="Arial Narrow" w:hAnsi="Arial Narrow" w:cs="Arial Narrow" w:eastAsia="Arial Narrow" w:hint="default"/>
                <w:sz w:val="21"/>
                <w:szCs w:val="21"/>
              </w:rPr>
            </w:pPr>
            <w:r>
              <w:rPr>
                <w:rFonts w:ascii="Arial Narrow"/>
                <w:spacing w:val="-1"/>
                <w:sz w:val="21"/>
              </w:rPr>
              <w:t>2012.12.31</w:t>
            </w:r>
            <w:r>
              <w:rPr>
                <w:rFonts w:ascii="Arial Narrow"/>
                <w:sz w:val="21"/>
              </w:rPr>
            </w:r>
          </w:p>
        </w:tc>
        <w:tc>
          <w:tcPr>
            <w:tcW w:w="426" w:type="dxa"/>
            <w:tcBorders>
              <w:top w:val="single" w:sz="4" w:space="0" w:color="000000"/>
              <w:left w:val="nil" w:sz="6" w:space="0" w:color="auto"/>
              <w:bottom w:val="nil" w:sz="6" w:space="0" w:color="auto"/>
              <w:right w:val="nil" w:sz="6" w:space="0" w:color="auto"/>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720"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78"/>
              <w:jc w:val="right"/>
              <w:rPr>
                <w:rFonts w:ascii="Arial Narrow" w:hAnsi="Arial Narrow" w:cs="Arial Narrow" w:eastAsia="Arial Narrow" w:hint="default"/>
                <w:sz w:val="21"/>
                <w:szCs w:val="21"/>
              </w:rPr>
            </w:pPr>
            <w:r>
              <w:rPr>
                <w:rFonts w:ascii="Arial Narrow"/>
                <w:spacing w:val="-1"/>
                <w:sz w:val="21"/>
              </w:rPr>
              <w:t>3.70</w:t>
            </w:r>
            <w:r>
              <w:rPr>
                <w:rFonts w:ascii="Arial Narrow"/>
                <w:sz w:val="21"/>
              </w:rPr>
            </w:r>
          </w:p>
        </w:tc>
        <w:tc>
          <w:tcPr>
            <w:tcW w:w="1149"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9,996,000</w:t>
            </w:r>
            <w:r>
              <w:rPr>
                <w:rFonts w:ascii="Arial Narrow"/>
                <w:sz w:val="21"/>
              </w:rPr>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47"/>
              <w:jc w:val="right"/>
              <w:rPr>
                <w:rFonts w:ascii="Arial Narrow" w:hAnsi="Arial Narrow" w:cs="Arial Narrow" w:eastAsia="Arial Narrow" w:hint="default"/>
                <w:sz w:val="21"/>
                <w:szCs w:val="21"/>
              </w:rPr>
            </w:pPr>
            <w:r>
              <w:rPr>
                <w:rFonts w:ascii="Arial Narrow"/>
                <w:spacing w:val="-1"/>
                <w:sz w:val="21"/>
              </w:rPr>
              <w:t>810,675.60</w:t>
            </w:r>
            <w:r>
              <w:rPr>
                <w:rFonts w:ascii="Arial Narrow"/>
                <w:sz w:val="21"/>
              </w:rPr>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5,000,000</w:t>
            </w:r>
            <w:r>
              <w:rPr>
                <w:rFonts w:ascii="Arial Narrow"/>
                <w:sz w:val="21"/>
              </w:rPr>
            </w:r>
          </w:p>
        </w:tc>
        <w:tc>
          <w:tcPr>
            <w:tcW w:w="1222"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1"/>
                <w:sz w:val="21"/>
              </w:rPr>
              <w:t>406,500.00</w:t>
            </w:r>
            <w:r>
              <w:rPr>
                <w:rFonts w:ascii="Arial Narrow"/>
                <w:sz w:val="21"/>
              </w:rPr>
            </w:r>
          </w:p>
        </w:tc>
      </w:tr>
      <w:tr>
        <w:trPr>
          <w:trHeight w:val="545"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宋体" w:hAnsi="宋体" w:cs="宋体" w:eastAsia="宋体" w:hint="default"/>
                <w:sz w:val="21"/>
                <w:szCs w:val="21"/>
              </w:rPr>
            </w:pPr>
            <w:r>
              <w:rPr>
                <w:rFonts w:ascii="宋体" w:hAnsi="宋体" w:cs="宋体" w:eastAsia="宋体" w:hint="default"/>
                <w:sz w:val="21"/>
                <w:szCs w:val="21"/>
              </w:rPr>
              <w:t>瑞穂银行</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2"/>
                <w:sz w:val="21"/>
              </w:rPr>
              <w:t>2011.3.31</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5"/>
              <w:jc w:val="right"/>
              <w:rPr>
                <w:rFonts w:ascii="Arial Narrow" w:hAnsi="Arial Narrow" w:cs="Arial Narrow" w:eastAsia="Arial Narrow" w:hint="default"/>
                <w:sz w:val="21"/>
                <w:szCs w:val="21"/>
              </w:rPr>
            </w:pPr>
            <w:r>
              <w:rPr>
                <w:rFonts w:ascii="Arial Narrow"/>
                <w:spacing w:val="-1"/>
                <w:sz w:val="21"/>
              </w:rPr>
              <w:t>2012.12.31</w:t>
            </w:r>
            <w:r>
              <w:rPr>
                <w:rFonts w:ascii="Arial Narrow"/>
                <w:sz w:val="21"/>
              </w:rPr>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8"/>
              <w:jc w:val="right"/>
              <w:rPr>
                <w:rFonts w:ascii="Arial Narrow" w:hAnsi="Arial Narrow" w:cs="Arial Narrow" w:eastAsia="Arial Narrow" w:hint="default"/>
                <w:sz w:val="21"/>
                <w:szCs w:val="21"/>
              </w:rPr>
            </w:pPr>
            <w:r>
              <w:rPr>
                <w:rFonts w:ascii="Arial Narrow"/>
                <w:spacing w:val="-1"/>
                <w:sz w:val="21"/>
              </w:rPr>
              <w:t>1.975</w:t>
            </w:r>
            <w:r>
              <w:rPr>
                <w:rFonts w:ascii="Arial Narrow"/>
                <w:sz w:val="21"/>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5,604,000</w:t>
            </w:r>
            <w:r>
              <w:rPr>
                <w:rFonts w:ascii="Arial Narrow"/>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7"/>
              <w:jc w:val="right"/>
              <w:rPr>
                <w:rFonts w:ascii="Arial Narrow" w:hAnsi="Arial Narrow" w:cs="Arial Narrow" w:eastAsia="Arial Narrow" w:hint="default"/>
                <w:sz w:val="21"/>
                <w:szCs w:val="21"/>
              </w:rPr>
            </w:pPr>
            <w:r>
              <w:rPr>
                <w:rFonts w:ascii="Arial Narrow"/>
                <w:spacing w:val="-1"/>
                <w:sz w:val="21"/>
              </w:rPr>
              <w:t>454,484.40</w:t>
            </w:r>
            <w:r>
              <w:rPr>
                <w:rFonts w:ascii="Arial Narrow"/>
                <w:sz w:val="21"/>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4,203,000</w:t>
            </w:r>
            <w:r>
              <w:rPr>
                <w:rFonts w:ascii="Arial Narrow"/>
                <w:sz w:val="21"/>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1"/>
                <w:sz w:val="21"/>
              </w:rPr>
              <w:t>341,703.90</w:t>
            </w:r>
            <w:r>
              <w:rPr>
                <w:rFonts w:ascii="Arial Narrow"/>
                <w:sz w:val="21"/>
              </w:rPr>
            </w:r>
          </w:p>
        </w:tc>
      </w:tr>
      <w:tr>
        <w:trPr>
          <w:trHeight w:val="545"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2" w:right="0"/>
              <w:jc w:val="left"/>
              <w:rPr>
                <w:rFonts w:ascii="宋体" w:hAnsi="宋体" w:cs="宋体" w:eastAsia="宋体" w:hint="default"/>
                <w:sz w:val="21"/>
                <w:szCs w:val="21"/>
              </w:rPr>
            </w:pPr>
            <w:r>
              <w:rPr>
                <w:rFonts w:ascii="宋体" w:hAnsi="宋体" w:cs="宋体" w:eastAsia="宋体" w:hint="default"/>
                <w:sz w:val="21"/>
                <w:szCs w:val="21"/>
              </w:rPr>
              <w:t>新银行东京</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2"/>
                <w:sz w:val="21"/>
              </w:rPr>
              <w:t>2011.6.30</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5"/>
              <w:jc w:val="right"/>
              <w:rPr>
                <w:rFonts w:ascii="Arial Narrow" w:hAnsi="Arial Narrow" w:cs="Arial Narrow" w:eastAsia="Arial Narrow" w:hint="default"/>
                <w:sz w:val="21"/>
                <w:szCs w:val="21"/>
              </w:rPr>
            </w:pPr>
            <w:r>
              <w:rPr>
                <w:rFonts w:ascii="Arial Narrow"/>
                <w:spacing w:val="-1"/>
                <w:sz w:val="21"/>
              </w:rPr>
              <w:t>2012.5.31</w:t>
            </w:r>
            <w:r>
              <w:rPr>
                <w:rFonts w:ascii="Arial Narrow"/>
                <w:sz w:val="21"/>
              </w:rPr>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8"/>
              <w:jc w:val="right"/>
              <w:rPr>
                <w:rFonts w:ascii="Arial Narrow" w:hAnsi="Arial Narrow" w:cs="Arial Narrow" w:eastAsia="Arial Narrow" w:hint="default"/>
                <w:sz w:val="21"/>
                <w:szCs w:val="21"/>
              </w:rPr>
            </w:pPr>
            <w:r>
              <w:rPr>
                <w:rFonts w:ascii="Arial Narrow"/>
                <w:spacing w:val="-1"/>
                <w:sz w:val="21"/>
              </w:rPr>
              <w:t>3.70</w:t>
            </w:r>
            <w:r>
              <w:rPr>
                <w:rFonts w:ascii="Arial Narrow"/>
                <w:sz w:val="21"/>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5,006,000</w:t>
            </w:r>
            <w:r>
              <w:rPr>
                <w:rFonts w:ascii="Arial Narrow"/>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7"/>
              <w:jc w:val="right"/>
              <w:rPr>
                <w:rFonts w:ascii="Arial Narrow" w:hAnsi="Arial Narrow" w:cs="Arial Narrow" w:eastAsia="Arial Narrow" w:hint="default"/>
                <w:sz w:val="21"/>
                <w:szCs w:val="21"/>
              </w:rPr>
            </w:pPr>
            <w:r>
              <w:rPr>
                <w:rFonts w:ascii="Arial Narrow"/>
                <w:spacing w:val="-1"/>
                <w:sz w:val="21"/>
              </w:rPr>
              <w:t>405,986.60</w:t>
            </w:r>
            <w:r>
              <w:rPr>
                <w:rFonts w:ascii="Arial Narrow"/>
                <w:sz w:val="21"/>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9,996,000</w:t>
            </w:r>
            <w:r>
              <w:rPr>
                <w:rFonts w:ascii="Arial Narrow"/>
                <w:sz w:val="21"/>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1"/>
                <w:sz w:val="21"/>
              </w:rPr>
              <w:t>812,674.80</w:t>
            </w:r>
            <w:r>
              <w:rPr>
                <w:rFonts w:ascii="Arial Narrow"/>
                <w:sz w:val="21"/>
              </w:rPr>
            </w:r>
          </w:p>
        </w:tc>
      </w:tr>
      <w:tr>
        <w:trPr>
          <w:trHeight w:val="545"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日本政策金</w:t>
            </w:r>
            <w:r>
              <w:rPr>
                <w:rFonts w:ascii="宋体" w:hAnsi="宋体" w:cs="宋体" w:eastAsia="宋体" w:hint="default"/>
                <w:sz w:val="21"/>
                <w:szCs w:val="21"/>
              </w:rPr>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融公库</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2"/>
                <w:sz w:val="21"/>
              </w:rPr>
              <w:t>2011.7.19</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5"/>
              <w:jc w:val="right"/>
              <w:rPr>
                <w:rFonts w:ascii="Arial Narrow" w:hAnsi="Arial Narrow" w:cs="Arial Narrow" w:eastAsia="Arial Narrow" w:hint="default"/>
                <w:sz w:val="21"/>
                <w:szCs w:val="21"/>
              </w:rPr>
            </w:pPr>
            <w:r>
              <w:rPr>
                <w:rFonts w:ascii="Arial Narrow"/>
                <w:spacing w:val="-1"/>
                <w:sz w:val="21"/>
              </w:rPr>
              <w:t>2012.12.31</w:t>
            </w:r>
            <w:r>
              <w:rPr>
                <w:rFonts w:ascii="Arial Narrow"/>
                <w:sz w:val="21"/>
              </w:rPr>
            </w:r>
          </w:p>
        </w:tc>
        <w:tc>
          <w:tcPr>
            <w:tcW w:w="426" w:type="dxa"/>
            <w:tcBorders>
              <w:top w:val="nil" w:sz="6" w:space="0" w:color="auto"/>
              <w:left w:val="nil" w:sz="6" w:space="0" w:color="auto"/>
              <w:bottom w:val="nil" w:sz="6" w:space="0" w:color="auto"/>
              <w:right w:val="nil" w:sz="6" w:space="0" w:color="auto"/>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74"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8"/>
              <w:jc w:val="right"/>
              <w:rPr>
                <w:rFonts w:ascii="Arial Narrow" w:hAnsi="Arial Narrow" w:cs="Arial Narrow" w:eastAsia="Arial Narrow" w:hint="default"/>
                <w:sz w:val="21"/>
                <w:szCs w:val="21"/>
              </w:rPr>
            </w:pPr>
            <w:r>
              <w:rPr>
                <w:rFonts w:ascii="Arial Narrow"/>
                <w:spacing w:val="-1"/>
                <w:sz w:val="21"/>
              </w:rPr>
              <w:t>2.40</w:t>
            </w:r>
            <w:r>
              <w:rPr>
                <w:rFonts w:ascii="Arial Narrow"/>
                <w:sz w:val="21"/>
              </w:rPr>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4,140,000</w:t>
            </w:r>
            <w:r>
              <w:rPr>
                <w:rFonts w:ascii="Arial Narrow"/>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7"/>
              <w:jc w:val="right"/>
              <w:rPr>
                <w:rFonts w:ascii="Arial Narrow" w:hAnsi="Arial Narrow" w:cs="Arial Narrow" w:eastAsia="Arial Narrow" w:hint="default"/>
                <w:sz w:val="21"/>
                <w:szCs w:val="21"/>
              </w:rPr>
            </w:pPr>
            <w:r>
              <w:rPr>
                <w:rFonts w:ascii="Arial Narrow"/>
                <w:spacing w:val="-1"/>
                <w:sz w:val="21"/>
              </w:rPr>
              <w:t>335,754.00</w:t>
            </w:r>
            <w:r>
              <w:rPr>
                <w:rFonts w:ascii="Arial Narrow"/>
                <w:sz w:val="21"/>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1,715,000</w:t>
            </w:r>
            <w:r>
              <w:rPr>
                <w:rFonts w:ascii="Arial Narrow"/>
                <w:sz w:val="21"/>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1"/>
                <w:sz w:val="21"/>
              </w:rPr>
              <w:t>139,429.50</w:t>
            </w:r>
            <w:r>
              <w:rPr>
                <w:rFonts w:ascii="Arial Narrow"/>
                <w:sz w:val="21"/>
              </w:rPr>
            </w:r>
          </w:p>
        </w:tc>
      </w:tr>
      <w:tr>
        <w:trPr>
          <w:trHeight w:val="550" w:hRule="exact"/>
        </w:trPr>
        <w:tc>
          <w:tcPr>
            <w:tcW w:w="1339" w:type="dxa"/>
            <w:tcBorders>
              <w:top w:val="nil" w:sz="6" w:space="0" w:color="auto"/>
              <w:left w:val="nil" w:sz="6" w:space="0" w:color="auto"/>
              <w:bottom w:val="single" w:sz="4" w:space="0" w:color="000000"/>
              <w:right w:val="nil" w:sz="6" w:space="0" w:color="auto"/>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11"/>
                <w:sz w:val="21"/>
                <w:szCs w:val="21"/>
              </w:rPr>
              <w:t>三井住友银</w:t>
            </w:r>
            <w:r>
              <w:rPr>
                <w:rFonts w:ascii="宋体" w:hAnsi="宋体" w:cs="宋体" w:eastAsia="宋体" w:hint="default"/>
                <w:sz w:val="21"/>
                <w:szCs w:val="21"/>
              </w:rPr>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976"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05"/>
              <w:jc w:val="right"/>
              <w:rPr>
                <w:rFonts w:ascii="Arial Narrow" w:hAnsi="Arial Narrow" w:cs="Arial Narrow" w:eastAsia="Arial Narrow" w:hint="default"/>
                <w:sz w:val="21"/>
                <w:szCs w:val="21"/>
              </w:rPr>
            </w:pPr>
            <w:r>
              <w:rPr>
                <w:rFonts w:ascii="Arial Narrow"/>
                <w:spacing w:val="-1"/>
                <w:sz w:val="21"/>
              </w:rPr>
              <w:t>2008.3.31</w:t>
            </w:r>
            <w:r>
              <w:rPr>
                <w:rFonts w:ascii="Arial Narrow"/>
                <w:sz w:val="21"/>
              </w:rPr>
            </w:r>
          </w:p>
        </w:tc>
        <w:tc>
          <w:tcPr>
            <w:tcW w:w="1078"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05"/>
              <w:jc w:val="right"/>
              <w:rPr>
                <w:rFonts w:ascii="Arial Narrow" w:hAnsi="Arial Narrow" w:cs="Arial Narrow" w:eastAsia="Arial Narrow" w:hint="default"/>
                <w:sz w:val="21"/>
                <w:szCs w:val="21"/>
              </w:rPr>
            </w:pPr>
            <w:r>
              <w:rPr>
                <w:rFonts w:ascii="Arial Narrow"/>
                <w:spacing w:val="-1"/>
                <w:sz w:val="21"/>
              </w:rPr>
              <w:t>2012.12.31</w:t>
            </w:r>
            <w:r>
              <w:rPr>
                <w:rFonts w:ascii="Arial Narrow"/>
                <w:sz w:val="21"/>
              </w:rPr>
            </w:r>
          </w:p>
        </w:tc>
        <w:tc>
          <w:tcPr>
            <w:tcW w:w="426" w:type="dxa"/>
            <w:tcBorders>
              <w:top w:val="nil" w:sz="6" w:space="0" w:color="auto"/>
              <w:left w:val="nil" w:sz="6" w:space="0" w:color="auto"/>
              <w:bottom w:val="single" w:sz="4" w:space="0" w:color="000000"/>
              <w:right w:val="nil" w:sz="6" w:space="0" w:color="auto"/>
            </w:tcBorders>
          </w:tcPr>
          <w:p>
            <w:pPr>
              <w:pStyle w:val="TableParagraph"/>
              <w:spacing w:line="239"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73" w:lineRule="exact"/>
              <w:ind w:left="10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720"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78"/>
              <w:jc w:val="right"/>
              <w:rPr>
                <w:rFonts w:ascii="Arial Narrow" w:hAnsi="Arial Narrow" w:cs="Arial Narrow" w:eastAsia="Arial Narrow" w:hint="default"/>
                <w:sz w:val="21"/>
                <w:szCs w:val="21"/>
              </w:rPr>
            </w:pPr>
            <w:r>
              <w:rPr>
                <w:rFonts w:ascii="Arial Narrow"/>
                <w:spacing w:val="-1"/>
                <w:sz w:val="21"/>
              </w:rPr>
              <w:t>2.65</w:t>
            </w:r>
            <w:r>
              <w:rPr>
                <w:rFonts w:ascii="Arial Narrow"/>
                <w:sz w:val="21"/>
              </w:rPr>
            </w:r>
          </w:p>
        </w:tc>
        <w:tc>
          <w:tcPr>
            <w:tcW w:w="1149"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06"/>
              <w:jc w:val="right"/>
              <w:rPr>
                <w:rFonts w:ascii="Arial Narrow" w:hAnsi="Arial Narrow" w:cs="Arial Narrow" w:eastAsia="Arial Narrow" w:hint="default"/>
                <w:sz w:val="21"/>
                <w:szCs w:val="21"/>
              </w:rPr>
            </w:pPr>
            <w:r>
              <w:rPr>
                <w:rFonts w:ascii="Arial Narrow"/>
                <w:spacing w:val="-1"/>
                <w:sz w:val="21"/>
              </w:rPr>
              <w:t>3,996,000</w:t>
            </w:r>
            <w:r>
              <w:rPr>
                <w:rFonts w:ascii="Arial Narrow"/>
                <w:sz w:val="21"/>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47"/>
              <w:jc w:val="right"/>
              <w:rPr>
                <w:rFonts w:ascii="Arial Narrow" w:hAnsi="Arial Narrow" w:cs="Arial Narrow" w:eastAsia="Arial Narrow" w:hint="default"/>
                <w:sz w:val="21"/>
                <w:szCs w:val="21"/>
              </w:rPr>
            </w:pPr>
            <w:r>
              <w:rPr>
                <w:rFonts w:ascii="Arial Narrow"/>
                <w:spacing w:val="-1"/>
                <w:sz w:val="21"/>
              </w:rPr>
              <w:t>324,075.60</w:t>
            </w:r>
            <w:r>
              <w:rPr>
                <w:rFonts w:ascii="Arial Narrow"/>
                <w:sz w:val="21"/>
              </w:rPr>
            </w:r>
          </w:p>
        </w:tc>
        <w:tc>
          <w:tcPr>
            <w:tcW w:w="1121"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06"/>
              <w:jc w:val="right"/>
              <w:rPr>
                <w:rFonts w:ascii="Arial Narrow" w:hAnsi="Arial Narrow" w:cs="Arial Narrow" w:eastAsia="Arial Narrow" w:hint="default"/>
                <w:sz w:val="21"/>
                <w:szCs w:val="21"/>
              </w:rPr>
            </w:pPr>
            <w:r>
              <w:rPr>
                <w:rFonts w:ascii="Arial Narrow"/>
                <w:spacing w:val="-1"/>
                <w:sz w:val="21"/>
              </w:rPr>
              <w:t>3,996,000</w:t>
            </w:r>
            <w:r>
              <w:rPr>
                <w:rFonts w:ascii="Arial Narrow"/>
                <w:sz w:val="21"/>
              </w:rPr>
            </w: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104"/>
              <w:jc w:val="right"/>
              <w:rPr>
                <w:rFonts w:ascii="Arial Narrow" w:hAnsi="Arial Narrow" w:cs="Arial Narrow" w:eastAsia="Arial Narrow" w:hint="default"/>
                <w:sz w:val="21"/>
                <w:szCs w:val="21"/>
              </w:rPr>
            </w:pPr>
            <w:r>
              <w:rPr>
                <w:rFonts w:ascii="Arial Narrow"/>
                <w:spacing w:val="-1"/>
                <w:sz w:val="21"/>
              </w:rPr>
              <w:t>324,874.80</w:t>
            </w:r>
            <w:r>
              <w:rPr>
                <w:rFonts w:ascii="Arial Narrow"/>
                <w:sz w:val="21"/>
              </w:rPr>
            </w:r>
          </w:p>
        </w:tc>
      </w:tr>
      <w:tr>
        <w:trPr>
          <w:trHeight w:val="413" w:hRule="exact"/>
        </w:trPr>
        <w:tc>
          <w:tcPr>
            <w:tcW w:w="1339" w:type="dxa"/>
            <w:tcBorders>
              <w:top w:val="single" w:sz="4" w:space="0" w:color="000000"/>
              <w:left w:val="nil" w:sz="6" w:space="0" w:color="auto"/>
              <w:bottom w:val="single" w:sz="8" w:space="0" w:color="000000"/>
              <w:right w:val="nil" w:sz="6" w:space="0" w:color="auto"/>
            </w:tcBorders>
          </w:tcPr>
          <w:p>
            <w:pPr>
              <w:pStyle w:val="TableParagraph"/>
              <w:tabs>
                <w:tab w:pos="1012" w:val="left" w:leader="none"/>
              </w:tabs>
              <w:spacing w:line="240" w:lineRule="auto" w:before="28"/>
              <w:ind w:left="590"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97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7"/>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078"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7"/>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42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260" w:right="0"/>
              <w:jc w:val="lef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720"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78"/>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14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b/>
                <w:spacing w:val="-1"/>
                <w:sz w:val="21"/>
              </w:rPr>
              <w:t>28,742,000</w:t>
            </w:r>
            <w:r>
              <w:rPr>
                <w:rFonts w:ascii="Arial Narrow"/>
                <w:sz w:val="21"/>
              </w:rPr>
            </w:r>
          </w:p>
        </w:tc>
        <w:tc>
          <w:tcPr>
            <w:tcW w:w="1265"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47"/>
              <w:jc w:val="right"/>
              <w:rPr>
                <w:rFonts w:ascii="Arial Narrow" w:hAnsi="Arial Narrow" w:cs="Arial Narrow" w:eastAsia="Arial Narrow" w:hint="default"/>
                <w:sz w:val="21"/>
                <w:szCs w:val="21"/>
              </w:rPr>
            </w:pPr>
            <w:r>
              <w:rPr>
                <w:rFonts w:ascii="Arial Narrow"/>
                <w:b/>
                <w:spacing w:val="-1"/>
                <w:sz w:val="21"/>
              </w:rPr>
              <w:t>2,330,976.20</w:t>
            </w:r>
            <w:r>
              <w:rPr>
                <w:rFonts w:ascii="Arial Narrow"/>
                <w:sz w:val="21"/>
              </w:rPr>
            </w:r>
          </w:p>
        </w:tc>
        <w:tc>
          <w:tcPr>
            <w:tcW w:w="1121"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b/>
                <w:spacing w:val="-1"/>
                <w:sz w:val="21"/>
              </w:rPr>
              <w:t>24,910,000</w:t>
            </w:r>
            <w:r>
              <w:rPr>
                <w:rFonts w:ascii="Arial Narrow"/>
                <w:sz w:val="21"/>
              </w:rPr>
            </w:r>
          </w:p>
        </w:tc>
        <w:tc>
          <w:tcPr>
            <w:tcW w:w="122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4"/>
              <w:jc w:val="right"/>
              <w:rPr>
                <w:rFonts w:ascii="Arial Narrow" w:hAnsi="Arial Narrow" w:cs="Arial Narrow" w:eastAsia="Arial Narrow" w:hint="default"/>
                <w:sz w:val="21"/>
                <w:szCs w:val="21"/>
              </w:rPr>
            </w:pPr>
            <w:r>
              <w:rPr>
                <w:rFonts w:ascii="Arial Narrow"/>
                <w:b/>
                <w:spacing w:val="-1"/>
                <w:sz w:val="21"/>
              </w:rPr>
              <w:t>2,025,183.00</w:t>
            </w:r>
            <w:r>
              <w:rPr>
                <w:rFonts w:ascii="Arial Narrow"/>
                <w:sz w:val="21"/>
              </w:rPr>
            </w:r>
          </w:p>
        </w:tc>
      </w:tr>
    </w:tbl>
    <w:p>
      <w:pPr>
        <w:pStyle w:val="BodyText"/>
        <w:spacing w:line="240" w:lineRule="auto" w:before="79"/>
        <w:ind w:left="102" w:right="4177"/>
        <w:jc w:val="left"/>
      </w:pPr>
      <w:r>
        <w:rPr/>
        <w:t>（</w:t>
      </w:r>
      <w:r>
        <w:rPr>
          <w:rFonts w:ascii="Arial Narrow" w:hAnsi="Arial Narrow" w:cs="Arial Narrow" w:eastAsia="Arial Narrow" w:hint="default"/>
        </w:rPr>
        <w:t>2</w:t>
      </w:r>
      <w:r>
        <w:rPr/>
        <w:t>）一年内到期的应付债券</w:t>
      </w:r>
    </w:p>
    <w:p>
      <w:pPr>
        <w:spacing w:line="240" w:lineRule="auto" w:before="2"/>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2467"/>
        <w:gridCol w:w="1637"/>
        <w:gridCol w:w="1869"/>
        <w:gridCol w:w="1774"/>
        <w:gridCol w:w="1536"/>
      </w:tblGrid>
      <w:tr>
        <w:trPr>
          <w:trHeight w:val="391" w:hRule="exact"/>
        </w:trPr>
        <w:tc>
          <w:tcPr>
            <w:tcW w:w="246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b/>
                <w:bCs/>
                <w:sz w:val="21"/>
                <w:szCs w:val="21"/>
              </w:rPr>
              <w:t>债券名称</w:t>
            </w:r>
            <w:r>
              <w:rPr>
                <w:rFonts w:ascii="宋体" w:hAnsi="宋体" w:cs="宋体" w:eastAsia="宋体" w:hint="default"/>
                <w:sz w:val="21"/>
                <w:szCs w:val="21"/>
              </w:rPr>
            </w:r>
          </w:p>
        </w:tc>
        <w:tc>
          <w:tcPr>
            <w:tcW w:w="163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496"/>
              <w:jc w:val="right"/>
              <w:rPr>
                <w:rFonts w:ascii="宋体" w:hAnsi="宋体" w:cs="宋体" w:eastAsia="宋体" w:hint="default"/>
                <w:sz w:val="21"/>
                <w:szCs w:val="21"/>
              </w:rPr>
            </w:pPr>
            <w:r>
              <w:rPr>
                <w:rFonts w:ascii="宋体" w:hAnsi="宋体" w:cs="宋体" w:eastAsia="宋体" w:hint="default"/>
                <w:b/>
                <w:bCs/>
                <w:sz w:val="21"/>
                <w:szCs w:val="21"/>
              </w:rPr>
              <w:t>面值</w:t>
            </w:r>
            <w:r>
              <w:rPr>
                <w:rFonts w:ascii="宋体" w:hAnsi="宋体" w:cs="宋体" w:eastAsia="宋体" w:hint="default"/>
                <w:sz w:val="21"/>
                <w:szCs w:val="21"/>
              </w:rPr>
            </w:r>
          </w:p>
        </w:tc>
        <w:tc>
          <w:tcPr>
            <w:tcW w:w="1869"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517" w:right="0"/>
              <w:jc w:val="left"/>
              <w:rPr>
                <w:rFonts w:ascii="宋体" w:hAnsi="宋体" w:cs="宋体" w:eastAsia="宋体" w:hint="default"/>
                <w:sz w:val="21"/>
                <w:szCs w:val="21"/>
              </w:rPr>
            </w:pPr>
            <w:r>
              <w:rPr>
                <w:rFonts w:ascii="宋体" w:hAnsi="宋体" w:cs="宋体" w:eastAsia="宋体" w:hint="default"/>
                <w:b/>
                <w:bCs/>
                <w:sz w:val="21"/>
                <w:szCs w:val="21"/>
              </w:rPr>
              <w:t>发行日期</w:t>
            </w:r>
            <w:r>
              <w:rPr>
                <w:rFonts w:ascii="宋体" w:hAnsi="宋体" w:cs="宋体" w:eastAsia="宋体" w:hint="default"/>
                <w:sz w:val="21"/>
                <w:szCs w:val="21"/>
              </w:rPr>
            </w:r>
          </w:p>
        </w:tc>
        <w:tc>
          <w:tcPr>
            <w:tcW w:w="1774"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83" w:right="0"/>
              <w:jc w:val="center"/>
              <w:rPr>
                <w:rFonts w:ascii="宋体" w:hAnsi="宋体" w:cs="宋体" w:eastAsia="宋体" w:hint="default"/>
                <w:sz w:val="21"/>
                <w:szCs w:val="21"/>
              </w:rPr>
            </w:pPr>
            <w:r>
              <w:rPr>
                <w:rFonts w:ascii="宋体" w:hAnsi="宋体" w:cs="宋体" w:eastAsia="宋体" w:hint="default"/>
                <w:b/>
                <w:bCs/>
                <w:sz w:val="21"/>
                <w:szCs w:val="21"/>
              </w:rPr>
              <w:t>债券期限</w:t>
            </w:r>
            <w:r>
              <w:rPr>
                <w:rFonts w:ascii="宋体" w:hAnsi="宋体" w:cs="宋体" w:eastAsia="宋体" w:hint="default"/>
                <w:sz w:val="21"/>
                <w:szCs w:val="21"/>
              </w:rPr>
            </w:r>
          </w:p>
        </w:tc>
        <w:tc>
          <w:tcPr>
            <w:tcW w:w="1536"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1"/>
                <w:szCs w:val="21"/>
              </w:rPr>
            </w:pPr>
            <w:r>
              <w:rPr>
                <w:rFonts w:ascii="宋体" w:hAnsi="宋体" w:cs="宋体" w:eastAsia="宋体" w:hint="default"/>
                <w:b/>
                <w:bCs/>
                <w:sz w:val="21"/>
                <w:szCs w:val="21"/>
              </w:rPr>
              <w:t>发行金额</w:t>
            </w:r>
            <w:r>
              <w:rPr>
                <w:rFonts w:ascii="宋体" w:hAnsi="宋体" w:cs="宋体" w:eastAsia="宋体" w:hint="default"/>
                <w:sz w:val="21"/>
                <w:szCs w:val="21"/>
              </w:rPr>
            </w:r>
          </w:p>
        </w:tc>
      </w:tr>
      <w:tr>
        <w:trPr>
          <w:trHeight w:val="576" w:hRule="exact"/>
        </w:trPr>
        <w:tc>
          <w:tcPr>
            <w:tcW w:w="2467" w:type="dxa"/>
            <w:tcBorders>
              <w:top w:val="single" w:sz="4" w:space="0" w:color="000000"/>
              <w:left w:val="nil" w:sz="6" w:space="0" w:color="auto"/>
              <w:bottom w:val="single" w:sz="8" w:space="0" w:color="000000"/>
              <w:right w:val="nil" w:sz="6" w:space="0" w:color="auto"/>
            </w:tcBorders>
          </w:tcPr>
          <w:p>
            <w:pPr>
              <w:pStyle w:val="TableParagraph"/>
              <w:spacing w:line="272" w:lineRule="exact" w:before="3"/>
              <w:ind w:left="88" w:right="714" w:firstLine="19"/>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超</w:t>
            </w:r>
            <w:r>
              <w:rPr>
                <w:rFonts w:ascii="宋体" w:hAnsi="宋体" w:cs="宋体" w:eastAsia="宋体" w:hint="default"/>
                <w:spacing w:val="-76"/>
                <w:sz w:val="21"/>
                <w:szCs w:val="21"/>
              </w:rPr>
              <w:t> </w:t>
            </w:r>
            <w:r>
              <w:rPr>
                <w:rFonts w:ascii="宋体" w:hAnsi="宋体" w:cs="宋体" w:eastAsia="宋体" w:hint="default"/>
                <w:sz w:val="21"/>
                <w:szCs w:val="21"/>
              </w:rPr>
              <w:t>图</w:t>
            </w:r>
            <w:r>
              <w:rPr>
                <w:rFonts w:ascii="宋体" w:hAnsi="宋体" w:cs="宋体" w:eastAsia="宋体" w:hint="default"/>
                <w:spacing w:val="-78"/>
                <w:sz w:val="21"/>
                <w:szCs w:val="21"/>
              </w:rPr>
              <w:t> </w:t>
            </w:r>
            <w:r>
              <w:rPr>
                <w:rFonts w:ascii="宋体" w:hAnsi="宋体" w:cs="宋体" w:eastAsia="宋体" w:hint="default"/>
                <w:sz w:val="21"/>
                <w:szCs w:val="21"/>
              </w:rPr>
              <w:t>株</w:t>
            </w:r>
            <w:r>
              <w:rPr>
                <w:rFonts w:ascii="宋体" w:hAnsi="宋体" w:cs="宋体" w:eastAsia="宋体" w:hint="default"/>
                <w:spacing w:val="-78"/>
                <w:sz w:val="21"/>
                <w:szCs w:val="21"/>
              </w:rPr>
              <w:t> </w:t>
            </w:r>
            <w:r>
              <w:rPr>
                <w:rFonts w:ascii="宋体" w:hAnsi="宋体" w:cs="宋体" w:eastAsia="宋体" w:hint="default"/>
                <w:sz w:val="21"/>
                <w:szCs w:val="21"/>
              </w:rPr>
              <w:t>式</w:t>
            </w:r>
            <w:r>
              <w:rPr>
                <w:rFonts w:ascii="宋体" w:hAnsi="宋体" w:cs="宋体" w:eastAsia="宋体" w:hint="default"/>
                <w:spacing w:val="-76"/>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社无担保债券</w:t>
            </w:r>
          </w:p>
        </w:tc>
        <w:tc>
          <w:tcPr>
            <w:tcW w:w="1637"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right="496"/>
              <w:jc w:val="right"/>
              <w:rPr>
                <w:rFonts w:ascii="Arial Narrow" w:hAnsi="Arial Narrow" w:cs="Arial Narrow" w:eastAsia="Arial Narrow" w:hint="default"/>
                <w:sz w:val="21"/>
                <w:szCs w:val="21"/>
              </w:rPr>
            </w:pPr>
            <w:r>
              <w:rPr>
                <w:rFonts w:ascii="Arial Narrow"/>
                <w:w w:val="100"/>
                <w:sz w:val="21"/>
              </w:rPr>
              <w:t>-</w:t>
            </w:r>
          </w:p>
        </w:tc>
        <w:tc>
          <w:tcPr>
            <w:tcW w:w="1869"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498" w:right="0"/>
              <w:jc w:val="left"/>
              <w:rPr>
                <w:rFonts w:ascii="Arial Narrow" w:hAnsi="Arial Narrow" w:cs="Arial Narrow" w:eastAsia="Arial Narrow" w:hint="default"/>
                <w:sz w:val="21"/>
                <w:szCs w:val="21"/>
              </w:rPr>
            </w:pPr>
            <w:r>
              <w:rPr>
                <w:rFonts w:ascii="Arial Narrow"/>
                <w:sz w:val="21"/>
              </w:rPr>
              <w:t>2006.07.31</w:t>
            </w:r>
          </w:p>
        </w:tc>
        <w:tc>
          <w:tcPr>
            <w:tcW w:w="1774"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left="172" w:right="0"/>
              <w:jc w:val="center"/>
              <w:rPr>
                <w:rFonts w:ascii="Arial Narrow" w:hAnsi="Arial Narrow" w:cs="Arial Narrow" w:eastAsia="Arial Narrow" w:hint="default"/>
                <w:sz w:val="21"/>
                <w:szCs w:val="21"/>
              </w:rPr>
            </w:pPr>
            <w:r>
              <w:rPr>
                <w:rFonts w:ascii="Arial Narrow"/>
                <w:sz w:val="21"/>
              </w:rPr>
              <w:t>2011.7.29</w:t>
            </w:r>
          </w:p>
        </w:tc>
        <w:tc>
          <w:tcPr>
            <w:tcW w:w="1536" w:type="dxa"/>
            <w:tcBorders>
              <w:top w:val="single" w:sz="4" w:space="0" w:color="000000"/>
              <w:left w:val="nil" w:sz="6" w:space="0" w:color="auto"/>
              <w:bottom w:val="single" w:sz="8" w:space="0" w:color="000000"/>
              <w:right w:val="nil" w:sz="6" w:space="0" w:color="auto"/>
            </w:tcBorders>
          </w:tcPr>
          <w:p>
            <w:pPr>
              <w:pStyle w:val="TableParagraph"/>
              <w:spacing w:line="240" w:lineRule="auto" w:before="156"/>
              <w:ind w:right="104"/>
              <w:jc w:val="right"/>
              <w:rPr>
                <w:rFonts w:ascii="Arial Narrow" w:hAnsi="Arial Narrow" w:cs="Arial Narrow" w:eastAsia="Arial Narrow" w:hint="default"/>
                <w:sz w:val="21"/>
                <w:szCs w:val="21"/>
              </w:rPr>
            </w:pPr>
            <w:r>
              <w:rPr>
                <w:rFonts w:ascii="Arial Narrow"/>
                <w:spacing w:val="-1"/>
                <w:sz w:val="21"/>
              </w:rPr>
              <w:t>2,084,310.00</w:t>
            </w:r>
            <w:r>
              <w:rPr>
                <w:rFonts w:ascii="Arial Narrow"/>
                <w:sz w:val="21"/>
              </w:rPr>
            </w:r>
          </w:p>
        </w:tc>
      </w:tr>
    </w:tbl>
    <w:p>
      <w:pPr>
        <w:pStyle w:val="BodyText"/>
        <w:spacing w:line="240" w:lineRule="auto" w:before="79"/>
        <w:ind w:left="423" w:right="4177"/>
        <w:jc w:val="left"/>
      </w:pPr>
      <w:r>
        <w:rPr/>
        <w:t>一年内到期的应付债券（续）</w:t>
      </w:r>
    </w:p>
    <w:p>
      <w:pPr>
        <w:spacing w:line="240" w:lineRule="auto" w:before="6"/>
        <w:rPr>
          <w:rFonts w:ascii="宋体" w:hAnsi="宋体" w:cs="宋体" w:eastAsia="宋体" w:hint="default"/>
          <w:sz w:val="19"/>
          <w:szCs w:val="19"/>
        </w:rPr>
      </w:pPr>
    </w:p>
    <w:tbl>
      <w:tblPr>
        <w:tblW w:w="0" w:type="auto"/>
        <w:jc w:val="left"/>
        <w:tblInd w:w="414" w:type="dxa"/>
        <w:tblLayout w:type="fixed"/>
        <w:tblCellMar>
          <w:top w:w="0" w:type="dxa"/>
          <w:left w:w="0" w:type="dxa"/>
          <w:bottom w:w="0" w:type="dxa"/>
          <w:right w:w="0" w:type="dxa"/>
        </w:tblCellMar>
        <w:tblLook w:val="01E0"/>
      </w:tblPr>
      <w:tblGrid>
        <w:gridCol w:w="1581"/>
        <w:gridCol w:w="1546"/>
        <w:gridCol w:w="1547"/>
        <w:gridCol w:w="1548"/>
        <w:gridCol w:w="1758"/>
        <w:gridCol w:w="1302"/>
      </w:tblGrid>
      <w:tr>
        <w:trPr>
          <w:trHeight w:val="391" w:hRule="exact"/>
        </w:trPr>
        <w:tc>
          <w:tcPr>
            <w:tcW w:w="1581"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b/>
                <w:bCs/>
                <w:sz w:val="21"/>
                <w:szCs w:val="21"/>
              </w:rPr>
              <w:t>债券名称</w:t>
            </w:r>
            <w:r>
              <w:rPr>
                <w:rFonts w:ascii="宋体" w:hAnsi="宋体" w:cs="宋体" w:eastAsia="宋体" w:hint="default"/>
                <w:sz w:val="21"/>
                <w:szCs w:val="21"/>
              </w:rPr>
            </w:r>
          </w:p>
        </w:tc>
        <w:tc>
          <w:tcPr>
            <w:tcW w:w="1546"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37"/>
              <w:jc w:val="right"/>
              <w:rPr>
                <w:rFonts w:ascii="宋体" w:hAnsi="宋体" w:cs="宋体" w:eastAsia="宋体" w:hint="default"/>
                <w:sz w:val="21"/>
                <w:szCs w:val="21"/>
              </w:rPr>
            </w:pPr>
            <w:r>
              <w:rPr>
                <w:rFonts w:ascii="宋体" w:hAnsi="宋体" w:cs="宋体" w:eastAsia="宋体" w:hint="default"/>
                <w:b/>
                <w:bCs/>
                <w:sz w:val="21"/>
                <w:szCs w:val="21"/>
              </w:rPr>
              <w:t>期初应付利息</w:t>
            </w:r>
            <w:r>
              <w:rPr>
                <w:rFonts w:ascii="宋体" w:hAnsi="宋体" w:cs="宋体" w:eastAsia="宋体" w:hint="default"/>
                <w:sz w:val="21"/>
                <w:szCs w:val="21"/>
              </w:rPr>
            </w:r>
          </w:p>
        </w:tc>
        <w:tc>
          <w:tcPr>
            <w:tcW w:w="154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38"/>
              <w:jc w:val="right"/>
              <w:rPr>
                <w:rFonts w:ascii="宋体" w:hAnsi="宋体" w:cs="宋体" w:eastAsia="宋体" w:hint="default"/>
                <w:sz w:val="21"/>
                <w:szCs w:val="21"/>
              </w:rPr>
            </w:pPr>
            <w:r>
              <w:rPr>
                <w:rFonts w:ascii="宋体" w:hAnsi="宋体" w:cs="宋体" w:eastAsia="宋体" w:hint="default"/>
                <w:b/>
                <w:bCs/>
                <w:sz w:val="21"/>
                <w:szCs w:val="21"/>
              </w:rPr>
              <w:t>本期应计利息</w:t>
            </w:r>
            <w:r>
              <w:rPr>
                <w:rFonts w:ascii="宋体" w:hAnsi="宋体" w:cs="宋体" w:eastAsia="宋体" w:hint="default"/>
                <w:sz w:val="21"/>
                <w:szCs w:val="21"/>
              </w:rPr>
            </w:r>
          </w:p>
        </w:tc>
        <w:tc>
          <w:tcPr>
            <w:tcW w:w="154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38"/>
              <w:jc w:val="right"/>
              <w:rPr>
                <w:rFonts w:ascii="宋体" w:hAnsi="宋体" w:cs="宋体" w:eastAsia="宋体" w:hint="default"/>
                <w:sz w:val="21"/>
                <w:szCs w:val="21"/>
              </w:rPr>
            </w:pPr>
            <w:r>
              <w:rPr>
                <w:rFonts w:ascii="宋体" w:hAnsi="宋体" w:cs="宋体" w:eastAsia="宋体" w:hint="default"/>
                <w:b/>
                <w:bCs/>
                <w:sz w:val="21"/>
                <w:szCs w:val="21"/>
              </w:rPr>
              <w:t>本期已付利息</w:t>
            </w:r>
            <w:r>
              <w:rPr>
                <w:rFonts w:ascii="宋体" w:hAnsi="宋体" w:cs="宋体" w:eastAsia="宋体" w:hint="default"/>
                <w:sz w:val="21"/>
                <w:szCs w:val="21"/>
              </w:rPr>
            </w:r>
          </w:p>
        </w:tc>
        <w:tc>
          <w:tcPr>
            <w:tcW w:w="175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348"/>
              <w:jc w:val="right"/>
              <w:rPr>
                <w:rFonts w:ascii="宋体" w:hAnsi="宋体" w:cs="宋体" w:eastAsia="宋体" w:hint="default"/>
                <w:sz w:val="21"/>
                <w:szCs w:val="21"/>
              </w:rPr>
            </w:pPr>
            <w:r>
              <w:rPr>
                <w:rFonts w:ascii="宋体" w:hAnsi="宋体" w:cs="宋体" w:eastAsia="宋体" w:hint="default"/>
                <w:b/>
                <w:bCs/>
                <w:sz w:val="21"/>
                <w:szCs w:val="21"/>
              </w:rPr>
              <w:t>期末应付利息</w:t>
            </w:r>
            <w:r>
              <w:rPr>
                <w:rFonts w:ascii="宋体" w:hAnsi="宋体" w:cs="宋体" w:eastAsia="宋体" w:hint="default"/>
                <w:sz w:val="21"/>
                <w:szCs w:val="21"/>
              </w:rPr>
            </w:r>
          </w:p>
        </w:tc>
        <w:tc>
          <w:tcPr>
            <w:tcW w:w="130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4"/>
              <w:jc w:val="righ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614" w:hRule="exact"/>
        </w:trPr>
        <w:tc>
          <w:tcPr>
            <w:tcW w:w="1581"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88" w:right="0" w:firstLine="19"/>
              <w:jc w:val="left"/>
              <w:rPr>
                <w:rFonts w:ascii="宋体" w:hAnsi="宋体" w:cs="宋体" w:eastAsia="宋体" w:hint="default"/>
                <w:sz w:val="21"/>
                <w:szCs w:val="21"/>
              </w:rPr>
            </w:pPr>
            <w:r>
              <w:rPr>
                <w:rFonts w:ascii="宋体" w:hAnsi="宋体" w:cs="宋体" w:eastAsia="宋体" w:hint="default"/>
                <w:spacing w:val="9"/>
                <w:sz w:val="21"/>
                <w:szCs w:val="21"/>
              </w:rPr>
              <w:t>日本超图株式</w:t>
            </w:r>
          </w:p>
          <w:p>
            <w:pPr>
              <w:pStyle w:val="TableParagraph"/>
              <w:spacing w:line="274" w:lineRule="exact"/>
              <w:ind w:left="88" w:right="0"/>
              <w:jc w:val="left"/>
              <w:rPr>
                <w:rFonts w:ascii="宋体" w:hAnsi="宋体" w:cs="宋体" w:eastAsia="宋体" w:hint="default"/>
                <w:sz w:val="21"/>
                <w:szCs w:val="21"/>
              </w:rPr>
            </w:pPr>
            <w:r>
              <w:rPr>
                <w:rFonts w:ascii="宋体" w:hAnsi="宋体" w:cs="宋体" w:eastAsia="宋体" w:hint="default"/>
                <w:spacing w:val="13"/>
                <w:sz w:val="21"/>
                <w:szCs w:val="21"/>
              </w:rPr>
              <w:t>会社无担保债</w:t>
            </w:r>
          </w:p>
        </w:tc>
        <w:tc>
          <w:tcPr>
            <w:tcW w:w="1546" w:type="dxa"/>
            <w:tcBorders>
              <w:top w:val="single" w:sz="4" w:space="0" w:color="000000"/>
              <w:left w:val="nil" w:sz="6" w:space="0" w:color="auto"/>
              <w:bottom w:val="single" w:sz="8" w:space="0" w:color="000000"/>
              <w:right w:val="nil" w:sz="6" w:space="0" w:color="auto"/>
            </w:tcBorders>
          </w:tcPr>
          <w:p>
            <w:pPr>
              <w:pStyle w:val="TableParagraph"/>
              <w:spacing w:line="240" w:lineRule="auto" w:before="175"/>
              <w:ind w:right="139"/>
              <w:jc w:val="right"/>
              <w:rPr>
                <w:rFonts w:ascii="Arial Narrow" w:hAnsi="Arial Narrow" w:cs="Arial Narrow" w:eastAsia="Arial Narrow" w:hint="default"/>
                <w:sz w:val="21"/>
                <w:szCs w:val="21"/>
              </w:rPr>
            </w:pPr>
            <w:r>
              <w:rPr>
                <w:rFonts w:ascii="Arial Narrow"/>
                <w:w w:val="100"/>
                <w:sz w:val="21"/>
              </w:rPr>
              <w:t>-</w:t>
            </w:r>
          </w:p>
        </w:tc>
        <w:tc>
          <w:tcPr>
            <w:tcW w:w="1547" w:type="dxa"/>
            <w:tcBorders>
              <w:top w:val="single" w:sz="4" w:space="0" w:color="000000"/>
              <w:left w:val="nil" w:sz="6" w:space="0" w:color="auto"/>
              <w:bottom w:val="single" w:sz="8" w:space="0" w:color="000000"/>
              <w:right w:val="nil" w:sz="6" w:space="0" w:color="auto"/>
            </w:tcBorders>
          </w:tcPr>
          <w:p>
            <w:pPr>
              <w:pStyle w:val="TableParagraph"/>
              <w:spacing w:line="240" w:lineRule="auto" w:before="175"/>
              <w:ind w:right="138"/>
              <w:jc w:val="right"/>
              <w:rPr>
                <w:rFonts w:ascii="Arial Narrow" w:hAnsi="Arial Narrow" w:cs="Arial Narrow" w:eastAsia="Arial Narrow" w:hint="default"/>
                <w:sz w:val="21"/>
                <w:szCs w:val="21"/>
              </w:rPr>
            </w:pPr>
            <w:r>
              <w:rPr>
                <w:rFonts w:ascii="Arial Narrow"/>
                <w:spacing w:val="-1"/>
                <w:sz w:val="21"/>
              </w:rPr>
              <w:t>5,308.84</w:t>
            </w:r>
            <w:r>
              <w:rPr>
                <w:rFonts w:ascii="Arial Narrow"/>
                <w:sz w:val="21"/>
              </w:rPr>
            </w:r>
          </w:p>
        </w:tc>
        <w:tc>
          <w:tcPr>
            <w:tcW w:w="1548" w:type="dxa"/>
            <w:tcBorders>
              <w:top w:val="single" w:sz="4" w:space="0" w:color="000000"/>
              <w:left w:val="nil" w:sz="6" w:space="0" w:color="auto"/>
              <w:bottom w:val="single" w:sz="8" w:space="0" w:color="000000"/>
              <w:right w:val="nil" w:sz="6" w:space="0" w:color="auto"/>
            </w:tcBorders>
          </w:tcPr>
          <w:p>
            <w:pPr>
              <w:pStyle w:val="TableParagraph"/>
              <w:spacing w:line="240" w:lineRule="auto" w:before="175"/>
              <w:ind w:right="138"/>
              <w:jc w:val="right"/>
              <w:rPr>
                <w:rFonts w:ascii="Arial Narrow" w:hAnsi="Arial Narrow" w:cs="Arial Narrow" w:eastAsia="Arial Narrow" w:hint="default"/>
                <w:sz w:val="21"/>
                <w:szCs w:val="21"/>
              </w:rPr>
            </w:pPr>
            <w:r>
              <w:rPr>
                <w:rFonts w:ascii="Arial Narrow"/>
                <w:spacing w:val="-1"/>
                <w:sz w:val="21"/>
              </w:rPr>
              <w:t>5,308.84</w:t>
            </w:r>
            <w:r>
              <w:rPr>
                <w:rFonts w:ascii="Arial Narrow"/>
                <w:sz w:val="21"/>
              </w:rPr>
            </w:r>
          </w:p>
        </w:tc>
        <w:tc>
          <w:tcPr>
            <w:tcW w:w="1758" w:type="dxa"/>
            <w:tcBorders>
              <w:top w:val="single" w:sz="4" w:space="0" w:color="000000"/>
              <w:left w:val="nil" w:sz="6" w:space="0" w:color="auto"/>
              <w:bottom w:val="single" w:sz="8" w:space="0" w:color="000000"/>
              <w:right w:val="nil" w:sz="6" w:space="0" w:color="auto"/>
            </w:tcBorders>
          </w:tcPr>
          <w:p>
            <w:pPr>
              <w:pStyle w:val="TableParagraph"/>
              <w:spacing w:line="240" w:lineRule="auto" w:before="175"/>
              <w:ind w:right="350"/>
              <w:jc w:val="right"/>
              <w:rPr>
                <w:rFonts w:ascii="Arial Narrow" w:hAnsi="Arial Narrow" w:cs="Arial Narrow" w:eastAsia="Arial Narrow" w:hint="default"/>
                <w:sz w:val="21"/>
                <w:szCs w:val="21"/>
              </w:rPr>
            </w:pPr>
            <w:r>
              <w:rPr>
                <w:rFonts w:ascii="Arial Narrow"/>
                <w:w w:val="100"/>
                <w:sz w:val="21"/>
              </w:rPr>
              <w:t>-</w:t>
            </w:r>
          </w:p>
        </w:tc>
        <w:tc>
          <w:tcPr>
            <w:tcW w:w="1302" w:type="dxa"/>
            <w:tcBorders>
              <w:top w:val="single" w:sz="4" w:space="0" w:color="000000"/>
              <w:left w:val="nil" w:sz="6" w:space="0" w:color="auto"/>
              <w:bottom w:val="single" w:sz="8" w:space="0" w:color="000000"/>
              <w:right w:val="nil" w:sz="6" w:space="0" w:color="auto"/>
            </w:tcBorders>
          </w:tcPr>
          <w:p>
            <w:pPr>
              <w:pStyle w:val="TableParagraph"/>
              <w:spacing w:line="240" w:lineRule="auto" w:before="175"/>
              <w:ind w:right="106"/>
              <w:jc w:val="right"/>
              <w:rPr>
                <w:rFonts w:ascii="Arial Narrow" w:hAnsi="Arial Narrow" w:cs="Arial Narrow" w:eastAsia="Arial Narrow" w:hint="default"/>
                <w:sz w:val="21"/>
                <w:szCs w:val="21"/>
              </w:rPr>
            </w:pPr>
            <w:r>
              <w:rPr>
                <w:rFonts w:ascii="Arial Narrow"/>
                <w:w w:val="100"/>
                <w:sz w:val="21"/>
              </w:rPr>
              <w:t>-</w:t>
            </w:r>
          </w:p>
        </w:tc>
      </w:tr>
    </w:tbl>
    <w:p>
      <w:pPr>
        <w:pStyle w:val="BodyText"/>
        <w:spacing w:line="240" w:lineRule="auto" w:before="79"/>
        <w:ind w:left="102" w:right="4177"/>
        <w:jc w:val="left"/>
      </w:pPr>
      <w:r>
        <w:rPr>
          <w:rFonts w:ascii="Arial Narrow" w:hAnsi="Arial Narrow" w:cs="Arial Narrow" w:eastAsia="Arial Narrow" w:hint="default"/>
        </w:rPr>
        <w:t>27</w:t>
      </w:r>
      <w:r>
        <w:rPr/>
        <w:t>、其他流动负债</w:t>
      </w:r>
    </w:p>
    <w:p>
      <w:pPr>
        <w:spacing w:line="240" w:lineRule="auto" w:before="13"/>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4280"/>
        <w:gridCol w:w="2761"/>
        <w:gridCol w:w="2055"/>
      </w:tblGrid>
      <w:tr>
        <w:trPr>
          <w:trHeight w:val="394" w:hRule="exact"/>
        </w:trPr>
        <w:tc>
          <w:tcPr>
            <w:tcW w:w="4280" w:type="dxa"/>
            <w:tcBorders>
              <w:top w:val="single" w:sz="8" w:space="0" w:color="000000"/>
              <w:left w:val="nil" w:sz="6" w:space="0" w:color="auto"/>
              <w:bottom w:val="single" w:sz="4" w:space="0" w:color="000000"/>
              <w:right w:val="nil" w:sz="6" w:space="0" w:color="auto"/>
            </w:tcBorders>
          </w:tcPr>
          <w:p>
            <w:pPr>
              <w:pStyle w:val="TableParagraph"/>
              <w:tabs>
                <w:tab w:pos="527" w:val="left" w:leader="none"/>
              </w:tabs>
              <w:spacing w:line="240" w:lineRule="auto" w:before="18"/>
              <w:ind w:left="105"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761"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83"/>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055"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516" w:hRule="exact"/>
        </w:trPr>
        <w:tc>
          <w:tcPr>
            <w:tcW w:w="4280"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105" w:right="0"/>
              <w:jc w:val="left"/>
              <w:rPr>
                <w:rFonts w:ascii="宋体" w:hAnsi="宋体" w:cs="宋体" w:eastAsia="宋体" w:hint="default"/>
                <w:sz w:val="21"/>
                <w:szCs w:val="21"/>
              </w:rPr>
            </w:pPr>
            <w:r>
              <w:rPr>
                <w:rFonts w:ascii="宋体" w:hAnsi="宋体" w:cs="宋体" w:eastAsia="宋体" w:hint="default"/>
                <w:sz w:val="21"/>
                <w:szCs w:val="21"/>
              </w:rPr>
              <w:t>农村住宅规划设计与建设标准研究</w:t>
            </w:r>
          </w:p>
        </w:tc>
        <w:tc>
          <w:tcPr>
            <w:tcW w:w="2761"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083"/>
              <w:jc w:val="right"/>
              <w:rPr>
                <w:rFonts w:ascii="Arial Narrow" w:hAnsi="Arial Narrow" w:cs="Arial Narrow" w:eastAsia="Arial Narrow" w:hint="default"/>
                <w:sz w:val="21"/>
                <w:szCs w:val="21"/>
              </w:rPr>
            </w:pPr>
            <w:r>
              <w:rPr>
                <w:rFonts w:ascii="Arial Narrow"/>
                <w:w w:val="100"/>
                <w:sz w:val="21"/>
              </w:rPr>
              <w:t>-</w:t>
            </w:r>
          </w:p>
        </w:tc>
        <w:tc>
          <w:tcPr>
            <w:tcW w:w="2055"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04"/>
              <w:jc w:val="right"/>
              <w:rPr>
                <w:rFonts w:ascii="Arial Narrow" w:hAnsi="Arial Narrow" w:cs="Arial Narrow" w:eastAsia="Arial Narrow" w:hint="default"/>
                <w:sz w:val="21"/>
                <w:szCs w:val="21"/>
              </w:rPr>
            </w:pPr>
            <w:r>
              <w:rPr>
                <w:rFonts w:ascii="Arial Narrow"/>
                <w:spacing w:val="-1"/>
                <w:sz w:val="21"/>
              </w:rPr>
              <w:t>76,740.00</w:t>
            </w:r>
            <w:r>
              <w:rPr>
                <w:rFonts w:ascii="Arial Narrow"/>
                <w:sz w:val="21"/>
              </w:rPr>
            </w:r>
          </w:p>
        </w:tc>
      </w:tr>
      <w:tr>
        <w:trPr>
          <w:trHeight w:val="649"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72" w:lineRule="exact" w:before="78"/>
              <w:ind w:left="105" w:right="860"/>
              <w:jc w:val="left"/>
              <w:rPr>
                <w:rFonts w:ascii="宋体" w:hAnsi="宋体" w:cs="宋体" w:eastAsia="宋体" w:hint="default"/>
                <w:sz w:val="21"/>
                <w:szCs w:val="21"/>
              </w:rPr>
            </w:pPr>
            <w:r>
              <w:rPr>
                <w:rFonts w:ascii="宋体" w:hAnsi="宋体" w:cs="宋体" w:eastAsia="宋体" w:hint="default"/>
                <w:spacing w:val="8"/>
                <w:sz w:val="21"/>
                <w:szCs w:val="21"/>
              </w:rPr>
              <w:t>新一代空间数据在线更新管理关键</w:t>
            </w:r>
            <w:r>
              <w:rPr>
                <w:rFonts w:ascii="宋体" w:hAnsi="宋体" w:cs="宋体" w:eastAsia="宋体" w:hint="default"/>
                <w:spacing w:val="-73"/>
                <w:sz w:val="21"/>
                <w:szCs w:val="21"/>
              </w:rPr>
              <w:t> </w:t>
            </w:r>
            <w:r>
              <w:rPr>
                <w:rFonts w:ascii="宋体" w:hAnsi="宋体" w:cs="宋体" w:eastAsia="宋体" w:hint="default"/>
                <w:sz w:val="21"/>
                <w:szCs w:val="21"/>
              </w:rPr>
              <w:t>技术的研发</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83"/>
              <w:jc w:val="right"/>
              <w:rPr>
                <w:rFonts w:ascii="Arial Narrow" w:hAnsi="Arial Narrow" w:cs="Arial Narrow" w:eastAsia="Arial Narrow" w:hint="default"/>
                <w:sz w:val="21"/>
                <w:szCs w:val="21"/>
              </w:rPr>
            </w:pPr>
            <w:r>
              <w:rPr>
                <w:rFonts w:ascii="Arial Narrow"/>
                <w:w w:val="100"/>
                <w:sz w:val="21"/>
              </w:rPr>
              <w:t>-</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325,000.00</w:t>
            </w:r>
            <w:r>
              <w:rPr>
                <w:rFonts w:ascii="Arial Narrow"/>
                <w:sz w:val="21"/>
              </w:rPr>
            </w:r>
          </w:p>
        </w:tc>
      </w:tr>
      <w:tr>
        <w:trPr>
          <w:trHeight w:val="650"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72" w:lineRule="exact" w:before="15"/>
              <w:ind w:left="105" w:right="860"/>
              <w:jc w:val="left"/>
              <w:rPr>
                <w:rFonts w:ascii="宋体" w:hAnsi="宋体" w:cs="宋体" w:eastAsia="宋体" w:hint="default"/>
                <w:sz w:val="21"/>
                <w:szCs w:val="21"/>
              </w:rPr>
            </w:pPr>
            <w:r>
              <w:rPr>
                <w:rFonts w:ascii="宋体" w:hAnsi="宋体" w:cs="宋体" w:eastAsia="宋体" w:hint="default"/>
                <w:spacing w:val="8"/>
                <w:sz w:val="21"/>
                <w:szCs w:val="21"/>
              </w:rPr>
              <w:t>中国巨灾应急救援信息集成系统与</w:t>
            </w:r>
            <w:r>
              <w:rPr>
                <w:rFonts w:ascii="宋体" w:hAnsi="宋体" w:cs="宋体" w:eastAsia="宋体" w:hint="default"/>
                <w:spacing w:val="-73"/>
                <w:sz w:val="21"/>
                <w:szCs w:val="21"/>
              </w:rPr>
              <w:t> </w:t>
            </w:r>
            <w:r>
              <w:rPr>
                <w:rFonts w:ascii="宋体" w:hAnsi="宋体" w:cs="宋体" w:eastAsia="宋体" w:hint="default"/>
                <w:sz w:val="21"/>
                <w:szCs w:val="21"/>
              </w:rPr>
              <w:t>示范</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83"/>
              <w:jc w:val="right"/>
              <w:rPr>
                <w:rFonts w:ascii="Arial Narrow" w:hAnsi="Arial Narrow" w:cs="Arial Narrow" w:eastAsia="Arial Narrow" w:hint="default"/>
                <w:sz w:val="21"/>
                <w:szCs w:val="21"/>
              </w:rPr>
            </w:pPr>
            <w:r>
              <w:rPr>
                <w:rFonts w:ascii="Arial Narrow"/>
                <w:w w:val="100"/>
                <w:sz w:val="21"/>
              </w:rPr>
              <w:t>-</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4"/>
              <w:jc w:val="right"/>
              <w:rPr>
                <w:rFonts w:ascii="Arial Narrow" w:hAnsi="Arial Narrow" w:cs="Arial Narrow" w:eastAsia="Arial Narrow" w:hint="default"/>
                <w:sz w:val="21"/>
                <w:szCs w:val="21"/>
              </w:rPr>
            </w:pPr>
            <w:r>
              <w:rPr>
                <w:rFonts w:ascii="Arial Narrow"/>
                <w:spacing w:val="-1"/>
                <w:sz w:val="21"/>
              </w:rPr>
              <w:t>155,555.56</w:t>
            </w:r>
            <w:r>
              <w:rPr>
                <w:rFonts w:ascii="Arial Narrow"/>
                <w:sz w:val="21"/>
              </w:rPr>
            </w:r>
          </w:p>
        </w:tc>
      </w:tr>
      <w:tr>
        <w:trPr>
          <w:trHeight w:val="608" w:hRule="exact"/>
        </w:trPr>
        <w:tc>
          <w:tcPr>
            <w:tcW w:w="4280" w:type="dxa"/>
            <w:tcBorders>
              <w:top w:val="nil" w:sz="6" w:space="0" w:color="auto"/>
              <w:left w:val="nil" w:sz="6" w:space="0" w:color="auto"/>
              <w:bottom w:val="nil" w:sz="6" w:space="0" w:color="auto"/>
              <w:right w:val="nil" w:sz="6" w:space="0" w:color="auto"/>
            </w:tcBorders>
          </w:tcPr>
          <w:p>
            <w:pPr>
              <w:pStyle w:val="TableParagraph"/>
              <w:spacing w:line="280" w:lineRule="exact" w:before="52"/>
              <w:ind w:left="105" w:right="0"/>
              <w:jc w:val="left"/>
              <w:rPr>
                <w:rFonts w:ascii="Arial Narrow" w:hAnsi="Arial Narrow" w:cs="Arial Narrow" w:eastAsia="Arial Narrow" w:hint="default"/>
                <w:sz w:val="21"/>
                <w:szCs w:val="21"/>
              </w:rPr>
            </w:pPr>
            <w:r>
              <w:rPr>
                <w:rFonts w:ascii="宋体" w:hAnsi="宋体" w:cs="宋体" w:eastAsia="宋体" w:hint="default"/>
                <w:sz w:val="21"/>
                <w:szCs w:val="21"/>
              </w:rPr>
              <w:t>面向服务支持多类型移动终端的</w:t>
            </w:r>
            <w:r>
              <w:rPr>
                <w:rFonts w:ascii="宋体" w:hAnsi="宋体" w:cs="宋体" w:eastAsia="宋体" w:hint="default"/>
                <w:spacing w:val="-44"/>
                <w:sz w:val="21"/>
                <w:szCs w:val="21"/>
              </w:rPr>
              <w:t> </w:t>
            </w:r>
            <w:r>
              <w:rPr>
                <w:rFonts w:ascii="Arial Narrow" w:hAnsi="Arial Narrow" w:cs="Arial Narrow" w:eastAsia="Arial Narrow" w:hint="default"/>
                <w:sz w:val="21"/>
                <w:szCs w:val="21"/>
              </w:rPr>
              <w:t>GIS</w:t>
            </w:r>
          </w:p>
          <w:p>
            <w:pPr>
              <w:pStyle w:val="TableParagraph"/>
              <w:spacing w:line="280" w:lineRule="exact"/>
              <w:ind w:left="105" w:right="0"/>
              <w:jc w:val="left"/>
              <w:rPr>
                <w:rFonts w:ascii="宋体" w:hAnsi="宋体" w:cs="宋体" w:eastAsia="宋体" w:hint="default"/>
                <w:sz w:val="21"/>
                <w:szCs w:val="21"/>
              </w:rPr>
            </w:pPr>
            <w:r>
              <w:rPr>
                <w:rFonts w:ascii="宋体" w:hAnsi="宋体" w:cs="宋体" w:eastAsia="宋体" w:hint="default"/>
                <w:sz w:val="21"/>
                <w:szCs w:val="21"/>
              </w:rPr>
              <w:t>关键技术与系统平台（说明</w:t>
            </w:r>
            <w:r>
              <w:rPr>
                <w:rFonts w:ascii="宋体" w:hAnsi="宋体" w:cs="宋体" w:eastAsia="宋体" w:hint="default"/>
                <w:spacing w:val="-53"/>
                <w:sz w:val="21"/>
                <w:szCs w:val="21"/>
              </w:rPr>
              <w:t> </w:t>
            </w:r>
            <w:r>
              <w:rPr>
                <w:rFonts w:ascii="Arial Narrow" w:hAnsi="Arial Narrow" w:cs="Arial Narrow" w:eastAsia="Arial Narrow" w:hint="default"/>
                <w:sz w:val="21"/>
                <w:szCs w:val="21"/>
              </w:rPr>
              <w:t>1</w:t>
            </w:r>
            <w:r>
              <w:rPr>
                <w:rFonts w:ascii="宋体" w:hAnsi="宋体" w:cs="宋体" w:eastAsia="宋体" w:hint="default"/>
                <w:sz w:val="21"/>
                <w:szCs w:val="21"/>
              </w:rPr>
              <w:t>）</w:t>
            </w:r>
          </w:p>
        </w:tc>
        <w:tc>
          <w:tcPr>
            <w:tcW w:w="27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1082"/>
              <w:jc w:val="right"/>
              <w:rPr>
                <w:rFonts w:ascii="Arial Narrow" w:hAnsi="Arial Narrow" w:cs="Arial Narrow" w:eastAsia="Arial Narrow" w:hint="default"/>
                <w:sz w:val="21"/>
                <w:szCs w:val="21"/>
              </w:rPr>
            </w:pPr>
            <w:r>
              <w:rPr>
                <w:rFonts w:ascii="Arial Narrow"/>
                <w:spacing w:val="-6"/>
                <w:sz w:val="21"/>
              </w:rPr>
              <w:t>611,111.11</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r>
    </w:tbl>
    <w:p>
      <w:pPr>
        <w:spacing w:after="0" w:line="240" w:lineRule="auto"/>
        <w:jc w:val="right"/>
        <w:rPr>
          <w:rFonts w:ascii="Arial Narrow" w:hAnsi="Arial Narrow" w:cs="Arial Narrow" w:eastAsia="Arial Narrow" w:hint="default"/>
          <w:sz w:val="21"/>
          <w:szCs w:val="21"/>
        </w:rPr>
        <w:sectPr>
          <w:pgSz w:w="11900" w:h="16850"/>
          <w:pgMar w:header="0" w:footer="919" w:top="1640" w:bottom="1100" w:left="1180" w:right="920"/>
        </w:sectPr>
      </w:pP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00"/>
        <w:gridCol w:w="4251"/>
        <w:gridCol w:w="2791"/>
        <w:gridCol w:w="2068"/>
      </w:tblGrid>
      <w:tr>
        <w:trPr>
          <w:trHeight w:val="715" w:hRule="exact"/>
        </w:trPr>
        <w:tc>
          <w:tcPr>
            <w:tcW w:w="400" w:type="dxa"/>
            <w:tcBorders>
              <w:top w:val="single" w:sz="6" w:space="0" w:color="000000"/>
              <w:left w:val="nil" w:sz="6" w:space="0" w:color="auto"/>
              <w:bottom w:val="nil" w:sz="6" w:space="0" w:color="auto"/>
              <w:right w:val="nil" w:sz="6" w:space="0" w:color="auto"/>
            </w:tcBorders>
          </w:tcPr>
          <w:p>
            <w:pPr/>
          </w:p>
        </w:tc>
        <w:tc>
          <w:tcPr>
            <w:tcW w:w="4251" w:type="dxa"/>
            <w:tcBorders>
              <w:top w:val="single" w:sz="6" w:space="0" w:color="000000"/>
              <w:left w:val="nil" w:sz="6" w:space="0" w:color="auto"/>
              <w:bottom w:val="single" w:sz="4" w:space="0" w:color="000000"/>
              <w:right w:val="nil" w:sz="6" w:space="0" w:color="auto"/>
            </w:tcBorders>
          </w:tcPr>
          <w:p>
            <w:pPr>
              <w:pStyle w:val="TableParagraph"/>
              <w:spacing w:line="282" w:lineRule="exact" w:before="88"/>
              <w:ind w:left="105" w:right="0"/>
              <w:jc w:val="left"/>
              <w:rPr>
                <w:rFonts w:ascii="Arial Narrow" w:hAnsi="Arial Narrow" w:cs="Arial Narrow" w:eastAsia="Arial Narrow" w:hint="default"/>
                <w:sz w:val="21"/>
                <w:szCs w:val="21"/>
              </w:rPr>
            </w:pPr>
            <w:r>
              <w:rPr>
                <w:rFonts w:ascii="宋体" w:hAnsi="宋体" w:cs="宋体" w:eastAsia="宋体" w:hint="default"/>
                <w:sz w:val="21"/>
                <w:szCs w:val="21"/>
              </w:rPr>
              <w:t>面向服务支持多类型移动终端的</w:t>
            </w:r>
            <w:r>
              <w:rPr>
                <w:rFonts w:ascii="宋体" w:hAnsi="宋体" w:cs="宋体" w:eastAsia="宋体" w:hint="default"/>
                <w:spacing w:val="-44"/>
                <w:sz w:val="21"/>
                <w:szCs w:val="21"/>
              </w:rPr>
              <w:t> </w:t>
            </w:r>
            <w:r>
              <w:rPr>
                <w:rFonts w:ascii="Arial Narrow" w:hAnsi="Arial Narrow" w:cs="Arial Narrow" w:eastAsia="Arial Narrow" w:hint="default"/>
                <w:sz w:val="21"/>
                <w:szCs w:val="21"/>
              </w:rPr>
              <w:t>GIS</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关键技术研发（说明</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宋体" w:hAnsi="宋体" w:cs="宋体" w:eastAsia="宋体" w:hint="default"/>
                <w:sz w:val="21"/>
                <w:szCs w:val="21"/>
              </w:rPr>
              <w:t>）</w:t>
            </w:r>
          </w:p>
        </w:tc>
        <w:tc>
          <w:tcPr>
            <w:tcW w:w="2791"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840" w:right="0"/>
              <w:jc w:val="left"/>
              <w:rPr>
                <w:rFonts w:ascii="Arial Narrow" w:hAnsi="Arial Narrow" w:cs="Arial Narrow" w:eastAsia="Arial Narrow" w:hint="default"/>
                <w:sz w:val="21"/>
                <w:szCs w:val="21"/>
              </w:rPr>
            </w:pPr>
            <w:r>
              <w:rPr>
                <w:rFonts w:ascii="Arial Narrow"/>
                <w:sz w:val="21"/>
              </w:rPr>
              <w:t>375,000.00</w:t>
            </w:r>
          </w:p>
        </w:tc>
        <w:tc>
          <w:tcPr>
            <w:tcW w:w="2068" w:type="dxa"/>
            <w:tcBorders>
              <w:top w:val="single" w:sz="6"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20"/>
              <w:jc w:val="right"/>
              <w:rPr>
                <w:rFonts w:ascii="Arial Narrow" w:hAnsi="Arial Narrow" w:cs="Arial Narrow" w:eastAsia="Arial Narrow" w:hint="default"/>
                <w:sz w:val="21"/>
                <w:szCs w:val="21"/>
              </w:rPr>
            </w:pPr>
            <w:r>
              <w:rPr>
                <w:rFonts w:ascii="Arial Narrow"/>
                <w:w w:val="100"/>
                <w:sz w:val="21"/>
              </w:rPr>
              <w:t>-</w:t>
            </w:r>
          </w:p>
        </w:tc>
      </w:tr>
      <w:tr>
        <w:trPr>
          <w:trHeight w:val="403" w:hRule="exact"/>
        </w:trPr>
        <w:tc>
          <w:tcPr>
            <w:tcW w:w="400" w:type="dxa"/>
            <w:tcBorders>
              <w:top w:val="nil" w:sz="6" w:space="0" w:color="auto"/>
              <w:left w:val="nil" w:sz="6" w:space="0" w:color="auto"/>
              <w:bottom w:val="nil" w:sz="6" w:space="0" w:color="auto"/>
              <w:right w:val="nil" w:sz="6" w:space="0" w:color="auto"/>
            </w:tcBorders>
          </w:tcPr>
          <w:p>
            <w:pPr/>
          </w:p>
        </w:tc>
        <w:tc>
          <w:tcPr>
            <w:tcW w:w="4251" w:type="dxa"/>
            <w:tcBorders>
              <w:top w:val="single" w:sz="4" w:space="0" w:color="000000"/>
              <w:left w:val="nil" w:sz="6" w:space="0" w:color="auto"/>
              <w:bottom w:val="single" w:sz="8" w:space="0" w:color="000000"/>
              <w:right w:val="nil" w:sz="6" w:space="0" w:color="auto"/>
            </w:tcBorders>
          </w:tcPr>
          <w:p>
            <w:pPr>
              <w:pStyle w:val="TableParagraph"/>
              <w:tabs>
                <w:tab w:pos="527" w:val="left" w:leader="none"/>
              </w:tabs>
              <w:spacing w:line="240" w:lineRule="auto" w:before="23"/>
              <w:ind w:left="105"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791"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left="871" w:right="0"/>
              <w:jc w:val="left"/>
              <w:rPr>
                <w:rFonts w:ascii="Arial Narrow" w:hAnsi="Arial Narrow" w:cs="Arial Narrow" w:eastAsia="Arial Narrow" w:hint="default"/>
                <w:sz w:val="21"/>
                <w:szCs w:val="21"/>
              </w:rPr>
            </w:pPr>
            <w:r>
              <w:rPr>
                <w:rFonts w:ascii="Arial Narrow"/>
                <w:b/>
                <w:spacing w:val="-4"/>
                <w:sz w:val="21"/>
              </w:rPr>
              <w:t>986,111.11</w:t>
            </w:r>
            <w:r>
              <w:rPr>
                <w:rFonts w:ascii="Arial Narrow"/>
                <w:spacing w:val="-4"/>
                <w:sz w:val="21"/>
              </w:rPr>
            </w:r>
          </w:p>
        </w:tc>
        <w:tc>
          <w:tcPr>
            <w:tcW w:w="2068"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18"/>
              <w:jc w:val="right"/>
              <w:rPr>
                <w:rFonts w:ascii="Arial Narrow" w:hAnsi="Arial Narrow" w:cs="Arial Narrow" w:eastAsia="Arial Narrow" w:hint="default"/>
                <w:sz w:val="21"/>
                <w:szCs w:val="21"/>
              </w:rPr>
            </w:pPr>
            <w:r>
              <w:rPr>
                <w:rFonts w:ascii="Arial Narrow"/>
                <w:b/>
                <w:spacing w:val="-1"/>
                <w:sz w:val="21"/>
              </w:rPr>
              <w:t>557,295.56</w:t>
            </w:r>
            <w:r>
              <w:rPr>
                <w:rFonts w:ascii="Arial Narrow"/>
                <w:sz w:val="21"/>
              </w:rPr>
            </w:r>
          </w:p>
        </w:tc>
      </w:tr>
    </w:tbl>
    <w:p>
      <w:pPr>
        <w:pStyle w:val="BodyText"/>
        <w:spacing w:line="240" w:lineRule="auto" w:before="79"/>
        <w:ind w:left="522" w:right="4177"/>
        <w:jc w:val="left"/>
      </w:pPr>
      <w:r>
        <w:rPr/>
        <w:t>说明：</w:t>
      </w:r>
    </w:p>
    <w:p>
      <w:pPr>
        <w:spacing w:line="240" w:lineRule="auto" w:before="11"/>
        <w:rPr>
          <w:rFonts w:ascii="宋体" w:hAnsi="宋体" w:cs="宋体" w:eastAsia="宋体" w:hint="default"/>
          <w:sz w:val="18"/>
          <w:szCs w:val="18"/>
        </w:rPr>
      </w:pPr>
    </w:p>
    <w:p>
      <w:pPr>
        <w:pStyle w:val="BodyText"/>
        <w:spacing w:line="310" w:lineRule="exact"/>
        <w:ind w:left="522" w:right="207" w:firstLine="120"/>
        <w:jc w:val="center"/>
        <w:rPr>
          <w:rFonts w:ascii="Arial Narrow" w:hAnsi="Arial Narrow" w:cs="Arial Narrow" w:eastAsia="Arial Narrow" w:hint="default"/>
        </w:rPr>
      </w:pPr>
      <w:r>
        <w:rPr/>
        <w:t>（</w:t>
      </w:r>
      <w:r>
        <w:rPr>
          <w:rFonts w:ascii="Arial Narrow" w:hAnsi="Arial Narrow" w:cs="Arial Narrow" w:eastAsia="Arial Narrow" w:hint="default"/>
        </w:rPr>
        <w:t>1</w:t>
      </w:r>
      <w:r>
        <w:rPr/>
        <w:t>） 本公司因承担面向服务支持多类型移动终端的 </w:t>
      </w:r>
      <w:r>
        <w:rPr>
          <w:rFonts w:ascii="Arial Narrow" w:hAnsi="Arial Narrow" w:cs="Arial Narrow" w:eastAsia="Arial Narrow" w:hint="default"/>
        </w:rPr>
        <w:t>GIS</w:t>
      </w:r>
      <w:r>
        <w:rPr>
          <w:rFonts w:ascii="Arial Narrow" w:hAnsi="Arial Narrow" w:cs="Arial Narrow" w:eastAsia="Arial Narrow" w:hint="default"/>
          <w:spacing w:val="41"/>
        </w:rPr>
        <w:t> </w:t>
      </w:r>
      <w:r>
        <w:rPr/>
        <w:t>关键技术与系统平台课题收 到北京市科学技术委员会专项拨款</w:t>
      </w:r>
      <w:r>
        <w:rPr>
          <w:spacing w:val="-58"/>
        </w:rPr>
        <w:t> </w:t>
      </w:r>
      <w:r>
        <w:rPr>
          <w:rFonts w:ascii="Arial Narrow" w:hAnsi="Arial Narrow" w:cs="Arial Narrow" w:eastAsia="Arial Narrow" w:hint="default"/>
        </w:rPr>
        <w:t>1,000,000.00</w:t>
      </w:r>
      <w:r>
        <w:rPr>
          <w:rFonts w:ascii="Arial Narrow" w:hAnsi="Arial Narrow" w:cs="Arial Narrow" w:eastAsia="Arial Narrow" w:hint="default"/>
          <w:spacing w:val="9"/>
        </w:rPr>
        <w:t> </w:t>
      </w:r>
      <w:r>
        <w:rPr>
          <w:spacing w:val="-9"/>
        </w:rPr>
        <w:t>元，计入递延收益，在项目研发期间</w:t>
      </w:r>
      <w:r>
        <w:rPr>
          <w:spacing w:val="-58"/>
        </w:rPr>
        <w:t> </w:t>
      </w:r>
      <w:r>
        <w:rPr>
          <w:rFonts w:ascii="Arial Narrow" w:hAnsi="Arial Narrow" w:cs="Arial Narrow" w:eastAsia="Arial Narrow" w:hint="default"/>
          <w:spacing w:val="-4"/>
        </w:rPr>
        <w:t>2011</w:t>
      </w:r>
    </w:p>
    <w:p>
      <w:pPr>
        <w:pStyle w:val="BodyText"/>
        <w:spacing w:line="301" w:lineRule="exact"/>
        <w:ind w:left="522" w:right="4177"/>
        <w:jc w:val="left"/>
      </w:pPr>
      <w:r>
        <w:rPr/>
        <w:t>年</w:t>
      </w:r>
      <w:r>
        <w:rPr>
          <w:spacing w:val="-62"/>
        </w:rPr>
        <w:t> </w:t>
      </w:r>
      <w:r>
        <w:rPr>
          <w:rFonts w:ascii="Arial Narrow" w:hAnsi="Arial Narrow" w:cs="Arial Narrow" w:eastAsia="Arial Narrow" w:hint="default"/>
        </w:rPr>
        <w:t>7</w:t>
      </w:r>
      <w:r>
        <w:rPr>
          <w:rFonts w:ascii="Arial Narrow" w:hAnsi="Arial Narrow" w:cs="Arial Narrow" w:eastAsia="Arial Narrow" w:hint="default"/>
          <w:spacing w:val="5"/>
        </w:rPr>
        <w:t> </w:t>
      </w:r>
      <w:r>
        <w:rPr/>
        <w:t>月至</w:t>
      </w:r>
      <w:r>
        <w:rPr>
          <w:spacing w:val="-61"/>
        </w:rPr>
        <w:t> </w:t>
      </w:r>
      <w:r>
        <w:rPr>
          <w:rFonts w:ascii="Arial Narrow" w:hAnsi="Arial Narrow" w:cs="Arial Narrow" w:eastAsia="Arial Narrow" w:hint="default"/>
        </w:rPr>
        <w:t>2012</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spacing w:val="-8"/>
        </w:rPr>
        <w:t>11</w:t>
      </w:r>
      <w:r>
        <w:rPr>
          <w:rFonts w:ascii="Arial Narrow" w:hAnsi="Arial Narrow" w:cs="Arial Narrow" w:eastAsia="Arial Narrow" w:hint="default"/>
          <w:spacing w:val="5"/>
        </w:rPr>
        <w:t> </w:t>
      </w:r>
      <w:r>
        <w:rPr/>
        <w:t>月分期计入营业外收入。</w:t>
      </w:r>
    </w:p>
    <w:p>
      <w:pPr>
        <w:spacing w:line="240" w:lineRule="auto" w:before="8"/>
        <w:rPr>
          <w:rFonts w:ascii="宋体" w:hAnsi="宋体" w:cs="宋体" w:eastAsia="宋体" w:hint="default"/>
          <w:sz w:val="17"/>
          <w:szCs w:val="17"/>
        </w:rPr>
      </w:pPr>
    </w:p>
    <w:p>
      <w:pPr>
        <w:pStyle w:val="BodyText"/>
        <w:spacing w:line="310" w:lineRule="exact"/>
        <w:ind w:left="522" w:right="194"/>
        <w:jc w:val="left"/>
      </w:pPr>
      <w:r>
        <w:rPr/>
        <w:t>（</w:t>
      </w:r>
      <w:r>
        <w:rPr>
          <w:rFonts w:ascii="Arial Narrow" w:hAnsi="Arial Narrow" w:cs="Arial Narrow" w:eastAsia="Arial Narrow" w:hint="default"/>
        </w:rPr>
        <w:t>2</w:t>
      </w:r>
      <w:r>
        <w:rPr/>
        <w:t>）</w:t>
      </w:r>
      <w:r>
        <w:rPr>
          <w:spacing w:val="-26"/>
        </w:rPr>
        <w:t> </w:t>
      </w:r>
      <w:r>
        <w:rPr/>
        <w:t>本公司因承担面向服务支持多类型移动终端的</w:t>
      </w:r>
      <w:r>
        <w:rPr>
          <w:spacing w:val="-60"/>
        </w:rPr>
        <w:t> </w:t>
      </w:r>
      <w:r>
        <w:rPr>
          <w:rFonts w:ascii="Arial Narrow" w:hAnsi="Arial Narrow" w:cs="Arial Narrow" w:eastAsia="Arial Narrow" w:hint="default"/>
        </w:rPr>
        <w:t>GIS</w:t>
      </w:r>
      <w:r>
        <w:rPr>
          <w:rFonts w:ascii="Arial Narrow" w:hAnsi="Arial Narrow" w:cs="Arial Narrow" w:eastAsia="Arial Narrow" w:hint="default"/>
          <w:spacing w:val="5"/>
        </w:rPr>
        <w:t> </w:t>
      </w:r>
      <w:r>
        <w:rPr/>
        <w:t>关键技术研发项目收到北京市 经济和信息化委员会专项拨款</w:t>
      </w:r>
      <w:r>
        <w:rPr>
          <w:spacing w:val="-53"/>
        </w:rPr>
        <w:t> </w:t>
      </w:r>
      <w:r>
        <w:rPr>
          <w:rFonts w:ascii="Arial Narrow" w:hAnsi="Arial Narrow" w:cs="Arial Narrow" w:eastAsia="Arial Narrow" w:hint="default"/>
        </w:rPr>
        <w:t>1,000,000.00</w:t>
      </w:r>
      <w:r>
        <w:rPr>
          <w:rFonts w:ascii="Arial Narrow" w:hAnsi="Arial Narrow" w:cs="Arial Narrow" w:eastAsia="Arial Narrow" w:hint="default"/>
          <w:spacing w:val="14"/>
        </w:rPr>
        <w:t> </w:t>
      </w:r>
      <w:r>
        <w:rPr/>
        <w:t>元，计入递延收益，在项目研发期间</w:t>
      </w:r>
      <w:r>
        <w:rPr>
          <w:spacing w:val="-53"/>
        </w:rPr>
        <w:t> </w:t>
      </w:r>
      <w:r>
        <w:rPr>
          <w:rFonts w:ascii="Arial Narrow" w:hAnsi="Arial Narrow" w:cs="Arial Narrow" w:eastAsia="Arial Narrow" w:hint="default"/>
        </w:rPr>
        <w:t>2010</w:t>
      </w:r>
      <w:r>
        <w:rPr>
          <w:rFonts w:ascii="Arial Narrow" w:hAnsi="Arial Narrow" w:cs="Arial Narrow" w:eastAsia="Arial Narrow" w:hint="default"/>
          <w:spacing w:val="13"/>
        </w:rPr>
        <w:t> </w:t>
      </w:r>
      <w:r>
        <w:rPr/>
        <w:t>年</w:t>
      </w:r>
    </w:p>
    <w:p>
      <w:pPr>
        <w:pStyle w:val="BodyText"/>
        <w:spacing w:line="301" w:lineRule="exact"/>
        <w:ind w:left="522" w:right="4177"/>
        <w:jc w:val="left"/>
      </w:pPr>
      <w:r>
        <w:rPr>
          <w:rFonts w:ascii="Arial Narrow" w:hAnsi="Arial Narrow" w:cs="Arial Narrow" w:eastAsia="Arial Narrow" w:hint="default"/>
        </w:rPr>
        <w:t>10</w:t>
      </w:r>
      <w:r>
        <w:rPr>
          <w:rFonts w:ascii="Arial Narrow" w:hAnsi="Arial Narrow" w:cs="Arial Narrow" w:eastAsia="Arial Narrow" w:hint="default"/>
          <w:spacing w:val="5"/>
        </w:rPr>
        <w:t> </w:t>
      </w:r>
      <w:r>
        <w:rPr/>
        <w:t>月至</w:t>
      </w:r>
      <w:r>
        <w:rPr>
          <w:spacing w:val="-62"/>
        </w:rPr>
        <w:t> </w:t>
      </w:r>
      <w:r>
        <w:rPr>
          <w:rFonts w:ascii="Arial Narrow" w:hAnsi="Arial Narrow" w:cs="Arial Narrow" w:eastAsia="Arial Narrow" w:hint="default"/>
        </w:rPr>
        <w:t>2012</w:t>
      </w:r>
      <w:r>
        <w:rPr>
          <w:rFonts w:ascii="Arial Narrow" w:hAnsi="Arial Narrow" w:cs="Arial Narrow" w:eastAsia="Arial Narrow" w:hint="default"/>
          <w:spacing w:val="5"/>
        </w:rPr>
        <w:t> </w:t>
      </w:r>
      <w:r>
        <w:rPr/>
        <w:t>年</w:t>
      </w:r>
      <w:r>
        <w:rPr>
          <w:spacing w:val="-64"/>
        </w:rPr>
        <w:t> </w:t>
      </w:r>
      <w:r>
        <w:rPr>
          <w:rFonts w:ascii="Arial Narrow" w:hAnsi="Arial Narrow" w:cs="Arial Narrow" w:eastAsia="Arial Narrow" w:hint="default"/>
        </w:rPr>
        <w:t>9</w:t>
      </w:r>
      <w:r>
        <w:rPr>
          <w:rFonts w:ascii="Arial Narrow" w:hAnsi="Arial Narrow" w:cs="Arial Narrow" w:eastAsia="Arial Narrow" w:hint="default"/>
          <w:spacing w:val="5"/>
        </w:rPr>
        <w:t> </w:t>
      </w:r>
      <w:r>
        <w:rPr/>
        <w:t>月分期计入营业外收入。</w:t>
      </w:r>
    </w:p>
    <w:p>
      <w:pPr>
        <w:pStyle w:val="BodyText"/>
        <w:spacing w:line="240" w:lineRule="auto" w:before="197"/>
        <w:ind w:left="84" w:right="8256"/>
        <w:jc w:val="center"/>
      </w:pPr>
      <w:r>
        <w:rPr>
          <w:rFonts w:ascii="Arial Narrow" w:hAnsi="Arial Narrow" w:cs="Arial Narrow" w:eastAsia="Arial Narrow" w:hint="default"/>
        </w:rPr>
        <w:t>28</w:t>
      </w:r>
      <w:r>
        <w:rPr/>
        <w:t>、长期借款</w:t>
      </w:r>
    </w:p>
    <w:p>
      <w:pPr>
        <w:pStyle w:val="BodyText"/>
        <w:spacing w:line="240" w:lineRule="auto" w:before="194"/>
        <w:ind w:left="462" w:right="4177"/>
        <w:jc w:val="left"/>
      </w:pPr>
      <w:r>
        <w:rPr/>
        <w:t>（</w:t>
      </w:r>
      <w:r>
        <w:rPr>
          <w:rFonts w:ascii="Arial Narrow" w:hAnsi="Arial Narrow" w:cs="Arial Narrow" w:eastAsia="Arial Narrow" w:hint="default"/>
        </w:rPr>
        <w:t>1</w:t>
      </w:r>
      <w:r>
        <w:rPr/>
        <w:t>）长期借款分类</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777"/>
        <w:gridCol w:w="3010"/>
        <w:gridCol w:w="2246"/>
      </w:tblGrid>
      <w:tr>
        <w:trPr>
          <w:trHeight w:val="391" w:hRule="exact"/>
        </w:trPr>
        <w:tc>
          <w:tcPr>
            <w:tcW w:w="377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01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873"/>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c>
          <w:tcPr>
            <w:tcW w:w="2246"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r>
      <w:tr>
        <w:trPr>
          <w:trHeight w:val="398" w:hRule="exact"/>
        </w:trPr>
        <w:tc>
          <w:tcPr>
            <w:tcW w:w="3777"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301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73"/>
              <w:jc w:val="right"/>
              <w:rPr>
                <w:rFonts w:ascii="Arial Narrow" w:hAnsi="Arial Narrow" w:cs="Arial Narrow" w:eastAsia="Arial Narrow" w:hint="default"/>
                <w:sz w:val="24"/>
                <w:szCs w:val="24"/>
              </w:rPr>
            </w:pPr>
            <w:r>
              <w:rPr>
                <w:rFonts w:ascii="Arial Narrow"/>
                <w:spacing w:val="-1"/>
                <w:sz w:val="24"/>
              </w:rPr>
              <w:t>10,893,374.83</w:t>
            </w:r>
          </w:p>
        </w:tc>
        <w:tc>
          <w:tcPr>
            <w:tcW w:w="22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1"/>
                <w:sz w:val="24"/>
              </w:rPr>
              <w:t>3,822,296.66</w:t>
            </w:r>
          </w:p>
        </w:tc>
      </w:tr>
      <w:tr>
        <w:trPr>
          <w:trHeight w:val="394"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72"/>
              <w:jc w:val="right"/>
              <w:rPr>
                <w:rFonts w:ascii="Arial Narrow" w:hAnsi="Arial Narrow" w:cs="Arial Narrow" w:eastAsia="Arial Narrow" w:hint="default"/>
                <w:sz w:val="24"/>
                <w:szCs w:val="24"/>
              </w:rPr>
            </w:pPr>
            <w:r>
              <w:rPr>
                <w:rFonts w:ascii="Arial Narrow"/>
                <w:spacing w:val="-2"/>
                <w:sz w:val="24"/>
              </w:rPr>
              <w:t>4,110,543.35</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Narrow" w:hAnsi="Arial Narrow" w:cs="Arial Narrow" w:eastAsia="Arial Narrow" w:hint="default"/>
                <w:sz w:val="24"/>
                <w:szCs w:val="24"/>
              </w:rPr>
            </w:pPr>
            <w:r>
              <w:rPr>
                <w:rFonts w:ascii="Arial Narrow"/>
                <w:spacing w:val="-1"/>
                <w:sz w:val="24"/>
              </w:rPr>
              <w:t>8,916,009.72</w:t>
            </w:r>
          </w:p>
        </w:tc>
      </w:tr>
      <w:tr>
        <w:trPr>
          <w:trHeight w:val="398" w:hRule="exact"/>
        </w:trPr>
        <w:tc>
          <w:tcPr>
            <w:tcW w:w="3777"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1"/>
              <w:ind w:left="108" w:right="0"/>
              <w:jc w:val="left"/>
              <w:rPr>
                <w:rFonts w:ascii="宋体" w:hAnsi="宋体" w:cs="宋体" w:eastAsia="宋体" w:hint="default"/>
                <w:sz w:val="24"/>
                <w:szCs w:val="24"/>
              </w:rPr>
            </w:pPr>
            <w:r>
              <w:rPr>
                <w:rFonts w:ascii="宋体" w:hAnsi="宋体" w:cs="宋体" w:eastAsia="宋体" w:hint="default"/>
                <w:b/>
                <w:bCs/>
                <w:w w:val="95"/>
                <w:sz w:val="24"/>
                <w:szCs w:val="24"/>
              </w:rPr>
              <w:t>小</w:t>
              <w:tab/>
            </w:r>
            <w:r>
              <w:rPr>
                <w:rFonts w:ascii="宋体" w:hAnsi="宋体" w:cs="宋体" w:eastAsia="宋体" w:hint="default"/>
                <w:b/>
                <w:bCs/>
                <w:sz w:val="24"/>
                <w:szCs w:val="24"/>
              </w:rPr>
              <w:t>计</w:t>
            </w:r>
            <w:r>
              <w:rPr>
                <w:rFonts w:ascii="宋体" w:hAnsi="宋体" w:cs="宋体" w:eastAsia="宋体" w:hint="default"/>
                <w:sz w:val="24"/>
                <w:szCs w:val="24"/>
              </w:rPr>
            </w:r>
          </w:p>
        </w:tc>
        <w:tc>
          <w:tcPr>
            <w:tcW w:w="30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73"/>
              <w:jc w:val="right"/>
              <w:rPr>
                <w:rFonts w:ascii="Arial Narrow" w:hAnsi="Arial Narrow" w:cs="Arial Narrow" w:eastAsia="Arial Narrow" w:hint="default"/>
                <w:sz w:val="24"/>
                <w:szCs w:val="24"/>
              </w:rPr>
            </w:pPr>
            <w:r>
              <w:rPr>
                <w:rFonts w:ascii="Arial Narrow"/>
                <w:b/>
                <w:spacing w:val="-1"/>
                <w:sz w:val="24"/>
              </w:rPr>
              <w:t>15,003,918.18</w:t>
            </w:r>
            <w:r>
              <w:rPr>
                <w:rFonts w:ascii="Arial Narrow"/>
                <w:spacing w:val="-1"/>
                <w:sz w:val="24"/>
              </w:rPr>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9"/>
              <w:jc w:val="right"/>
              <w:rPr>
                <w:rFonts w:ascii="Arial Narrow" w:hAnsi="Arial Narrow" w:cs="Arial Narrow" w:eastAsia="Arial Narrow" w:hint="default"/>
                <w:sz w:val="24"/>
                <w:szCs w:val="24"/>
              </w:rPr>
            </w:pPr>
            <w:r>
              <w:rPr>
                <w:rFonts w:ascii="Arial Narrow"/>
                <w:b/>
                <w:spacing w:val="-1"/>
                <w:sz w:val="24"/>
              </w:rPr>
              <w:t>12,738,306.38</w:t>
            </w:r>
            <w:r>
              <w:rPr>
                <w:rFonts w:ascii="Arial Narrow"/>
                <w:spacing w:val="-1"/>
                <w:sz w:val="24"/>
              </w:rPr>
            </w:r>
          </w:p>
        </w:tc>
      </w:tr>
      <w:tr>
        <w:trPr>
          <w:trHeight w:val="399" w:hRule="exact"/>
        </w:trPr>
        <w:tc>
          <w:tcPr>
            <w:tcW w:w="377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pacing w:val="-8"/>
                <w:sz w:val="24"/>
                <w:szCs w:val="24"/>
              </w:rPr>
              <w:t>减：一年内到期的长期借款</w:t>
            </w:r>
          </w:p>
        </w:tc>
        <w:tc>
          <w:tcPr>
            <w:tcW w:w="301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73"/>
              <w:jc w:val="right"/>
              <w:rPr>
                <w:rFonts w:ascii="Arial Narrow" w:hAnsi="Arial Narrow" w:cs="Arial Narrow" w:eastAsia="Arial Narrow" w:hint="default"/>
                <w:sz w:val="24"/>
                <w:szCs w:val="24"/>
              </w:rPr>
            </w:pPr>
            <w:r>
              <w:rPr>
                <w:rFonts w:ascii="Arial Narrow"/>
                <w:spacing w:val="-1"/>
                <w:sz w:val="24"/>
              </w:rPr>
              <w:t>3,785,806.94</w:t>
            </w:r>
          </w:p>
        </w:tc>
        <w:tc>
          <w:tcPr>
            <w:tcW w:w="224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1"/>
                <w:sz w:val="24"/>
              </w:rPr>
              <w:t>4,285,571.14</w:t>
            </w:r>
          </w:p>
        </w:tc>
      </w:tr>
      <w:tr>
        <w:trPr>
          <w:trHeight w:val="403" w:hRule="exact"/>
        </w:trPr>
        <w:tc>
          <w:tcPr>
            <w:tcW w:w="3777"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2"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01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872"/>
              <w:jc w:val="right"/>
              <w:rPr>
                <w:rFonts w:ascii="Arial Narrow" w:hAnsi="Arial Narrow" w:cs="Arial Narrow" w:eastAsia="Arial Narrow" w:hint="default"/>
                <w:sz w:val="24"/>
                <w:szCs w:val="24"/>
              </w:rPr>
            </w:pPr>
            <w:r>
              <w:rPr>
                <w:rFonts w:ascii="Arial Narrow"/>
                <w:b/>
                <w:spacing w:val="-3"/>
                <w:sz w:val="24"/>
              </w:rPr>
              <w:t>11,218,111.24</w:t>
            </w:r>
            <w:r>
              <w:rPr>
                <w:rFonts w:ascii="Arial Narrow"/>
                <w:spacing w:val="-3"/>
                <w:sz w:val="24"/>
              </w:rPr>
            </w:r>
          </w:p>
        </w:tc>
        <w:tc>
          <w:tcPr>
            <w:tcW w:w="224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b/>
                <w:spacing w:val="-1"/>
                <w:sz w:val="24"/>
              </w:rPr>
              <w:t>8,452,735.24</w:t>
            </w:r>
            <w:r>
              <w:rPr>
                <w:rFonts w:ascii="Arial Narrow"/>
                <w:spacing w:val="-1"/>
                <w:sz w:val="24"/>
              </w:rPr>
            </w:r>
          </w:p>
        </w:tc>
      </w:tr>
    </w:tbl>
    <w:p>
      <w:pPr>
        <w:pStyle w:val="BodyText"/>
        <w:spacing w:line="240" w:lineRule="auto" w:before="79"/>
        <w:ind w:left="522" w:right="1057"/>
        <w:jc w:val="left"/>
      </w:pPr>
      <w:r>
        <w:rPr/>
        <w:t>说明：本公司保证借款由东京中小企业经友会协同组合提供担保。</w:t>
      </w:r>
    </w:p>
    <w:p>
      <w:pPr>
        <w:pStyle w:val="BodyText"/>
        <w:spacing w:line="240" w:lineRule="auto" w:before="214"/>
        <w:ind w:left="462" w:right="4177"/>
        <w:jc w:val="left"/>
      </w:pPr>
      <w:r>
        <w:rPr/>
        <w:t>（</w:t>
      </w:r>
      <w:r>
        <w:rPr>
          <w:rFonts w:ascii="Arial Narrow" w:hAnsi="Arial Narrow" w:cs="Arial Narrow" w:eastAsia="Arial Narrow" w:hint="default"/>
        </w:rPr>
        <w:t>2</w:t>
      </w:r>
      <w:r>
        <w:rPr/>
        <w:t>）金额前五名的长期借款</w:t>
      </w:r>
    </w:p>
    <w:p>
      <w:pPr>
        <w:spacing w:line="240" w:lineRule="auto" w:before="13"/>
        <w:rPr>
          <w:rFonts w:ascii="宋体" w:hAnsi="宋体" w:cs="宋体" w:eastAsia="宋体" w:hint="default"/>
          <w:sz w:val="17"/>
          <w:szCs w:val="17"/>
        </w:rPr>
      </w:pPr>
    </w:p>
    <w:tbl>
      <w:tblPr>
        <w:tblW w:w="0" w:type="auto"/>
        <w:jc w:val="left"/>
        <w:tblInd w:w="399" w:type="dxa"/>
        <w:tblLayout w:type="fixed"/>
        <w:tblCellMar>
          <w:top w:w="0" w:type="dxa"/>
          <w:left w:w="0" w:type="dxa"/>
          <w:bottom w:w="0" w:type="dxa"/>
          <w:right w:w="0" w:type="dxa"/>
        </w:tblCellMar>
        <w:tblLook w:val="01E0"/>
      </w:tblPr>
      <w:tblGrid>
        <w:gridCol w:w="1067"/>
        <w:gridCol w:w="932"/>
        <w:gridCol w:w="1063"/>
        <w:gridCol w:w="541"/>
        <w:gridCol w:w="686"/>
        <w:gridCol w:w="1175"/>
        <w:gridCol w:w="1283"/>
        <w:gridCol w:w="1234"/>
        <w:gridCol w:w="1317"/>
      </w:tblGrid>
      <w:tr>
        <w:trPr>
          <w:trHeight w:val="377" w:hRule="exact"/>
        </w:trPr>
        <w:tc>
          <w:tcPr>
            <w:tcW w:w="1067" w:type="dxa"/>
            <w:vMerge w:val="restart"/>
            <w:tcBorders>
              <w:top w:val="single" w:sz="8" w:space="0" w:color="000000"/>
              <w:left w:val="nil" w:sz="6" w:space="0" w:color="auto"/>
              <w:right w:val="nil" w:sz="6" w:space="0" w:color="auto"/>
            </w:tcBorders>
          </w:tcPr>
          <w:p>
            <w:pPr>
              <w:pStyle w:val="TableParagraph"/>
              <w:spacing w:line="240" w:lineRule="auto" w:before="165"/>
              <w:ind w:left="122" w:right="63"/>
              <w:jc w:val="left"/>
              <w:rPr>
                <w:rFonts w:ascii="宋体" w:hAnsi="宋体" w:cs="宋体" w:eastAsia="宋体" w:hint="default"/>
                <w:sz w:val="21"/>
                <w:szCs w:val="21"/>
              </w:rPr>
            </w:pPr>
            <w:r>
              <w:rPr>
                <w:rFonts w:ascii="宋体" w:hAnsi="宋体" w:cs="宋体" w:eastAsia="宋体" w:hint="default"/>
                <w:b/>
                <w:bCs/>
                <w:spacing w:val="53"/>
                <w:sz w:val="21"/>
                <w:szCs w:val="21"/>
              </w:rPr>
              <w:t>贷款单</w:t>
            </w:r>
            <w:r>
              <w:rPr>
                <w:rFonts w:ascii="宋体" w:hAnsi="宋体" w:cs="宋体" w:eastAsia="宋体" w:hint="default"/>
                <w:b/>
                <w:bCs/>
                <w:spacing w:val="-102"/>
                <w:sz w:val="21"/>
                <w:szCs w:val="21"/>
              </w:rPr>
              <w:t> </w:t>
            </w:r>
            <w:r>
              <w:rPr>
                <w:rFonts w:ascii="宋体" w:hAnsi="宋体" w:cs="宋体" w:eastAsia="宋体" w:hint="default"/>
                <w:b/>
                <w:bCs/>
                <w:sz w:val="21"/>
                <w:szCs w:val="21"/>
              </w:rPr>
              <w:t>位</w:t>
            </w:r>
            <w:r>
              <w:rPr>
                <w:rFonts w:ascii="宋体" w:hAnsi="宋体" w:cs="宋体" w:eastAsia="宋体" w:hint="default"/>
                <w:sz w:val="21"/>
                <w:szCs w:val="21"/>
              </w:rPr>
            </w:r>
          </w:p>
        </w:tc>
        <w:tc>
          <w:tcPr>
            <w:tcW w:w="932" w:type="dxa"/>
            <w:vMerge w:val="restart"/>
            <w:tcBorders>
              <w:top w:val="single" w:sz="8" w:space="0" w:color="000000"/>
              <w:left w:val="nil" w:sz="6" w:space="0" w:color="auto"/>
              <w:right w:val="nil" w:sz="6" w:space="0" w:color="auto"/>
            </w:tcBorders>
          </w:tcPr>
          <w:p>
            <w:pPr>
              <w:pStyle w:val="TableParagraph"/>
              <w:spacing w:line="274" w:lineRule="exact" w:before="165"/>
              <w:ind w:left="185" w:right="0"/>
              <w:jc w:val="left"/>
              <w:rPr>
                <w:rFonts w:ascii="宋体" w:hAnsi="宋体" w:cs="宋体" w:eastAsia="宋体" w:hint="default"/>
                <w:sz w:val="21"/>
                <w:szCs w:val="21"/>
              </w:rPr>
            </w:pPr>
            <w:r>
              <w:rPr>
                <w:rFonts w:ascii="宋体" w:hAnsi="宋体" w:cs="宋体" w:eastAsia="宋体" w:hint="default"/>
                <w:b/>
                <w:bCs/>
                <w:sz w:val="21"/>
                <w:szCs w:val="21"/>
              </w:rPr>
              <w:t>借款起</w:t>
            </w:r>
            <w:r>
              <w:rPr>
                <w:rFonts w:ascii="宋体" w:hAnsi="宋体" w:cs="宋体" w:eastAsia="宋体" w:hint="default"/>
                <w:sz w:val="21"/>
                <w:szCs w:val="21"/>
              </w:rPr>
            </w:r>
          </w:p>
          <w:p>
            <w:pPr>
              <w:pStyle w:val="TableParagraph"/>
              <w:spacing w:line="274" w:lineRule="exact"/>
              <w:ind w:left="397" w:right="0"/>
              <w:jc w:val="left"/>
              <w:rPr>
                <w:rFonts w:ascii="宋体" w:hAnsi="宋体" w:cs="宋体" w:eastAsia="宋体" w:hint="default"/>
                <w:sz w:val="21"/>
                <w:szCs w:val="21"/>
              </w:rPr>
            </w:pPr>
            <w:r>
              <w:rPr>
                <w:rFonts w:ascii="宋体" w:hAnsi="宋体" w:cs="宋体" w:eastAsia="宋体" w:hint="default"/>
                <w:b/>
                <w:bCs/>
                <w:sz w:val="21"/>
                <w:szCs w:val="21"/>
              </w:rPr>
              <w:t>始日</w:t>
            </w:r>
            <w:r>
              <w:rPr>
                <w:rFonts w:ascii="宋体" w:hAnsi="宋体" w:cs="宋体" w:eastAsia="宋体" w:hint="default"/>
                <w:sz w:val="21"/>
                <w:szCs w:val="21"/>
              </w:rPr>
            </w:r>
          </w:p>
        </w:tc>
        <w:tc>
          <w:tcPr>
            <w:tcW w:w="1063" w:type="dxa"/>
            <w:vMerge w:val="restart"/>
            <w:tcBorders>
              <w:top w:val="single" w:sz="8" w:space="0" w:color="000000"/>
              <w:left w:val="nil" w:sz="6" w:space="0" w:color="auto"/>
              <w:right w:val="nil" w:sz="6" w:space="0" w:color="auto"/>
            </w:tcBorders>
          </w:tcPr>
          <w:p>
            <w:pPr>
              <w:pStyle w:val="TableParagraph"/>
              <w:spacing w:line="274" w:lineRule="exact" w:before="165"/>
              <w:ind w:left="241" w:right="0"/>
              <w:jc w:val="left"/>
              <w:rPr>
                <w:rFonts w:ascii="宋体" w:hAnsi="宋体" w:cs="宋体" w:eastAsia="宋体" w:hint="default"/>
                <w:sz w:val="21"/>
                <w:szCs w:val="21"/>
              </w:rPr>
            </w:pPr>
            <w:r>
              <w:rPr>
                <w:rFonts w:ascii="宋体" w:hAnsi="宋体" w:cs="宋体" w:eastAsia="宋体" w:hint="default"/>
                <w:b/>
                <w:bCs/>
                <w:sz w:val="21"/>
                <w:szCs w:val="21"/>
              </w:rPr>
              <w:t>借款终</w:t>
            </w:r>
            <w:r>
              <w:rPr>
                <w:rFonts w:ascii="宋体" w:hAnsi="宋体" w:cs="宋体" w:eastAsia="宋体" w:hint="default"/>
                <w:sz w:val="21"/>
                <w:szCs w:val="21"/>
              </w:rPr>
            </w:r>
          </w:p>
          <w:p>
            <w:pPr>
              <w:pStyle w:val="TableParagraph"/>
              <w:spacing w:line="274"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止日</w:t>
            </w:r>
            <w:r>
              <w:rPr>
                <w:rFonts w:ascii="宋体" w:hAnsi="宋体" w:cs="宋体" w:eastAsia="宋体" w:hint="default"/>
                <w:sz w:val="21"/>
                <w:szCs w:val="21"/>
              </w:rPr>
            </w:r>
          </w:p>
        </w:tc>
        <w:tc>
          <w:tcPr>
            <w:tcW w:w="541" w:type="dxa"/>
            <w:vMerge w:val="restart"/>
            <w:tcBorders>
              <w:top w:val="single" w:sz="8" w:space="0" w:color="000000"/>
              <w:left w:val="nil" w:sz="6" w:space="0" w:color="auto"/>
              <w:right w:val="nil" w:sz="6" w:space="0" w:color="auto"/>
            </w:tcBorders>
          </w:tcPr>
          <w:p>
            <w:pPr>
              <w:pStyle w:val="TableParagraph"/>
              <w:spacing w:line="240" w:lineRule="auto" w:before="165"/>
              <w:ind w:left="186" w:right="142"/>
              <w:jc w:val="left"/>
              <w:rPr>
                <w:rFonts w:ascii="宋体" w:hAnsi="宋体" w:cs="宋体" w:eastAsia="宋体" w:hint="default"/>
                <w:sz w:val="21"/>
                <w:szCs w:val="21"/>
              </w:rPr>
            </w:pPr>
            <w:r>
              <w:rPr>
                <w:rFonts w:ascii="宋体" w:hAnsi="宋体" w:cs="宋体" w:eastAsia="宋体" w:hint="default"/>
                <w:b/>
                <w:bCs/>
                <w:sz w:val="21"/>
                <w:szCs w:val="21"/>
              </w:rPr>
              <w:t>币</w:t>
            </w:r>
            <w:r>
              <w:rPr>
                <w:rFonts w:ascii="宋体" w:hAnsi="宋体" w:cs="宋体" w:eastAsia="宋体" w:hint="default"/>
                <w:b/>
                <w:bCs/>
                <w:w w:val="100"/>
                <w:sz w:val="21"/>
                <w:szCs w:val="21"/>
              </w:rPr>
              <w:t> </w:t>
            </w:r>
            <w:r>
              <w:rPr>
                <w:rFonts w:ascii="宋体" w:hAnsi="宋体" w:cs="宋体" w:eastAsia="宋体" w:hint="default"/>
                <w:b/>
                <w:bCs/>
                <w:sz w:val="21"/>
                <w:szCs w:val="21"/>
              </w:rPr>
              <w:t>种</w:t>
            </w:r>
            <w:r>
              <w:rPr>
                <w:rFonts w:ascii="宋体" w:hAnsi="宋体" w:cs="宋体" w:eastAsia="宋体" w:hint="default"/>
                <w:sz w:val="21"/>
                <w:szCs w:val="21"/>
              </w:rPr>
            </w:r>
          </w:p>
        </w:tc>
        <w:tc>
          <w:tcPr>
            <w:tcW w:w="686" w:type="dxa"/>
            <w:vMerge w:val="restart"/>
            <w:tcBorders>
              <w:top w:val="single" w:sz="8" w:space="0" w:color="000000"/>
              <w:left w:val="nil" w:sz="6" w:space="0" w:color="auto"/>
              <w:right w:val="nil" w:sz="6" w:space="0" w:color="auto"/>
            </w:tcBorders>
          </w:tcPr>
          <w:p>
            <w:pPr>
              <w:pStyle w:val="TableParagraph"/>
              <w:spacing w:line="240" w:lineRule="auto" w:before="165"/>
              <w:ind w:left="211" w:right="104" w:firstLine="153"/>
              <w:jc w:val="left"/>
              <w:rPr>
                <w:rFonts w:ascii="Arial Narrow" w:hAnsi="Arial Narrow" w:cs="Arial Narrow" w:eastAsia="Arial Narrow" w:hint="default"/>
                <w:sz w:val="21"/>
                <w:szCs w:val="21"/>
              </w:rPr>
            </w:pPr>
            <w:r>
              <w:rPr>
                <w:rFonts w:ascii="宋体" w:hAnsi="宋体" w:cs="宋体" w:eastAsia="宋体" w:hint="default"/>
                <w:b/>
                <w:bCs/>
                <w:sz w:val="21"/>
                <w:szCs w:val="21"/>
              </w:rPr>
              <w:t>利</w:t>
            </w:r>
            <w:r>
              <w:rPr>
                <w:rFonts w:ascii="宋体" w:hAnsi="宋体" w:cs="宋体" w:eastAsia="宋体" w:hint="default"/>
                <w:b/>
                <w:bCs/>
                <w:w w:val="100"/>
                <w:sz w:val="21"/>
                <w:szCs w:val="21"/>
              </w:rPr>
              <w:t> </w:t>
            </w:r>
            <w:r>
              <w:rPr>
                <w:rFonts w:ascii="宋体" w:hAnsi="宋体" w:cs="宋体" w:eastAsia="宋体" w:hint="default"/>
                <w:b/>
                <w:bCs/>
                <w:sz w:val="21"/>
                <w:szCs w:val="21"/>
              </w:rPr>
              <w:t>率</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175" w:type="dxa"/>
            <w:tcBorders>
              <w:top w:val="single" w:sz="8" w:space="0" w:color="000000"/>
              <w:left w:val="nil" w:sz="6" w:space="0" w:color="auto"/>
              <w:bottom w:val="nil" w:sz="6" w:space="0" w:color="auto"/>
              <w:right w:val="nil" w:sz="6" w:space="0" w:color="auto"/>
            </w:tcBorders>
          </w:tcPr>
          <w:p>
            <w:pPr/>
          </w:p>
        </w:tc>
        <w:tc>
          <w:tcPr>
            <w:tcW w:w="1283"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right="165"/>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234" w:type="dxa"/>
            <w:tcBorders>
              <w:top w:val="single" w:sz="8" w:space="0" w:color="000000"/>
              <w:left w:val="nil" w:sz="6" w:space="0" w:color="auto"/>
              <w:bottom w:val="nil" w:sz="6" w:space="0" w:color="auto"/>
              <w:right w:val="nil" w:sz="6" w:space="0" w:color="auto"/>
            </w:tcBorders>
          </w:tcPr>
          <w:p>
            <w:pPr/>
          </w:p>
        </w:tc>
        <w:tc>
          <w:tcPr>
            <w:tcW w:w="1317" w:type="dxa"/>
            <w:tcBorders>
              <w:top w:val="single" w:sz="8" w:space="0" w:color="000000"/>
              <w:left w:val="nil" w:sz="6" w:space="0" w:color="auto"/>
              <w:bottom w:val="nil" w:sz="6" w:space="0" w:color="auto"/>
              <w:right w:val="nil" w:sz="6" w:space="0" w:color="auto"/>
            </w:tcBorders>
          </w:tcPr>
          <w:p>
            <w:pPr>
              <w:pStyle w:val="TableParagraph"/>
              <w:spacing w:line="240" w:lineRule="auto" w:before="30"/>
              <w:ind w:right="104"/>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581" w:hRule="exact"/>
        </w:trPr>
        <w:tc>
          <w:tcPr>
            <w:tcW w:w="1067" w:type="dxa"/>
            <w:vMerge/>
            <w:tcBorders>
              <w:left w:val="nil" w:sz="6" w:space="0" w:color="auto"/>
              <w:bottom w:val="single" w:sz="4" w:space="0" w:color="000000"/>
              <w:right w:val="nil" w:sz="6" w:space="0" w:color="auto"/>
            </w:tcBorders>
          </w:tcPr>
          <w:p>
            <w:pPr/>
          </w:p>
        </w:tc>
        <w:tc>
          <w:tcPr>
            <w:tcW w:w="932" w:type="dxa"/>
            <w:vMerge/>
            <w:tcBorders>
              <w:left w:val="nil" w:sz="6" w:space="0" w:color="auto"/>
              <w:bottom w:val="single" w:sz="4" w:space="0" w:color="000000"/>
              <w:right w:val="nil" w:sz="6" w:space="0" w:color="auto"/>
            </w:tcBorders>
          </w:tcPr>
          <w:p>
            <w:pPr/>
          </w:p>
        </w:tc>
        <w:tc>
          <w:tcPr>
            <w:tcW w:w="1063" w:type="dxa"/>
            <w:vMerge/>
            <w:tcBorders>
              <w:left w:val="nil" w:sz="6" w:space="0" w:color="auto"/>
              <w:bottom w:val="single" w:sz="4" w:space="0" w:color="000000"/>
              <w:right w:val="nil" w:sz="6" w:space="0" w:color="auto"/>
            </w:tcBorders>
          </w:tcPr>
          <w:p>
            <w:pPr/>
          </w:p>
        </w:tc>
        <w:tc>
          <w:tcPr>
            <w:tcW w:w="541" w:type="dxa"/>
            <w:vMerge/>
            <w:tcBorders>
              <w:left w:val="nil" w:sz="6" w:space="0" w:color="auto"/>
              <w:bottom w:val="single" w:sz="4" w:space="0" w:color="000000"/>
              <w:right w:val="nil" w:sz="6" w:space="0" w:color="auto"/>
            </w:tcBorders>
          </w:tcPr>
          <w:p>
            <w:pPr/>
          </w:p>
        </w:tc>
        <w:tc>
          <w:tcPr>
            <w:tcW w:w="686" w:type="dxa"/>
            <w:vMerge/>
            <w:tcBorders>
              <w:left w:val="nil" w:sz="6" w:space="0" w:color="auto"/>
              <w:bottom w:val="single" w:sz="4" w:space="0" w:color="000000"/>
              <w:right w:val="nil" w:sz="6" w:space="0" w:color="auto"/>
            </w:tcBorders>
          </w:tcPr>
          <w:p>
            <w:pPr/>
          </w:p>
        </w:tc>
        <w:tc>
          <w:tcPr>
            <w:tcW w:w="1175" w:type="dxa"/>
            <w:tcBorders>
              <w:top w:val="nil" w:sz="6" w:space="0" w:color="auto"/>
              <w:left w:val="nil" w:sz="6" w:space="0" w:color="auto"/>
              <w:bottom w:val="single" w:sz="4" w:space="0" w:color="000000"/>
              <w:right w:val="nil" w:sz="6" w:space="0" w:color="auto"/>
            </w:tcBorders>
          </w:tcPr>
          <w:p>
            <w:pPr>
              <w:pStyle w:val="TableParagraph"/>
              <w:spacing w:line="272" w:lineRule="exact" w:before="25"/>
              <w:ind w:left="642" w:right="108"/>
              <w:jc w:val="left"/>
              <w:rPr>
                <w:rFonts w:ascii="宋体" w:hAnsi="宋体" w:cs="宋体" w:eastAsia="宋体" w:hint="default"/>
                <w:sz w:val="21"/>
                <w:szCs w:val="21"/>
              </w:rPr>
            </w:pPr>
            <w:r>
              <w:rPr>
                <w:rFonts w:ascii="宋体" w:hAnsi="宋体" w:cs="宋体" w:eastAsia="宋体" w:hint="default"/>
                <w:b/>
                <w:bCs/>
                <w:sz w:val="21"/>
                <w:szCs w:val="21"/>
              </w:rPr>
              <w:t>外币</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283" w:type="dxa"/>
            <w:tcBorders>
              <w:top w:val="nil" w:sz="6" w:space="0" w:color="auto"/>
              <w:left w:val="nil" w:sz="6" w:space="0" w:color="auto"/>
              <w:bottom w:val="single" w:sz="4" w:space="0" w:color="000000"/>
              <w:right w:val="nil" w:sz="6" w:space="0" w:color="auto"/>
            </w:tcBorders>
          </w:tcPr>
          <w:p>
            <w:pPr>
              <w:pStyle w:val="TableParagraph"/>
              <w:spacing w:line="272" w:lineRule="exact" w:before="25"/>
              <w:ind w:left="690" w:right="167"/>
              <w:jc w:val="left"/>
              <w:rPr>
                <w:rFonts w:ascii="宋体" w:hAnsi="宋体" w:cs="宋体" w:eastAsia="宋体" w:hint="default"/>
                <w:sz w:val="21"/>
                <w:szCs w:val="21"/>
              </w:rPr>
            </w:pPr>
            <w:r>
              <w:rPr>
                <w:rFonts w:ascii="宋体" w:hAnsi="宋体" w:cs="宋体" w:eastAsia="宋体" w:hint="default"/>
                <w:b/>
                <w:bCs/>
                <w:sz w:val="21"/>
                <w:szCs w:val="21"/>
              </w:rPr>
              <w:t>本币</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234" w:type="dxa"/>
            <w:tcBorders>
              <w:top w:val="nil" w:sz="6" w:space="0" w:color="auto"/>
              <w:left w:val="nil" w:sz="6" w:space="0" w:color="auto"/>
              <w:bottom w:val="single" w:sz="4" w:space="0" w:color="000000"/>
              <w:right w:val="nil" w:sz="6" w:space="0" w:color="auto"/>
            </w:tcBorders>
          </w:tcPr>
          <w:p>
            <w:pPr>
              <w:pStyle w:val="TableParagraph"/>
              <w:spacing w:line="272" w:lineRule="exact" w:before="25"/>
              <w:ind w:left="702" w:right="107"/>
              <w:jc w:val="left"/>
              <w:rPr>
                <w:rFonts w:ascii="宋体" w:hAnsi="宋体" w:cs="宋体" w:eastAsia="宋体" w:hint="default"/>
                <w:sz w:val="21"/>
                <w:szCs w:val="21"/>
              </w:rPr>
            </w:pPr>
            <w:r>
              <w:rPr>
                <w:rFonts w:ascii="宋体" w:hAnsi="宋体" w:cs="宋体" w:eastAsia="宋体" w:hint="default"/>
                <w:b/>
                <w:bCs/>
                <w:sz w:val="21"/>
                <w:szCs w:val="21"/>
              </w:rPr>
              <w:t>外币</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317" w:type="dxa"/>
            <w:tcBorders>
              <w:top w:val="nil" w:sz="6" w:space="0" w:color="auto"/>
              <w:left w:val="nil" w:sz="6" w:space="0" w:color="auto"/>
              <w:bottom w:val="single" w:sz="4" w:space="0" w:color="000000"/>
              <w:right w:val="nil" w:sz="6" w:space="0" w:color="auto"/>
            </w:tcBorders>
          </w:tcPr>
          <w:p>
            <w:pPr>
              <w:pStyle w:val="TableParagraph"/>
              <w:spacing w:line="272" w:lineRule="exact" w:before="25"/>
              <w:ind w:left="786" w:right="106"/>
              <w:jc w:val="left"/>
              <w:rPr>
                <w:rFonts w:ascii="宋体" w:hAnsi="宋体" w:cs="宋体" w:eastAsia="宋体" w:hint="default"/>
                <w:sz w:val="21"/>
                <w:szCs w:val="21"/>
              </w:rPr>
            </w:pPr>
            <w:r>
              <w:rPr>
                <w:rFonts w:ascii="宋体" w:hAnsi="宋体" w:cs="宋体" w:eastAsia="宋体" w:hint="default"/>
                <w:b/>
                <w:bCs/>
                <w:sz w:val="21"/>
                <w:szCs w:val="21"/>
              </w:rPr>
              <w:t>本币</w:t>
            </w:r>
            <w:r>
              <w:rPr>
                <w:rFonts w:ascii="宋体" w:hAnsi="宋体" w:cs="宋体" w:eastAsia="宋体" w:hint="default"/>
                <w:b/>
                <w:bCs/>
                <w:w w:val="100"/>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549" w:hRule="exact"/>
        </w:trPr>
        <w:tc>
          <w:tcPr>
            <w:tcW w:w="1067" w:type="dxa"/>
            <w:tcBorders>
              <w:top w:val="single" w:sz="4" w:space="0" w:color="000000"/>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瑞 穂</w:t>
            </w:r>
            <w:r>
              <w:rPr>
                <w:rFonts w:ascii="宋体" w:hAnsi="宋体" w:cs="宋体" w:eastAsia="宋体" w:hint="default"/>
                <w:spacing w:val="-43"/>
                <w:sz w:val="21"/>
                <w:szCs w:val="21"/>
              </w:rPr>
              <w:t> </w:t>
            </w:r>
            <w:r>
              <w:rPr>
                <w:rFonts w:ascii="宋体" w:hAnsi="宋体" w:cs="宋体" w:eastAsia="宋体" w:hint="default"/>
                <w:sz w:val="21"/>
                <w:szCs w:val="21"/>
              </w:rPr>
              <w:t>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932"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7"/>
              <w:jc w:val="right"/>
              <w:rPr>
                <w:rFonts w:ascii="Arial Narrow" w:hAnsi="Arial Narrow" w:cs="Arial Narrow" w:eastAsia="Arial Narrow" w:hint="default"/>
                <w:sz w:val="21"/>
                <w:szCs w:val="21"/>
              </w:rPr>
            </w:pPr>
            <w:r>
              <w:rPr>
                <w:rFonts w:ascii="Arial Narrow"/>
                <w:spacing w:val="-2"/>
                <w:sz w:val="21"/>
              </w:rPr>
              <w:t>2011.3.31</w:t>
            </w: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84"/>
              <w:jc w:val="right"/>
              <w:rPr>
                <w:rFonts w:ascii="Arial Narrow" w:hAnsi="Arial Narrow" w:cs="Arial Narrow" w:eastAsia="Arial Narrow" w:hint="default"/>
                <w:sz w:val="21"/>
                <w:szCs w:val="21"/>
              </w:rPr>
            </w:pPr>
            <w:r>
              <w:rPr>
                <w:rFonts w:ascii="Arial Narrow"/>
                <w:spacing w:val="-1"/>
                <w:sz w:val="21"/>
              </w:rPr>
              <w:t>2021.3.31</w:t>
            </w:r>
            <w:r>
              <w:rPr>
                <w:rFonts w:ascii="Arial Narrow"/>
                <w:sz w:val="21"/>
              </w:rPr>
            </w:r>
          </w:p>
        </w:tc>
        <w:tc>
          <w:tcPr>
            <w:tcW w:w="541" w:type="dxa"/>
            <w:tcBorders>
              <w:top w:val="single" w:sz="4" w:space="0" w:color="000000"/>
              <w:left w:val="nil" w:sz="6" w:space="0" w:color="auto"/>
              <w:bottom w:val="nil" w:sz="6" w:space="0" w:color="auto"/>
              <w:right w:val="nil" w:sz="6" w:space="0" w:color="auto"/>
            </w:tcBorders>
          </w:tcPr>
          <w:p>
            <w:pPr>
              <w:pStyle w:val="TableParagraph"/>
              <w:spacing w:line="240" w:lineRule="exact"/>
              <w:ind w:left="186"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74" w:lineRule="exact"/>
              <w:ind w:left="18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686"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7"/>
              <w:jc w:val="right"/>
              <w:rPr>
                <w:rFonts w:ascii="Arial Narrow" w:hAnsi="Arial Narrow" w:cs="Arial Narrow" w:eastAsia="Arial Narrow" w:hint="default"/>
                <w:sz w:val="21"/>
                <w:szCs w:val="21"/>
              </w:rPr>
            </w:pPr>
            <w:r>
              <w:rPr>
                <w:rFonts w:ascii="Arial Narrow"/>
                <w:spacing w:val="-1"/>
                <w:sz w:val="21"/>
              </w:rPr>
              <w:t>1.975</w:t>
            </w:r>
            <w:r>
              <w:rPr>
                <w:rFonts w:ascii="Arial Narrow"/>
                <w:sz w:val="21"/>
              </w:rPr>
            </w: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46,193,000</w:t>
            </w:r>
            <w:r>
              <w:rPr>
                <w:rFonts w:ascii="Arial Narrow"/>
                <w:sz w:val="21"/>
              </w:rPr>
            </w:r>
          </w:p>
        </w:tc>
        <w:tc>
          <w:tcPr>
            <w:tcW w:w="1283"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65"/>
              <w:jc w:val="right"/>
              <w:rPr>
                <w:rFonts w:ascii="Arial Narrow" w:hAnsi="Arial Narrow" w:cs="Arial Narrow" w:eastAsia="Arial Narrow" w:hint="default"/>
                <w:sz w:val="21"/>
                <w:szCs w:val="21"/>
              </w:rPr>
            </w:pPr>
            <w:r>
              <w:rPr>
                <w:rFonts w:ascii="Arial Narrow"/>
                <w:spacing w:val="-1"/>
                <w:sz w:val="21"/>
              </w:rPr>
              <w:t>3,746,252.30</w:t>
            </w:r>
            <w:r>
              <w:rPr>
                <w:rFonts w:ascii="Arial Narrow"/>
                <w:sz w:val="21"/>
              </w:rPr>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1"/>
                <w:sz w:val="21"/>
              </w:rPr>
              <w:t>51,797,000</w:t>
            </w:r>
            <w:r>
              <w:rPr>
                <w:rFonts w:ascii="Arial Narrow"/>
                <w:sz w:val="21"/>
              </w:rPr>
            </w:r>
          </w:p>
        </w:tc>
        <w:tc>
          <w:tcPr>
            <w:tcW w:w="1317"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103"/>
              <w:jc w:val="right"/>
              <w:rPr>
                <w:rFonts w:ascii="Arial Narrow" w:hAnsi="Arial Narrow" w:cs="Arial Narrow" w:eastAsia="Arial Narrow" w:hint="default"/>
                <w:sz w:val="21"/>
                <w:szCs w:val="21"/>
              </w:rPr>
            </w:pPr>
            <w:r>
              <w:rPr>
                <w:rFonts w:ascii="Arial Narrow"/>
                <w:spacing w:val="-2"/>
                <w:sz w:val="21"/>
              </w:rPr>
              <w:t>4,211,096.10</w:t>
            </w:r>
          </w:p>
        </w:tc>
      </w:tr>
      <w:tr>
        <w:trPr>
          <w:trHeight w:val="545" w:hRule="exact"/>
        </w:trPr>
        <w:tc>
          <w:tcPr>
            <w:tcW w:w="1067"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瑞 穂</w:t>
            </w:r>
            <w:r>
              <w:rPr>
                <w:rFonts w:ascii="宋体" w:hAnsi="宋体" w:cs="宋体" w:eastAsia="宋体" w:hint="default"/>
                <w:spacing w:val="-43"/>
                <w:sz w:val="21"/>
                <w:szCs w:val="21"/>
              </w:rPr>
              <w:t> </w:t>
            </w:r>
            <w:r>
              <w:rPr>
                <w:rFonts w:ascii="宋体" w:hAnsi="宋体" w:cs="宋体" w:eastAsia="宋体" w:hint="default"/>
                <w:sz w:val="21"/>
                <w:szCs w:val="21"/>
              </w:rPr>
              <w:t>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Arial Narrow" w:hAnsi="Arial Narrow" w:cs="Arial Narrow" w:eastAsia="Arial Narrow" w:hint="default"/>
                <w:sz w:val="21"/>
                <w:szCs w:val="21"/>
              </w:rPr>
            </w:pPr>
            <w:r>
              <w:rPr>
                <w:rFonts w:ascii="Arial Narrow"/>
                <w:spacing w:val="-2"/>
                <w:sz w:val="21"/>
              </w:rPr>
              <w:t>2011.7.29</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4"/>
              <w:jc w:val="right"/>
              <w:rPr>
                <w:rFonts w:ascii="Arial Narrow" w:hAnsi="Arial Narrow" w:cs="Arial Narrow" w:eastAsia="Arial Narrow" w:hint="default"/>
                <w:sz w:val="21"/>
                <w:szCs w:val="21"/>
              </w:rPr>
            </w:pPr>
            <w:r>
              <w:rPr>
                <w:rFonts w:ascii="Arial Narrow"/>
                <w:spacing w:val="-1"/>
                <w:sz w:val="21"/>
              </w:rPr>
              <w:t>2021.7.29</w:t>
            </w:r>
            <w:r>
              <w:rPr>
                <w:rFonts w:ascii="Arial Narrow"/>
                <w:sz w:val="21"/>
              </w:rPr>
            </w:r>
          </w:p>
        </w:tc>
        <w:tc>
          <w:tcPr>
            <w:tcW w:w="541" w:type="dxa"/>
            <w:tcBorders>
              <w:top w:val="nil" w:sz="6" w:space="0" w:color="auto"/>
              <w:left w:val="nil" w:sz="6" w:space="0" w:color="auto"/>
              <w:bottom w:val="nil" w:sz="6" w:space="0" w:color="auto"/>
              <w:right w:val="nil" w:sz="6" w:space="0" w:color="auto"/>
            </w:tcBorders>
          </w:tcPr>
          <w:p>
            <w:pPr>
              <w:pStyle w:val="TableParagraph"/>
              <w:spacing w:line="240" w:lineRule="exact"/>
              <w:ind w:left="186"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74" w:lineRule="exact"/>
              <w:ind w:left="18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Arial Narrow" w:hAnsi="Arial Narrow" w:cs="Arial Narrow" w:eastAsia="Arial Narrow" w:hint="default"/>
                <w:sz w:val="21"/>
                <w:szCs w:val="21"/>
              </w:rPr>
            </w:pPr>
            <w:r>
              <w:rPr>
                <w:rFonts w:ascii="Arial Narrow"/>
                <w:spacing w:val="-1"/>
                <w:sz w:val="21"/>
              </w:rPr>
              <w:t>2.00</w:t>
            </w:r>
            <w:r>
              <w:rPr>
                <w:rFonts w:ascii="Arial Narrow"/>
                <w:sz w:val="21"/>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Arial Narrow" w:hAnsi="Arial Narrow" w:cs="Arial Narrow" w:eastAsia="Arial Narrow" w:hint="default"/>
                <w:sz w:val="21"/>
                <w:szCs w:val="21"/>
              </w:rPr>
            </w:pPr>
            <w:r>
              <w:rPr>
                <w:rFonts w:ascii="Arial Narrow"/>
                <w:spacing w:val="-1"/>
                <w:sz w:val="21"/>
              </w:rPr>
              <w:t>25,750,000</w:t>
            </w:r>
            <w:r>
              <w:rPr>
                <w:rFonts w:ascii="Arial Narrow"/>
                <w:sz w:val="21"/>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5"/>
              <w:jc w:val="right"/>
              <w:rPr>
                <w:rFonts w:ascii="Arial Narrow" w:hAnsi="Arial Narrow" w:cs="Arial Narrow" w:eastAsia="Arial Narrow" w:hint="default"/>
                <w:sz w:val="21"/>
                <w:szCs w:val="21"/>
              </w:rPr>
            </w:pPr>
            <w:r>
              <w:rPr>
                <w:rFonts w:ascii="Arial Narrow"/>
                <w:spacing w:val="-1"/>
                <w:sz w:val="21"/>
              </w:rPr>
              <w:t>2,088,325.00</w:t>
            </w:r>
            <w:r>
              <w:rPr>
                <w:rFonts w:ascii="Arial Narrow"/>
                <w:sz w:val="21"/>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1"/>
                <w:sz w:val="21"/>
              </w:rPr>
              <w:t>28,750,000</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1"/>
                <w:sz w:val="21"/>
              </w:rPr>
              <w:t>2,337,375.00</w:t>
            </w:r>
            <w:r>
              <w:rPr>
                <w:rFonts w:ascii="Arial Narrow"/>
                <w:sz w:val="21"/>
              </w:rPr>
            </w:r>
          </w:p>
        </w:tc>
      </w:tr>
      <w:tr>
        <w:trPr>
          <w:trHeight w:val="544" w:hRule="exact"/>
        </w:trPr>
        <w:tc>
          <w:tcPr>
            <w:tcW w:w="1067" w:type="dxa"/>
            <w:tcBorders>
              <w:top w:val="nil" w:sz="6" w:space="0" w:color="auto"/>
              <w:left w:val="nil" w:sz="6" w:space="0" w:color="auto"/>
              <w:bottom w:val="nil" w:sz="6" w:space="0" w:color="auto"/>
              <w:right w:val="nil" w:sz="6" w:space="0" w:color="auto"/>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瑞 穂</w:t>
            </w:r>
            <w:r>
              <w:rPr>
                <w:rFonts w:ascii="宋体" w:hAnsi="宋体" w:cs="宋体" w:eastAsia="宋体" w:hint="default"/>
                <w:spacing w:val="-43"/>
                <w:sz w:val="21"/>
                <w:szCs w:val="21"/>
              </w:rPr>
              <w:t> </w:t>
            </w:r>
            <w:r>
              <w:rPr>
                <w:rFonts w:ascii="宋体" w:hAnsi="宋体" w:cs="宋体" w:eastAsia="宋体" w:hint="default"/>
                <w:sz w:val="21"/>
                <w:szCs w:val="21"/>
              </w:rPr>
              <w:t>银</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Arial Narrow" w:hAnsi="Arial Narrow" w:cs="Arial Narrow" w:eastAsia="Arial Narrow" w:hint="default"/>
                <w:sz w:val="21"/>
                <w:szCs w:val="21"/>
              </w:rPr>
            </w:pPr>
            <w:r>
              <w:rPr>
                <w:rFonts w:ascii="Arial Narrow"/>
                <w:spacing w:val="-2"/>
                <w:sz w:val="21"/>
              </w:rPr>
              <w:t>2011.3.31</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84"/>
              <w:jc w:val="right"/>
              <w:rPr>
                <w:rFonts w:ascii="Arial Narrow" w:hAnsi="Arial Narrow" w:cs="Arial Narrow" w:eastAsia="Arial Narrow" w:hint="default"/>
                <w:sz w:val="21"/>
                <w:szCs w:val="21"/>
              </w:rPr>
            </w:pPr>
            <w:r>
              <w:rPr>
                <w:rFonts w:ascii="Arial Narrow"/>
                <w:spacing w:val="-1"/>
                <w:sz w:val="21"/>
              </w:rPr>
              <w:t>2018.3.31</w:t>
            </w:r>
            <w:r>
              <w:rPr>
                <w:rFonts w:ascii="Arial Narrow"/>
                <w:sz w:val="21"/>
              </w:rPr>
            </w:r>
          </w:p>
        </w:tc>
        <w:tc>
          <w:tcPr>
            <w:tcW w:w="541" w:type="dxa"/>
            <w:tcBorders>
              <w:top w:val="nil" w:sz="6" w:space="0" w:color="auto"/>
              <w:left w:val="nil" w:sz="6" w:space="0" w:color="auto"/>
              <w:bottom w:val="nil" w:sz="6" w:space="0" w:color="auto"/>
              <w:right w:val="nil" w:sz="6" w:space="0" w:color="auto"/>
            </w:tcBorders>
          </w:tcPr>
          <w:p>
            <w:pPr>
              <w:pStyle w:val="TableParagraph"/>
              <w:spacing w:line="239" w:lineRule="exact"/>
              <w:ind w:left="186"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73" w:lineRule="exact"/>
              <w:ind w:left="18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Arial Narrow" w:hAnsi="Arial Narrow" w:cs="Arial Narrow" w:eastAsia="Arial Narrow" w:hint="default"/>
                <w:sz w:val="21"/>
                <w:szCs w:val="21"/>
              </w:rPr>
            </w:pPr>
            <w:r>
              <w:rPr>
                <w:rFonts w:ascii="Arial Narrow"/>
                <w:spacing w:val="-1"/>
                <w:sz w:val="21"/>
              </w:rPr>
              <w:t>1.975</w:t>
            </w:r>
            <w:r>
              <w:rPr>
                <w:rFonts w:ascii="Arial Narrow"/>
                <w:sz w:val="21"/>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5"/>
              <w:jc w:val="right"/>
              <w:rPr>
                <w:rFonts w:ascii="Arial Narrow" w:hAnsi="Arial Narrow" w:cs="Arial Narrow" w:eastAsia="Arial Narrow" w:hint="default"/>
                <w:sz w:val="21"/>
                <w:szCs w:val="21"/>
              </w:rPr>
            </w:pPr>
            <w:r>
              <w:rPr>
                <w:rFonts w:ascii="Arial Narrow"/>
                <w:spacing w:val="-1"/>
                <w:sz w:val="21"/>
              </w:rPr>
              <w:t>15,002,000</w:t>
            </w:r>
            <w:r>
              <w:rPr>
                <w:rFonts w:ascii="Arial Narrow"/>
                <w:sz w:val="21"/>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5"/>
              <w:jc w:val="right"/>
              <w:rPr>
                <w:rFonts w:ascii="Arial Narrow" w:hAnsi="Arial Narrow" w:cs="Arial Narrow" w:eastAsia="Arial Narrow" w:hint="default"/>
                <w:sz w:val="21"/>
                <w:szCs w:val="21"/>
              </w:rPr>
            </w:pPr>
            <w:r>
              <w:rPr>
                <w:rFonts w:ascii="Arial Narrow"/>
                <w:spacing w:val="-1"/>
                <w:sz w:val="21"/>
              </w:rPr>
              <w:t>1,216,662.20</w:t>
            </w:r>
            <w:r>
              <w:rPr>
                <w:rFonts w:ascii="Arial Narrow"/>
                <w:sz w:val="21"/>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1"/>
                <w:sz w:val="21"/>
              </w:rPr>
              <w:t>17,858,000</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4"/>
              <w:jc w:val="right"/>
              <w:rPr>
                <w:rFonts w:ascii="Arial Narrow" w:hAnsi="Arial Narrow" w:cs="Arial Narrow" w:eastAsia="Arial Narrow" w:hint="default"/>
                <w:sz w:val="21"/>
                <w:szCs w:val="21"/>
              </w:rPr>
            </w:pPr>
            <w:r>
              <w:rPr>
                <w:rFonts w:ascii="Arial Narrow"/>
                <w:spacing w:val="-1"/>
                <w:sz w:val="21"/>
              </w:rPr>
              <w:t>1,451,855.40</w:t>
            </w:r>
            <w:r>
              <w:rPr>
                <w:rFonts w:ascii="Arial Narrow"/>
                <w:sz w:val="21"/>
              </w:rPr>
            </w:r>
          </w:p>
        </w:tc>
      </w:tr>
      <w:tr>
        <w:trPr>
          <w:trHeight w:val="817" w:hRule="exact"/>
        </w:trPr>
        <w:tc>
          <w:tcPr>
            <w:tcW w:w="1067"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日 本</w:t>
            </w:r>
            <w:r>
              <w:rPr>
                <w:rFonts w:ascii="宋体" w:hAnsi="宋体" w:cs="宋体" w:eastAsia="宋体" w:hint="default"/>
                <w:spacing w:val="-43"/>
                <w:sz w:val="21"/>
                <w:szCs w:val="21"/>
              </w:rPr>
              <w:t> </w:t>
            </w:r>
            <w:r>
              <w:rPr>
                <w:rFonts w:ascii="宋体" w:hAnsi="宋体" w:cs="宋体" w:eastAsia="宋体" w:hint="default"/>
                <w:sz w:val="21"/>
                <w:szCs w:val="21"/>
              </w:rPr>
              <w:t>政</w:t>
            </w:r>
          </w:p>
          <w:p>
            <w:pPr>
              <w:pStyle w:val="TableParagraph"/>
              <w:spacing w:line="240" w:lineRule="auto"/>
              <w:ind w:left="122" w:right="143"/>
              <w:jc w:val="left"/>
              <w:rPr>
                <w:rFonts w:ascii="宋体" w:hAnsi="宋体" w:cs="宋体" w:eastAsia="宋体" w:hint="default"/>
                <w:sz w:val="21"/>
                <w:szCs w:val="21"/>
              </w:rPr>
            </w:pPr>
            <w:r>
              <w:rPr>
                <w:rFonts w:ascii="宋体" w:hAnsi="宋体" w:cs="宋体" w:eastAsia="宋体" w:hint="default"/>
                <w:sz w:val="21"/>
                <w:szCs w:val="21"/>
              </w:rPr>
              <w:t>策 金</w:t>
            </w:r>
            <w:r>
              <w:rPr>
                <w:rFonts w:ascii="宋体" w:hAnsi="宋体" w:cs="宋体" w:eastAsia="宋体" w:hint="default"/>
                <w:spacing w:val="-43"/>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公库</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2"/>
                <w:sz w:val="21"/>
              </w:rPr>
              <w:t>2011.7.19</w:t>
            </w: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4"/>
              <w:jc w:val="right"/>
              <w:rPr>
                <w:rFonts w:ascii="Arial Narrow" w:hAnsi="Arial Narrow" w:cs="Arial Narrow" w:eastAsia="Arial Narrow" w:hint="default"/>
                <w:sz w:val="21"/>
                <w:szCs w:val="21"/>
              </w:rPr>
            </w:pPr>
            <w:r>
              <w:rPr>
                <w:rFonts w:ascii="Arial Narrow"/>
                <w:spacing w:val="-1"/>
                <w:sz w:val="21"/>
              </w:rPr>
              <w:t>2016.5.31</w:t>
            </w:r>
            <w:r>
              <w:rPr>
                <w:rFonts w:ascii="Arial Narrow"/>
                <w:sz w:val="21"/>
              </w:rPr>
            </w:r>
          </w:p>
        </w:tc>
        <w:tc>
          <w:tcPr>
            <w:tcW w:w="541" w:type="dxa"/>
            <w:tcBorders>
              <w:top w:val="nil" w:sz="6" w:space="0" w:color="auto"/>
              <w:left w:val="nil" w:sz="6" w:space="0" w:color="auto"/>
              <w:bottom w:val="nil" w:sz="6" w:space="0" w:color="auto"/>
              <w:right w:val="nil" w:sz="6" w:space="0" w:color="auto"/>
            </w:tcBorders>
          </w:tcPr>
          <w:p>
            <w:pPr>
              <w:pStyle w:val="TableParagraph"/>
              <w:spacing w:line="272" w:lineRule="exact" w:before="132"/>
              <w:ind w:left="186" w:right="142"/>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1"/>
                <w:sz w:val="21"/>
              </w:rPr>
              <w:t>2.40</w:t>
            </w:r>
            <w:r>
              <w:rPr>
                <w:rFonts w:ascii="Arial Narrow"/>
                <w:sz w:val="21"/>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14,490,000</w:t>
            </w:r>
            <w:r>
              <w:rPr>
                <w:rFonts w:ascii="Arial Narrow"/>
                <w:sz w:val="21"/>
              </w:rPr>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5"/>
              <w:jc w:val="right"/>
              <w:rPr>
                <w:rFonts w:ascii="Arial Narrow" w:hAnsi="Arial Narrow" w:cs="Arial Narrow" w:eastAsia="Arial Narrow" w:hint="default"/>
                <w:sz w:val="21"/>
                <w:szCs w:val="21"/>
              </w:rPr>
            </w:pPr>
            <w:r>
              <w:rPr>
                <w:rFonts w:ascii="Arial Narrow"/>
                <w:spacing w:val="-1"/>
                <w:sz w:val="21"/>
              </w:rPr>
              <w:t>1,175,139.00</w:t>
            </w:r>
            <w:r>
              <w:rPr>
                <w:rFonts w:ascii="Arial Narrow"/>
                <w:sz w:val="21"/>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18,285,000</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1,486,570.50</w:t>
            </w:r>
            <w:r>
              <w:rPr>
                <w:rFonts w:ascii="Arial Narrow"/>
                <w:sz w:val="21"/>
              </w:rPr>
            </w:r>
          </w:p>
        </w:tc>
      </w:tr>
      <w:tr>
        <w:trPr>
          <w:trHeight w:val="550" w:hRule="exact"/>
        </w:trPr>
        <w:tc>
          <w:tcPr>
            <w:tcW w:w="1067" w:type="dxa"/>
            <w:tcBorders>
              <w:top w:val="nil" w:sz="6" w:space="0" w:color="auto"/>
              <w:left w:val="nil" w:sz="6" w:space="0" w:color="auto"/>
              <w:bottom w:val="single" w:sz="4" w:space="0" w:color="000000"/>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瑞 穂</w:t>
            </w:r>
            <w:r>
              <w:rPr>
                <w:rFonts w:ascii="宋体" w:hAnsi="宋体" w:cs="宋体" w:eastAsia="宋体" w:hint="default"/>
                <w:spacing w:val="-43"/>
                <w:sz w:val="21"/>
                <w:szCs w:val="21"/>
              </w:rPr>
              <w:t> </w:t>
            </w:r>
            <w:r>
              <w:rPr>
                <w:rFonts w:ascii="宋体" w:hAnsi="宋体" w:cs="宋体" w:eastAsia="宋体" w:hint="default"/>
                <w:sz w:val="21"/>
                <w:szCs w:val="21"/>
              </w:rPr>
              <w:t>银</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行</w:t>
            </w:r>
          </w:p>
        </w:tc>
        <w:tc>
          <w:tcPr>
            <w:tcW w:w="932"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right="107"/>
              <w:jc w:val="right"/>
              <w:rPr>
                <w:rFonts w:ascii="Arial Narrow" w:hAnsi="Arial Narrow" w:cs="Arial Narrow" w:eastAsia="Arial Narrow" w:hint="default"/>
                <w:sz w:val="21"/>
                <w:szCs w:val="21"/>
              </w:rPr>
            </w:pPr>
            <w:r>
              <w:rPr>
                <w:rFonts w:ascii="Arial Narrow"/>
                <w:spacing w:val="-2"/>
                <w:sz w:val="21"/>
              </w:rPr>
              <w:t>2011.3.31</w:t>
            </w:r>
          </w:p>
        </w:tc>
        <w:tc>
          <w:tcPr>
            <w:tcW w:w="1063"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right="184"/>
              <w:jc w:val="right"/>
              <w:rPr>
                <w:rFonts w:ascii="Arial Narrow" w:hAnsi="Arial Narrow" w:cs="Arial Narrow" w:eastAsia="Arial Narrow" w:hint="default"/>
                <w:sz w:val="21"/>
                <w:szCs w:val="21"/>
              </w:rPr>
            </w:pPr>
            <w:r>
              <w:rPr>
                <w:rFonts w:ascii="Arial Narrow"/>
                <w:spacing w:val="-1"/>
                <w:sz w:val="21"/>
              </w:rPr>
              <w:t>2018.3.31</w:t>
            </w:r>
            <w:r>
              <w:rPr>
                <w:rFonts w:ascii="Arial Narrow"/>
                <w:sz w:val="21"/>
              </w:rPr>
            </w:r>
          </w:p>
        </w:tc>
        <w:tc>
          <w:tcPr>
            <w:tcW w:w="541" w:type="dxa"/>
            <w:tcBorders>
              <w:top w:val="nil" w:sz="6" w:space="0" w:color="auto"/>
              <w:left w:val="nil" w:sz="6" w:space="0" w:color="auto"/>
              <w:bottom w:val="single" w:sz="4" w:space="0" w:color="000000"/>
              <w:right w:val="nil" w:sz="6" w:space="0" w:color="auto"/>
            </w:tcBorders>
          </w:tcPr>
          <w:p>
            <w:pPr>
              <w:pStyle w:val="TableParagraph"/>
              <w:spacing w:line="241" w:lineRule="exact"/>
              <w:ind w:left="186" w:right="0"/>
              <w:jc w:val="left"/>
              <w:rPr>
                <w:rFonts w:ascii="宋体" w:hAnsi="宋体" w:cs="宋体" w:eastAsia="宋体" w:hint="default"/>
                <w:sz w:val="21"/>
                <w:szCs w:val="21"/>
              </w:rPr>
            </w:pPr>
            <w:r>
              <w:rPr>
                <w:rFonts w:ascii="宋体" w:hAnsi="宋体" w:cs="宋体" w:eastAsia="宋体" w:hint="default"/>
                <w:w w:val="100"/>
                <w:sz w:val="21"/>
                <w:szCs w:val="21"/>
              </w:rPr>
              <w:t>日</w:t>
            </w:r>
          </w:p>
          <w:p>
            <w:pPr>
              <w:pStyle w:val="TableParagraph"/>
              <w:spacing w:line="274" w:lineRule="exact"/>
              <w:ind w:left="186"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686"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right="107"/>
              <w:jc w:val="right"/>
              <w:rPr>
                <w:rFonts w:ascii="Arial Narrow" w:hAnsi="Arial Narrow" w:cs="Arial Narrow" w:eastAsia="Arial Narrow" w:hint="default"/>
                <w:sz w:val="21"/>
                <w:szCs w:val="21"/>
              </w:rPr>
            </w:pPr>
            <w:r>
              <w:rPr>
                <w:rFonts w:ascii="Arial Narrow"/>
                <w:spacing w:val="-1"/>
                <w:sz w:val="21"/>
              </w:rPr>
              <w:t>0.10</w:t>
            </w:r>
            <w:r>
              <w:rPr>
                <w:rFonts w:ascii="Arial Narrow"/>
                <w:sz w:val="21"/>
              </w:rPr>
            </w:r>
          </w:p>
        </w:tc>
        <w:tc>
          <w:tcPr>
            <w:tcW w:w="1175"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right="106"/>
              <w:jc w:val="right"/>
              <w:rPr>
                <w:rFonts w:ascii="Arial Narrow" w:hAnsi="Arial Narrow" w:cs="Arial Narrow" w:eastAsia="Arial Narrow" w:hint="default"/>
                <w:sz w:val="21"/>
                <w:szCs w:val="21"/>
              </w:rPr>
            </w:pPr>
            <w:r>
              <w:rPr>
                <w:rFonts w:ascii="Arial Narrow"/>
                <w:spacing w:val="-1"/>
                <w:sz w:val="21"/>
              </w:rPr>
              <w:t>7,501,000</w:t>
            </w:r>
            <w:r>
              <w:rPr>
                <w:rFonts w:ascii="Arial Narrow"/>
                <w:sz w:val="21"/>
              </w:rPr>
            </w:r>
          </w:p>
        </w:tc>
        <w:tc>
          <w:tcPr>
            <w:tcW w:w="1283"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right="165"/>
              <w:jc w:val="right"/>
              <w:rPr>
                <w:rFonts w:ascii="Arial Narrow" w:hAnsi="Arial Narrow" w:cs="Arial Narrow" w:eastAsia="Arial Narrow" w:hint="default"/>
                <w:sz w:val="21"/>
                <w:szCs w:val="21"/>
              </w:rPr>
            </w:pPr>
            <w:r>
              <w:rPr>
                <w:rFonts w:ascii="Arial Narrow"/>
                <w:spacing w:val="-1"/>
                <w:sz w:val="21"/>
              </w:rPr>
              <w:t>608,331.10</w:t>
            </w:r>
            <w:r>
              <w:rPr>
                <w:rFonts w:ascii="Arial Narrow"/>
                <w:sz w:val="21"/>
              </w:rPr>
            </w:r>
          </w:p>
        </w:tc>
        <w:tc>
          <w:tcPr>
            <w:tcW w:w="1234"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1"/>
                <w:sz w:val="21"/>
              </w:rPr>
              <w:t>8,929,000</w:t>
            </w:r>
            <w:r>
              <w:rPr>
                <w:rFonts w:ascii="Arial Narrow"/>
                <w:sz w:val="21"/>
              </w:rPr>
            </w:r>
          </w:p>
        </w:tc>
        <w:tc>
          <w:tcPr>
            <w:tcW w:w="1317" w:type="dxa"/>
            <w:tcBorders>
              <w:top w:val="nil" w:sz="6" w:space="0" w:color="auto"/>
              <w:left w:val="nil" w:sz="6" w:space="0" w:color="auto"/>
              <w:bottom w:val="single" w:sz="4" w:space="0" w:color="000000"/>
              <w:right w:val="nil" w:sz="6" w:space="0" w:color="auto"/>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1"/>
                <w:sz w:val="21"/>
              </w:rPr>
              <w:t>725,927.70</w:t>
            </w:r>
            <w:r>
              <w:rPr>
                <w:rFonts w:ascii="Arial Narrow"/>
                <w:sz w:val="21"/>
              </w:rPr>
            </w:r>
          </w:p>
        </w:tc>
      </w:tr>
      <w:tr>
        <w:trPr>
          <w:trHeight w:val="413" w:hRule="exact"/>
        </w:trPr>
        <w:tc>
          <w:tcPr>
            <w:tcW w:w="1067" w:type="dxa"/>
            <w:tcBorders>
              <w:top w:val="single" w:sz="4" w:space="0" w:color="000000"/>
              <w:left w:val="nil" w:sz="6" w:space="0" w:color="auto"/>
              <w:bottom w:val="single" w:sz="8" w:space="0" w:color="000000"/>
              <w:right w:val="nil" w:sz="6" w:space="0" w:color="auto"/>
            </w:tcBorders>
          </w:tcPr>
          <w:p>
            <w:pPr>
              <w:pStyle w:val="TableParagraph"/>
              <w:tabs>
                <w:tab w:pos="707" w:val="left" w:leader="none"/>
              </w:tabs>
              <w:spacing w:line="240" w:lineRule="auto" w:before="28"/>
              <w:ind w:left="285"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93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10"/>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06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86"/>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541"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339" w:right="0"/>
              <w:jc w:val="lef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68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7"/>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175"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b/>
                <w:spacing w:val="-1"/>
                <w:sz w:val="21"/>
              </w:rPr>
              <w:t>108,936,000</w:t>
            </w:r>
            <w:r>
              <w:rPr>
                <w:rFonts w:ascii="Arial Narrow"/>
                <w:sz w:val="21"/>
              </w:rPr>
            </w:r>
          </w:p>
        </w:tc>
        <w:tc>
          <w:tcPr>
            <w:tcW w:w="128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65"/>
              <w:jc w:val="right"/>
              <w:rPr>
                <w:rFonts w:ascii="Arial Narrow" w:hAnsi="Arial Narrow" w:cs="Arial Narrow" w:eastAsia="Arial Narrow" w:hint="default"/>
                <w:sz w:val="21"/>
                <w:szCs w:val="21"/>
              </w:rPr>
            </w:pPr>
            <w:r>
              <w:rPr>
                <w:rFonts w:ascii="Arial Narrow"/>
                <w:b/>
                <w:spacing w:val="-1"/>
                <w:sz w:val="21"/>
              </w:rPr>
              <w:t>8,834,709.60</w:t>
            </w:r>
            <w:r>
              <w:rPr>
                <w:rFonts w:ascii="Arial Narrow"/>
                <w:sz w:val="21"/>
              </w:rPr>
            </w:r>
          </w:p>
        </w:tc>
        <w:tc>
          <w:tcPr>
            <w:tcW w:w="1234"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4"/>
              <w:jc w:val="right"/>
              <w:rPr>
                <w:rFonts w:ascii="Arial Narrow" w:hAnsi="Arial Narrow" w:cs="Arial Narrow" w:eastAsia="Arial Narrow" w:hint="default"/>
                <w:sz w:val="21"/>
                <w:szCs w:val="21"/>
              </w:rPr>
            </w:pPr>
            <w:r>
              <w:rPr>
                <w:rFonts w:ascii="Arial Narrow"/>
                <w:b/>
                <w:spacing w:val="-1"/>
                <w:sz w:val="21"/>
              </w:rPr>
              <w:t>125,619,000</w:t>
            </w:r>
            <w:r>
              <w:rPr>
                <w:rFonts w:ascii="Arial Narrow"/>
                <w:sz w:val="21"/>
              </w:rPr>
            </w:r>
          </w:p>
        </w:tc>
        <w:tc>
          <w:tcPr>
            <w:tcW w:w="1317"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4"/>
              <w:jc w:val="right"/>
              <w:rPr>
                <w:rFonts w:ascii="Arial Narrow" w:hAnsi="Arial Narrow" w:cs="Arial Narrow" w:eastAsia="Arial Narrow" w:hint="default"/>
                <w:sz w:val="21"/>
                <w:szCs w:val="21"/>
              </w:rPr>
            </w:pPr>
            <w:r>
              <w:rPr>
                <w:rFonts w:ascii="Arial Narrow"/>
                <w:b/>
                <w:spacing w:val="-1"/>
                <w:sz w:val="21"/>
              </w:rPr>
              <w:t>10,212,824.70</w:t>
            </w:r>
            <w:r>
              <w:rPr>
                <w:rFonts w:ascii="Arial Narrow"/>
                <w:sz w:val="21"/>
              </w:rPr>
            </w:r>
          </w:p>
        </w:tc>
      </w:tr>
    </w:tbl>
    <w:p>
      <w:pPr>
        <w:pStyle w:val="BodyText"/>
        <w:spacing w:line="240" w:lineRule="auto" w:before="79"/>
        <w:ind w:left="102" w:right="4177"/>
        <w:jc w:val="left"/>
      </w:pPr>
      <w:r>
        <w:rPr>
          <w:rFonts w:ascii="Arial Narrow" w:hAnsi="Arial Narrow" w:cs="Arial Narrow" w:eastAsia="Arial Narrow" w:hint="default"/>
        </w:rPr>
        <w:t>29</w:t>
      </w:r>
      <w:r>
        <w:rPr/>
        <w:t>、股本</w:t>
      </w:r>
      <w:r>
        <w:rPr>
          <w:spacing w:val="-4"/>
        </w:rPr>
        <w:t> </w:t>
      </w:r>
      <w:r>
        <w:rPr/>
        <w:t>（单位：股）</w:t>
      </w:r>
    </w:p>
    <w:p>
      <w:pPr>
        <w:spacing w:after="0" w:line="240" w:lineRule="auto"/>
        <w:jc w:val="left"/>
        <w:sectPr>
          <w:pgSz w:w="11900" w:h="16850"/>
          <w:pgMar w:header="0" w:footer="919" w:top="1640" w:bottom="1100" w:left="1180" w:right="920"/>
        </w:sectPr>
      </w:pPr>
    </w:p>
    <w:p>
      <w:pPr>
        <w:spacing w:line="240" w:lineRule="auto" w:before="8"/>
        <w:rPr>
          <w:rFonts w:ascii="宋体" w:hAnsi="宋体" w:cs="宋体" w:eastAsia="宋体" w:hint="default"/>
          <w:sz w:val="5"/>
          <w:szCs w:val="5"/>
        </w:rPr>
      </w:pPr>
    </w:p>
    <w:tbl>
      <w:tblPr>
        <w:tblW w:w="0" w:type="auto"/>
        <w:jc w:val="left"/>
        <w:tblInd w:w="501" w:type="dxa"/>
        <w:tblLayout w:type="fixed"/>
        <w:tblCellMar>
          <w:top w:w="0" w:type="dxa"/>
          <w:left w:w="0" w:type="dxa"/>
          <w:bottom w:w="0" w:type="dxa"/>
          <w:right w:w="0" w:type="dxa"/>
        </w:tblCellMar>
        <w:tblLook w:val="01E0"/>
      </w:tblPr>
      <w:tblGrid>
        <w:gridCol w:w="1147"/>
        <w:gridCol w:w="1300"/>
        <w:gridCol w:w="771"/>
        <w:gridCol w:w="868"/>
        <w:gridCol w:w="1435"/>
        <w:gridCol w:w="704"/>
        <w:gridCol w:w="1373"/>
        <w:gridCol w:w="1560"/>
      </w:tblGrid>
      <w:tr>
        <w:trPr>
          <w:trHeight w:val="469" w:hRule="exact"/>
        </w:trPr>
        <w:tc>
          <w:tcPr>
            <w:tcW w:w="915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24"/>
              <w:ind w:left="722" w:right="0"/>
              <w:jc w:val="center"/>
              <w:rPr>
                <w:rFonts w:ascii="宋体" w:hAnsi="宋体" w:cs="宋体" w:eastAsia="宋体" w:hint="default"/>
                <w:sz w:val="21"/>
                <w:szCs w:val="21"/>
              </w:rPr>
            </w:pPr>
            <w:r>
              <w:rPr>
                <w:rFonts w:ascii="宋体" w:hAnsi="宋体" w:cs="宋体" w:eastAsia="宋体" w:hint="default"/>
                <w:b/>
                <w:bCs/>
                <w:sz w:val="21"/>
                <w:szCs w:val="21"/>
              </w:rPr>
              <w:t>本期增减（</w:t>
            </w:r>
            <w:r>
              <w:rPr>
                <w:rFonts w:ascii="Arial Narrow" w:hAnsi="Arial Narrow" w:cs="Arial Narrow" w:eastAsia="Arial Narrow" w:hint="default"/>
                <w:b/>
                <w:bCs/>
                <w:sz w:val="21"/>
                <w:szCs w:val="21"/>
              </w:rPr>
              <w:t>+</w:t>
            </w:r>
            <w:r>
              <w:rPr>
                <w:rFonts w:ascii="宋体" w:hAnsi="宋体" w:cs="宋体" w:eastAsia="宋体" w:hint="default"/>
                <w:b/>
                <w:bCs/>
                <w:sz w:val="21"/>
                <w:szCs w:val="21"/>
              </w:rPr>
              <w:t>、</w:t>
            </w:r>
            <w:r>
              <w:rPr>
                <w:rFonts w:ascii="Arial Narrow" w:hAnsi="Arial Narrow" w:cs="Arial Narrow" w:eastAsia="Arial Narrow"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265" w:hRule="exact"/>
        </w:trPr>
        <w:tc>
          <w:tcPr>
            <w:tcW w:w="1147" w:type="dxa"/>
            <w:tcBorders>
              <w:top w:val="nil" w:sz="6" w:space="0" w:color="auto"/>
              <w:left w:val="nil" w:sz="6" w:space="0" w:color="auto"/>
              <w:bottom w:val="nil" w:sz="6" w:space="0" w:color="auto"/>
              <w:right w:val="nil" w:sz="6" w:space="0" w:color="auto"/>
            </w:tcBorders>
          </w:tcPr>
          <w:p>
            <w:pPr>
              <w:pStyle w:val="TableParagraph"/>
              <w:tabs>
                <w:tab w:pos="520" w:val="left" w:leader="none"/>
              </w:tabs>
              <w:spacing w:line="271" w:lineRule="exact"/>
              <w:ind w:left="97" w:right="0"/>
              <w:jc w:val="center"/>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300" w:type="dxa"/>
            <w:tcBorders>
              <w:top w:val="nil" w:sz="6" w:space="0" w:color="auto"/>
              <w:left w:val="nil" w:sz="6" w:space="0" w:color="auto"/>
              <w:bottom w:val="nil" w:sz="6" w:space="0" w:color="auto"/>
              <w:right w:val="nil" w:sz="6" w:space="0" w:color="auto"/>
            </w:tcBorders>
          </w:tcPr>
          <w:p>
            <w:pPr>
              <w:pStyle w:val="TableParagraph"/>
              <w:spacing w:line="271"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771" w:type="dxa"/>
            <w:vMerge w:val="restart"/>
            <w:tcBorders>
              <w:top w:val="nil" w:sz="6" w:space="0" w:color="auto"/>
              <w:left w:val="nil" w:sz="6" w:space="0" w:color="auto"/>
              <w:right w:val="nil" w:sz="6" w:space="0" w:color="auto"/>
            </w:tcBorders>
          </w:tcPr>
          <w:p>
            <w:pPr>
              <w:pStyle w:val="TableParagraph"/>
              <w:spacing w:line="272" w:lineRule="exact" w:before="86"/>
              <w:ind w:left="94" w:right="252"/>
              <w:jc w:val="left"/>
              <w:rPr>
                <w:rFonts w:ascii="宋体" w:hAnsi="宋体" w:cs="宋体" w:eastAsia="宋体" w:hint="default"/>
                <w:sz w:val="21"/>
                <w:szCs w:val="21"/>
              </w:rPr>
            </w:pPr>
            <w:r>
              <w:rPr>
                <w:rFonts w:ascii="宋体" w:hAnsi="宋体" w:cs="宋体" w:eastAsia="宋体" w:hint="default"/>
                <w:b/>
                <w:bCs/>
                <w:sz w:val="21"/>
                <w:szCs w:val="21"/>
              </w:rPr>
              <w:t>发行</w:t>
            </w:r>
            <w:r>
              <w:rPr>
                <w:rFonts w:ascii="宋体" w:hAnsi="宋体" w:cs="宋体" w:eastAsia="宋体" w:hint="default"/>
                <w:b/>
                <w:bCs/>
                <w:w w:val="100"/>
                <w:sz w:val="21"/>
                <w:szCs w:val="21"/>
              </w:rPr>
              <w:t> </w:t>
            </w:r>
            <w:r>
              <w:rPr>
                <w:rFonts w:ascii="宋体" w:hAnsi="宋体" w:cs="宋体" w:eastAsia="宋体" w:hint="default"/>
                <w:b/>
                <w:bCs/>
                <w:sz w:val="21"/>
                <w:szCs w:val="21"/>
              </w:rPr>
              <w:t>新股</w:t>
            </w:r>
            <w:r>
              <w:rPr>
                <w:rFonts w:ascii="宋体" w:hAnsi="宋体" w:cs="宋体" w:eastAsia="宋体" w:hint="default"/>
                <w:sz w:val="21"/>
                <w:szCs w:val="21"/>
              </w:rPr>
            </w:r>
          </w:p>
        </w:tc>
        <w:tc>
          <w:tcPr>
            <w:tcW w:w="868" w:type="dxa"/>
            <w:tcBorders>
              <w:top w:val="nil" w:sz="6" w:space="0" w:color="auto"/>
              <w:left w:val="nil" w:sz="6" w:space="0" w:color="auto"/>
              <w:bottom w:val="nil" w:sz="6" w:space="0" w:color="auto"/>
              <w:right w:val="nil" w:sz="6" w:space="0" w:color="auto"/>
            </w:tcBorders>
          </w:tcPr>
          <w:p>
            <w:pPr/>
          </w:p>
        </w:tc>
        <w:tc>
          <w:tcPr>
            <w:tcW w:w="1435" w:type="dxa"/>
            <w:vMerge w:val="restart"/>
            <w:tcBorders>
              <w:top w:val="nil" w:sz="6" w:space="0" w:color="auto"/>
              <w:left w:val="nil" w:sz="6" w:space="0" w:color="auto"/>
              <w:right w:val="nil" w:sz="6" w:space="0" w:color="auto"/>
            </w:tcBorders>
          </w:tcPr>
          <w:p>
            <w:pPr>
              <w:pStyle w:val="TableParagraph"/>
              <w:spacing w:line="272" w:lineRule="exact" w:before="86"/>
              <w:ind w:left="428" w:right="476" w:hanging="106"/>
              <w:jc w:val="left"/>
              <w:rPr>
                <w:rFonts w:ascii="宋体" w:hAnsi="宋体" w:cs="宋体" w:eastAsia="宋体" w:hint="default"/>
                <w:sz w:val="21"/>
                <w:szCs w:val="21"/>
              </w:rPr>
            </w:pPr>
            <w:r>
              <w:rPr>
                <w:rFonts w:ascii="宋体" w:hAnsi="宋体" w:cs="宋体" w:eastAsia="宋体" w:hint="default"/>
                <w:b/>
                <w:bCs/>
                <w:sz w:val="21"/>
                <w:szCs w:val="21"/>
              </w:rPr>
              <w:t>公积金</w:t>
            </w:r>
            <w:r>
              <w:rPr>
                <w:rFonts w:ascii="宋体" w:hAnsi="宋体" w:cs="宋体" w:eastAsia="宋体" w:hint="default"/>
                <w:b/>
                <w:bCs/>
                <w:w w:val="100"/>
                <w:sz w:val="21"/>
                <w:szCs w:val="21"/>
              </w:rPr>
              <w:t> </w:t>
            </w:r>
            <w:r>
              <w:rPr>
                <w:rFonts w:ascii="宋体" w:hAnsi="宋体" w:cs="宋体" w:eastAsia="宋体" w:hint="default"/>
                <w:b/>
                <w:bCs/>
                <w:sz w:val="21"/>
                <w:szCs w:val="21"/>
              </w:rPr>
              <w:t>转股</w:t>
            </w:r>
            <w:r>
              <w:rPr>
                <w:rFonts w:ascii="宋体" w:hAnsi="宋体" w:cs="宋体" w:eastAsia="宋体" w:hint="default"/>
                <w:sz w:val="21"/>
                <w:szCs w:val="21"/>
              </w:rPr>
            </w:r>
          </w:p>
        </w:tc>
        <w:tc>
          <w:tcPr>
            <w:tcW w:w="704"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560" w:type="dxa"/>
            <w:vMerge w:val="restart"/>
            <w:tcBorders>
              <w:top w:val="nil" w:sz="6" w:space="0" w:color="auto"/>
              <w:left w:val="nil" w:sz="6" w:space="0" w:color="auto"/>
              <w:right w:val="nil" w:sz="6" w:space="0" w:color="auto"/>
            </w:tcBorders>
          </w:tcPr>
          <w:p>
            <w:pPr>
              <w:pStyle w:val="TableParagraph"/>
              <w:spacing w:line="240" w:lineRule="auto" w:before="116"/>
              <w:ind w:left="412"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511" w:hRule="exact"/>
        </w:trPr>
        <w:tc>
          <w:tcPr>
            <w:tcW w:w="1147"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771" w:type="dxa"/>
            <w:vMerge/>
            <w:tcBorders>
              <w:left w:val="nil" w:sz="6" w:space="0" w:color="auto"/>
              <w:bottom w:val="nil" w:sz="6" w:space="0" w:color="auto"/>
              <w:right w:val="nil" w:sz="6" w:space="0" w:color="auto"/>
            </w:tcBorders>
          </w:tcPr>
          <w:p>
            <w:pPr/>
          </w:p>
        </w:tc>
        <w:tc>
          <w:tcPr>
            <w:tcW w:w="868" w:type="dxa"/>
            <w:tcBorders>
              <w:top w:val="nil" w:sz="6" w:space="0" w:color="auto"/>
              <w:left w:val="nil" w:sz="6" w:space="0" w:color="auto"/>
              <w:bottom w:val="nil" w:sz="6" w:space="0" w:color="auto"/>
              <w:right w:val="nil" w:sz="6" w:space="0" w:color="auto"/>
            </w:tcBorders>
          </w:tcPr>
          <w:p>
            <w:pPr>
              <w:pStyle w:val="TableParagraph"/>
              <w:spacing w:line="205"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送股</w:t>
            </w:r>
            <w:r>
              <w:rPr>
                <w:rFonts w:ascii="宋体" w:hAnsi="宋体" w:cs="宋体" w:eastAsia="宋体" w:hint="default"/>
                <w:sz w:val="21"/>
                <w:szCs w:val="21"/>
              </w:rPr>
            </w:r>
          </w:p>
        </w:tc>
        <w:tc>
          <w:tcPr>
            <w:tcW w:w="1435" w:type="dxa"/>
            <w:vMerge/>
            <w:tcBorders>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373" w:type="dxa"/>
            <w:tcBorders>
              <w:top w:val="nil" w:sz="6" w:space="0" w:color="auto"/>
              <w:left w:val="nil" w:sz="6" w:space="0" w:color="auto"/>
              <w:bottom w:val="nil" w:sz="6" w:space="0" w:color="auto"/>
              <w:right w:val="nil" w:sz="6" w:space="0" w:color="auto"/>
            </w:tcBorders>
          </w:tcPr>
          <w:p>
            <w:pPr>
              <w:pStyle w:val="TableParagraph"/>
              <w:spacing w:line="205"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60" w:type="dxa"/>
            <w:vMerge/>
            <w:tcBorders>
              <w:left w:val="nil" w:sz="6" w:space="0" w:color="auto"/>
              <w:bottom w:val="nil" w:sz="6" w:space="0" w:color="auto"/>
              <w:right w:val="nil" w:sz="6" w:space="0" w:color="auto"/>
            </w:tcBorders>
          </w:tcPr>
          <w:p>
            <w:pPr/>
          </w:p>
        </w:tc>
      </w:tr>
      <w:tr>
        <w:trPr>
          <w:trHeight w:val="387" w:hRule="exact"/>
        </w:trPr>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8" w:right="0"/>
              <w:jc w:val="center"/>
              <w:rPr>
                <w:rFonts w:ascii="宋体" w:hAnsi="宋体" w:cs="宋体" w:eastAsia="宋体" w:hint="default"/>
                <w:sz w:val="21"/>
                <w:szCs w:val="21"/>
              </w:rPr>
            </w:pPr>
            <w:r>
              <w:rPr>
                <w:rFonts w:ascii="宋体" w:hAnsi="宋体" w:cs="宋体" w:eastAsia="宋体" w:hint="default"/>
                <w:b/>
                <w:bCs/>
                <w:sz w:val="21"/>
                <w:szCs w:val="21"/>
              </w:rPr>
              <w:t>股份总数</w:t>
            </w:r>
            <w:r>
              <w:rPr>
                <w:rFonts w:ascii="宋体" w:hAnsi="宋体" w:cs="宋体" w:eastAsia="宋体" w:hint="default"/>
                <w:sz w:val="21"/>
                <w:szCs w:val="21"/>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7" w:right="0"/>
              <w:jc w:val="center"/>
              <w:rPr>
                <w:rFonts w:ascii="Arial Narrow" w:hAnsi="Arial Narrow" w:cs="Arial Narrow" w:eastAsia="Arial Narrow" w:hint="default"/>
                <w:sz w:val="21"/>
                <w:szCs w:val="21"/>
              </w:rPr>
            </w:pPr>
            <w:r>
              <w:rPr>
                <w:rFonts w:ascii="Arial Narrow"/>
                <w:sz w:val="21"/>
              </w:rPr>
              <w:t>75,000,000.00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41" w:right="0"/>
              <w:jc w:val="center"/>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868"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537" w:right="0"/>
              <w:jc w:val="lef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90" w:right="0"/>
              <w:jc w:val="left"/>
              <w:rPr>
                <w:rFonts w:ascii="Arial Narrow" w:hAnsi="Arial Narrow" w:cs="Arial Narrow" w:eastAsia="Arial Narrow" w:hint="default"/>
                <w:sz w:val="21"/>
                <w:szCs w:val="21"/>
              </w:rPr>
            </w:pPr>
            <w:r>
              <w:rPr>
                <w:rFonts w:ascii="Arial Narrow"/>
                <w:sz w:val="21"/>
              </w:rPr>
              <w:t>45,000,000.00</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0"/>
              <w:jc w:val="center"/>
              <w:rPr>
                <w:rFonts w:ascii="Arial Narrow" w:hAnsi="Arial Narrow" w:cs="Arial Narrow" w:eastAsia="Arial Narrow" w:hint="default"/>
                <w:sz w:val="21"/>
                <w:szCs w:val="21"/>
              </w:rPr>
            </w:pPr>
            <w:r>
              <w:rPr>
                <w:rFonts w:ascii="Arial Narrow"/>
                <w:w w:val="100"/>
                <w:sz w:val="21"/>
              </w:rPr>
              <w:t>-</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1" w:right="0"/>
              <w:jc w:val="center"/>
              <w:rPr>
                <w:rFonts w:ascii="Arial Narrow" w:hAnsi="Arial Narrow" w:cs="Arial Narrow" w:eastAsia="Arial Narrow" w:hint="default"/>
                <w:sz w:val="21"/>
                <w:szCs w:val="21"/>
              </w:rPr>
            </w:pPr>
            <w:r>
              <w:rPr>
                <w:rFonts w:ascii="Arial Narrow"/>
                <w:sz w:val="21"/>
              </w:rPr>
              <w:t>45,000,000.00</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128" w:right="0"/>
              <w:jc w:val="left"/>
              <w:rPr>
                <w:rFonts w:ascii="Arial Narrow" w:hAnsi="Arial Narrow" w:cs="Arial Narrow" w:eastAsia="Arial Narrow" w:hint="default"/>
                <w:sz w:val="21"/>
                <w:szCs w:val="21"/>
              </w:rPr>
            </w:pPr>
            <w:r>
              <w:rPr>
                <w:rFonts w:ascii="Arial Narrow"/>
                <w:sz w:val="21"/>
              </w:rPr>
              <w:t>120,000,000.00</w:t>
            </w:r>
          </w:p>
        </w:tc>
      </w:tr>
    </w:tbl>
    <w:p>
      <w:pPr>
        <w:spacing w:line="240" w:lineRule="auto" w:before="5"/>
        <w:rPr>
          <w:rFonts w:ascii="宋体" w:hAnsi="宋体" w:cs="宋体" w:eastAsia="宋体" w:hint="default"/>
          <w:sz w:val="22"/>
          <w:szCs w:val="22"/>
        </w:rPr>
      </w:pPr>
    </w:p>
    <w:p>
      <w:pPr>
        <w:pStyle w:val="BodyText"/>
        <w:spacing w:line="321" w:lineRule="exact" w:before="26"/>
        <w:ind w:left="562" w:right="0"/>
        <w:jc w:val="left"/>
        <w:rPr>
          <w:rFonts w:ascii="Arial Narrow" w:hAnsi="Arial Narrow" w:cs="Arial Narrow" w:eastAsia="Arial Narrow" w:hint="default"/>
        </w:rPr>
      </w:pPr>
      <w:r>
        <w:rPr/>
        <w:pict>
          <v:group style="position:absolute;margin-left:62.664001pt;margin-top:-96.284378pt;width:477.25pt;height:.1pt;mso-position-horizontal-relative:page;mso-position-vertical-relative:paragraph;z-index:-764656" coordorigin="1253,-1926" coordsize="9545,2">
            <v:shape style="position:absolute;left:1253;top:-1926;width:9545;height:2" coordorigin="1253,-1926" coordsize="9545,0" path="m1253,-1926l10798,-1926e" filled="false" stroked="true" strokeweight=".72pt" strokecolor="#000000">
              <v:path arrowok="t"/>
            </v:shape>
            <w10:wrap type="none"/>
          </v:group>
        </w:pict>
      </w:r>
      <w:r>
        <w:rPr/>
        <w:t>说明</w:t>
      </w:r>
      <w:r>
        <w:rPr>
          <w:spacing w:val="-108"/>
        </w:rPr>
        <w:t>：</w:t>
      </w:r>
      <w:r>
        <w:rPr/>
        <w:t>本公司第一届董事会第十八次会议批准公司以</w:t>
      </w:r>
      <w:r>
        <w:rPr>
          <w:spacing w:val="-60"/>
        </w:rPr>
        <w:t> </w:t>
      </w:r>
      <w:r>
        <w:rPr>
          <w:rFonts w:ascii="Arial Narrow" w:hAnsi="Arial Narrow" w:cs="Arial Narrow" w:eastAsia="Arial Narrow" w:hint="default"/>
        </w:rPr>
        <w:t>20</w:t>
      </w:r>
      <w:r>
        <w:rPr>
          <w:rFonts w:ascii="Arial Narrow" w:hAnsi="Arial Narrow" w:cs="Arial Narrow" w:eastAsia="Arial Narrow" w:hint="default"/>
          <w:spacing w:val="-2"/>
        </w:rPr>
        <w:t>1</w:t>
      </w:r>
      <w:r>
        <w:rPr>
          <w:rFonts w:ascii="Arial Narrow" w:hAnsi="Arial Narrow" w:cs="Arial Narrow" w:eastAsia="Arial Narrow" w:hint="default"/>
        </w:rPr>
        <w:t>0</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6"/>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3"/>
        </w:rPr>
        <w:t> </w:t>
      </w:r>
      <w:r>
        <w:rPr/>
        <w:t>日公司总股数</w:t>
      </w:r>
      <w:r>
        <w:rPr>
          <w:spacing w:val="-60"/>
        </w:rPr>
        <w:t> </w:t>
      </w:r>
      <w:r>
        <w:rPr>
          <w:rFonts w:ascii="Arial Narrow" w:hAnsi="Arial Narrow" w:cs="Arial Narrow" w:eastAsia="Arial Narrow" w:hint="default"/>
        </w:rPr>
        <w:t>75</w:t>
      </w:r>
      <w:r>
        <w:rPr>
          <w:rFonts w:ascii="Arial Narrow" w:hAnsi="Arial Narrow" w:cs="Arial Narrow" w:eastAsia="Arial Narrow" w:hint="default"/>
          <w:spacing w:val="-2"/>
        </w:rPr>
        <w:t>0</w:t>
      </w:r>
      <w:r>
        <w:rPr>
          <w:rFonts w:ascii="Arial Narrow" w:hAnsi="Arial Narrow" w:cs="Arial Narrow" w:eastAsia="Arial Narrow" w:hint="default"/>
        </w:rPr>
        <w:t>0</w:t>
      </w:r>
    </w:p>
    <w:p>
      <w:pPr>
        <w:pStyle w:val="BodyText"/>
        <w:spacing w:line="311" w:lineRule="exact"/>
        <w:ind w:left="562" w:right="0"/>
        <w:jc w:val="left"/>
      </w:pPr>
      <w:r>
        <w:rPr/>
        <w:t>万股为基数，以资本公积金向全体股东每</w:t>
      </w:r>
      <w:r>
        <w:rPr>
          <w:spacing w:val="-66"/>
        </w:rPr>
        <w:t> </w:t>
      </w:r>
      <w:r>
        <w:rPr>
          <w:rFonts w:ascii="Arial Narrow" w:hAnsi="Arial Narrow" w:cs="Arial Narrow" w:eastAsia="Arial Narrow" w:hint="default"/>
        </w:rPr>
        <w:t>10</w:t>
      </w:r>
      <w:r>
        <w:rPr>
          <w:rFonts w:ascii="Arial Narrow" w:hAnsi="Arial Narrow" w:cs="Arial Narrow" w:eastAsia="Arial Narrow" w:hint="default"/>
          <w:spacing w:val="-3"/>
        </w:rPr>
        <w:t> </w:t>
      </w:r>
      <w:r>
        <w:rPr/>
        <w:t>股转增</w:t>
      </w:r>
      <w:r>
        <w:rPr>
          <w:spacing w:val="-66"/>
        </w:rPr>
        <w:t> </w:t>
      </w:r>
      <w:r>
        <w:rPr>
          <w:rFonts w:ascii="Arial Narrow" w:hAnsi="Arial Narrow" w:cs="Arial Narrow" w:eastAsia="Arial Narrow" w:hint="default"/>
        </w:rPr>
        <w:t>6 </w:t>
      </w:r>
      <w:r>
        <w:rPr>
          <w:spacing w:val="-6"/>
        </w:rPr>
        <w:t>股，合计转增</w:t>
      </w:r>
      <w:r>
        <w:rPr>
          <w:spacing w:val="-66"/>
        </w:rPr>
        <w:t> </w:t>
      </w:r>
      <w:r>
        <w:rPr>
          <w:rFonts w:ascii="Arial Narrow" w:hAnsi="Arial Narrow" w:cs="Arial Narrow" w:eastAsia="Arial Narrow" w:hint="default"/>
        </w:rPr>
        <w:t>4500 </w:t>
      </w:r>
      <w:r>
        <w:rPr>
          <w:spacing w:val="-5"/>
        </w:rPr>
        <w:t>万股。转增后，</w:t>
      </w:r>
    </w:p>
    <w:p>
      <w:pPr>
        <w:pStyle w:val="BodyText"/>
        <w:spacing w:line="320" w:lineRule="exact"/>
        <w:ind w:left="562" w:right="0"/>
        <w:jc w:val="left"/>
      </w:pPr>
      <w:r>
        <w:rPr/>
        <w:t>公司总股数为</w:t>
      </w:r>
      <w:r>
        <w:rPr>
          <w:spacing w:val="-63"/>
        </w:rPr>
        <w:t> </w:t>
      </w:r>
      <w:r>
        <w:rPr>
          <w:rFonts w:ascii="Arial Narrow" w:hAnsi="Arial Narrow" w:cs="Arial Narrow" w:eastAsia="Arial Narrow" w:hint="default"/>
        </w:rPr>
        <w:t>12,000</w:t>
      </w:r>
      <w:r>
        <w:rPr>
          <w:rFonts w:ascii="Arial Narrow" w:hAnsi="Arial Narrow" w:cs="Arial Narrow" w:eastAsia="Arial Narrow" w:hint="default"/>
          <w:spacing w:val="4"/>
        </w:rPr>
        <w:t> </w:t>
      </w:r>
      <w:r>
        <w:rPr/>
        <w:t>万股。</w:t>
      </w:r>
    </w:p>
    <w:p>
      <w:pPr>
        <w:pStyle w:val="BodyText"/>
        <w:spacing w:line="240" w:lineRule="auto" w:before="197"/>
        <w:ind w:left="142" w:right="0"/>
        <w:jc w:val="left"/>
      </w:pPr>
      <w:r>
        <w:rPr>
          <w:rFonts w:ascii="Arial Narrow" w:hAnsi="Arial Narrow" w:cs="Arial Narrow" w:eastAsia="Arial Narrow" w:hint="default"/>
        </w:rPr>
        <w:t>30</w:t>
      </w:r>
      <w:r>
        <w:rPr/>
        <w:t>、资本公积</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1863"/>
        <w:gridCol w:w="2103"/>
        <w:gridCol w:w="1772"/>
        <w:gridCol w:w="1773"/>
        <w:gridCol w:w="1626"/>
      </w:tblGrid>
      <w:tr>
        <w:trPr>
          <w:trHeight w:val="391" w:hRule="exact"/>
        </w:trPr>
        <w:tc>
          <w:tcPr>
            <w:tcW w:w="1863"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07" w:lineRule="exact"/>
              <w:ind w:left="26"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103"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336"/>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1772"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82"/>
              <w:jc w:val="righ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773"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28"/>
              <w:jc w:val="righ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626"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7"/>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r>
      <w:tr>
        <w:trPr>
          <w:trHeight w:val="395" w:hRule="exact"/>
        </w:trPr>
        <w:tc>
          <w:tcPr>
            <w:tcW w:w="1863" w:type="dxa"/>
            <w:tcBorders>
              <w:top w:val="single" w:sz="4" w:space="0" w:color="000000"/>
              <w:left w:val="nil" w:sz="6" w:space="0" w:color="auto"/>
              <w:bottom w:val="nil" w:sz="6" w:space="0" w:color="auto"/>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股本溢价</w:t>
            </w: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336"/>
              <w:jc w:val="right"/>
              <w:rPr>
                <w:rFonts w:ascii="Arial Narrow" w:hAnsi="Arial Narrow" w:cs="Arial Narrow" w:eastAsia="Arial Narrow" w:hint="default"/>
                <w:sz w:val="24"/>
                <w:szCs w:val="24"/>
              </w:rPr>
            </w:pPr>
            <w:r>
              <w:rPr>
                <w:rFonts w:ascii="Arial Narrow"/>
                <w:spacing w:val="-1"/>
                <w:sz w:val="24"/>
              </w:rPr>
              <w:t>352,160,195.83</w:t>
            </w: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80"/>
              <w:jc w:val="right"/>
              <w:rPr>
                <w:rFonts w:ascii="Arial Narrow" w:hAnsi="Arial Narrow" w:cs="Arial Narrow" w:eastAsia="Arial Narrow" w:hint="default"/>
                <w:sz w:val="24"/>
                <w:szCs w:val="24"/>
              </w:rPr>
            </w:pPr>
            <w:r>
              <w:rPr>
                <w:rFonts w:ascii="Arial Narrow"/>
                <w:sz w:val="24"/>
              </w:rPr>
              <w:t>-</w:t>
            </w:r>
          </w:p>
        </w:tc>
        <w:tc>
          <w:tcPr>
            <w:tcW w:w="177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28"/>
              <w:jc w:val="right"/>
              <w:rPr>
                <w:rFonts w:ascii="Arial Narrow" w:hAnsi="Arial Narrow" w:cs="Arial Narrow" w:eastAsia="Arial Narrow" w:hint="default"/>
                <w:sz w:val="24"/>
                <w:szCs w:val="24"/>
              </w:rPr>
            </w:pPr>
            <w:r>
              <w:rPr>
                <w:rFonts w:ascii="Arial Narrow"/>
                <w:spacing w:val="-1"/>
                <w:sz w:val="24"/>
              </w:rPr>
              <w:t>45,000,000.00</w:t>
            </w: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spacing w:val="-1"/>
                <w:sz w:val="24"/>
              </w:rPr>
              <w:t>307,160,195.83</w:t>
            </w:r>
          </w:p>
        </w:tc>
      </w:tr>
      <w:tr>
        <w:trPr>
          <w:trHeight w:val="399" w:hRule="exact"/>
        </w:trPr>
        <w:tc>
          <w:tcPr>
            <w:tcW w:w="1863"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210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336"/>
              <w:jc w:val="right"/>
              <w:rPr>
                <w:rFonts w:ascii="Arial Narrow" w:hAnsi="Arial Narrow" w:cs="Arial Narrow" w:eastAsia="Arial Narrow" w:hint="default"/>
                <w:sz w:val="24"/>
                <w:szCs w:val="24"/>
              </w:rPr>
            </w:pPr>
            <w:r>
              <w:rPr>
                <w:rFonts w:ascii="Arial Narrow"/>
                <w:spacing w:val="-1"/>
                <w:sz w:val="24"/>
              </w:rPr>
              <w:t>2,278,500.00</w:t>
            </w: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81"/>
              <w:jc w:val="right"/>
              <w:rPr>
                <w:rFonts w:ascii="Arial Narrow" w:hAnsi="Arial Narrow" w:cs="Arial Narrow" w:eastAsia="Arial Narrow" w:hint="default"/>
                <w:sz w:val="24"/>
                <w:szCs w:val="24"/>
              </w:rPr>
            </w:pPr>
            <w:r>
              <w:rPr>
                <w:rFonts w:ascii="Arial Narrow"/>
                <w:spacing w:val="-1"/>
                <w:sz w:val="24"/>
              </w:rPr>
              <w:t>3,442,138.29</w:t>
            </w:r>
          </w:p>
        </w:tc>
        <w:tc>
          <w:tcPr>
            <w:tcW w:w="177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26"/>
              <w:jc w:val="right"/>
              <w:rPr>
                <w:rFonts w:ascii="Arial Narrow" w:hAnsi="Arial Narrow" w:cs="Arial Narrow" w:eastAsia="Arial Narrow" w:hint="default"/>
                <w:sz w:val="24"/>
                <w:szCs w:val="24"/>
              </w:rPr>
            </w:pPr>
            <w:r>
              <w:rPr>
                <w:rFonts w:ascii="Arial Narrow"/>
                <w:sz w:val="24"/>
              </w:rPr>
              <w:t>-</w:t>
            </w:r>
          </w:p>
        </w:tc>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5,720,638.29</w:t>
            </w:r>
          </w:p>
        </w:tc>
      </w:tr>
      <w:tr>
        <w:trPr>
          <w:trHeight w:val="403" w:hRule="exact"/>
        </w:trPr>
        <w:tc>
          <w:tcPr>
            <w:tcW w:w="1863"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12" w:lineRule="exact"/>
              <w:ind w:left="26"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10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336"/>
              <w:jc w:val="right"/>
              <w:rPr>
                <w:rFonts w:ascii="Arial Narrow" w:hAnsi="Arial Narrow" w:cs="Arial Narrow" w:eastAsia="Arial Narrow" w:hint="default"/>
                <w:sz w:val="24"/>
                <w:szCs w:val="24"/>
              </w:rPr>
            </w:pPr>
            <w:r>
              <w:rPr>
                <w:rFonts w:ascii="Arial Narrow"/>
                <w:b/>
                <w:spacing w:val="-1"/>
                <w:sz w:val="24"/>
              </w:rPr>
              <w:t>354,438,695.83</w:t>
            </w:r>
            <w:r>
              <w:rPr>
                <w:rFonts w:ascii="Arial Narrow"/>
                <w:spacing w:val="-1"/>
                <w:sz w:val="24"/>
              </w:rPr>
            </w:r>
          </w:p>
        </w:tc>
        <w:tc>
          <w:tcPr>
            <w:tcW w:w="1772"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81"/>
              <w:jc w:val="right"/>
              <w:rPr>
                <w:rFonts w:ascii="Arial Narrow" w:hAnsi="Arial Narrow" w:cs="Arial Narrow" w:eastAsia="Arial Narrow" w:hint="default"/>
                <w:sz w:val="24"/>
                <w:szCs w:val="24"/>
              </w:rPr>
            </w:pPr>
            <w:r>
              <w:rPr>
                <w:rFonts w:ascii="Arial Narrow"/>
                <w:b/>
                <w:spacing w:val="-1"/>
                <w:sz w:val="24"/>
              </w:rPr>
              <w:t>3,442,138.29</w:t>
            </w:r>
            <w:r>
              <w:rPr>
                <w:rFonts w:ascii="Arial Narrow"/>
                <w:spacing w:val="-1"/>
                <w:sz w:val="24"/>
              </w:rPr>
            </w:r>
          </w:p>
        </w:tc>
        <w:tc>
          <w:tcPr>
            <w:tcW w:w="177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28"/>
              <w:jc w:val="right"/>
              <w:rPr>
                <w:rFonts w:ascii="Arial Narrow" w:hAnsi="Arial Narrow" w:cs="Arial Narrow" w:eastAsia="Arial Narrow" w:hint="default"/>
                <w:sz w:val="24"/>
                <w:szCs w:val="24"/>
              </w:rPr>
            </w:pPr>
            <w:r>
              <w:rPr>
                <w:rFonts w:ascii="Arial Narrow"/>
                <w:b/>
                <w:spacing w:val="-1"/>
                <w:sz w:val="24"/>
              </w:rPr>
              <w:t>45,000,000.00</w:t>
            </w:r>
            <w:r>
              <w:rPr>
                <w:rFonts w:ascii="Arial Narrow"/>
                <w:spacing w:val="-1"/>
                <w:sz w:val="24"/>
              </w:rPr>
            </w:r>
          </w:p>
        </w:tc>
        <w:tc>
          <w:tcPr>
            <w:tcW w:w="162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b/>
                <w:spacing w:val="-1"/>
                <w:sz w:val="24"/>
              </w:rPr>
              <w:t>312,880,834.12</w:t>
            </w:r>
            <w:r>
              <w:rPr>
                <w:rFonts w:ascii="Arial Narrow"/>
                <w:spacing w:val="-1"/>
                <w:sz w:val="24"/>
              </w:rPr>
            </w:r>
          </w:p>
        </w:tc>
      </w:tr>
    </w:tbl>
    <w:p>
      <w:pPr>
        <w:pStyle w:val="BodyText"/>
        <w:spacing w:line="240" w:lineRule="auto" w:before="79"/>
        <w:ind w:left="562" w:right="0"/>
        <w:jc w:val="both"/>
      </w:pPr>
      <w:r>
        <w:rPr/>
        <w:t>说明：</w:t>
      </w:r>
    </w:p>
    <w:p>
      <w:pPr>
        <w:pStyle w:val="BodyText"/>
        <w:spacing w:line="321" w:lineRule="exact" w:before="212"/>
        <w:ind w:left="562" w:right="0"/>
        <w:jc w:val="both"/>
      </w:pPr>
      <w:r>
        <w:rPr>
          <w:spacing w:val="-4"/>
        </w:rPr>
        <w:t>（</w:t>
      </w:r>
      <w:r>
        <w:rPr>
          <w:rFonts w:ascii="Arial Narrow" w:hAnsi="Arial Narrow" w:cs="Arial Narrow" w:eastAsia="Arial Narrow" w:hint="default"/>
          <w:spacing w:val="-4"/>
        </w:rPr>
        <w:t>1</w:t>
      </w:r>
      <w:r>
        <w:rPr>
          <w:spacing w:val="-4"/>
        </w:rPr>
        <w:t>）股本溢价为公积金转增股本</w:t>
      </w:r>
      <w:r>
        <w:rPr>
          <w:spacing w:val="-60"/>
        </w:rPr>
        <w:t> </w:t>
      </w:r>
      <w:r>
        <w:rPr>
          <w:rFonts w:ascii="Arial Narrow" w:hAnsi="Arial Narrow" w:cs="Arial Narrow" w:eastAsia="Arial Narrow" w:hint="default"/>
        </w:rPr>
        <w:t>45,000,000.00</w:t>
      </w:r>
      <w:r>
        <w:rPr>
          <w:rFonts w:ascii="Arial Narrow" w:hAnsi="Arial Narrow" w:cs="Arial Narrow" w:eastAsia="Arial Narrow" w:hint="default"/>
          <w:spacing w:val="8"/>
        </w:rPr>
        <w:t> </w:t>
      </w:r>
      <w:r>
        <w:rPr>
          <w:spacing w:val="-3"/>
        </w:rPr>
        <w:t>元。本公司第一届董事会第十八次会议批</w:t>
      </w:r>
    </w:p>
    <w:p>
      <w:pPr>
        <w:pStyle w:val="BodyText"/>
        <w:spacing w:line="312" w:lineRule="exact"/>
        <w:ind w:left="562" w:right="0"/>
        <w:jc w:val="both"/>
      </w:pPr>
      <w:r>
        <w:rPr/>
        <w:t>准公司以</w:t>
      </w:r>
      <w:r>
        <w:rPr>
          <w:spacing w:val="-52"/>
        </w:rPr>
        <w:t> </w:t>
      </w:r>
      <w:r>
        <w:rPr>
          <w:rFonts w:ascii="Arial Narrow" w:hAnsi="Arial Narrow" w:cs="Arial Narrow" w:eastAsia="Arial Narrow" w:hint="default"/>
        </w:rPr>
        <w:t>2010</w:t>
      </w:r>
      <w:r>
        <w:rPr>
          <w:rFonts w:ascii="Arial Narrow" w:hAnsi="Arial Narrow" w:cs="Arial Narrow" w:eastAsia="Arial Narrow" w:hint="default"/>
          <w:spacing w:val="15"/>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13"/>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14"/>
        </w:rPr>
        <w:t> </w:t>
      </w:r>
      <w:r>
        <w:rPr/>
        <w:t>日公司总股数</w:t>
      </w:r>
      <w:r>
        <w:rPr>
          <w:spacing w:val="-54"/>
        </w:rPr>
        <w:t> </w:t>
      </w:r>
      <w:r>
        <w:rPr>
          <w:rFonts w:ascii="Arial Narrow" w:hAnsi="Arial Narrow" w:cs="Arial Narrow" w:eastAsia="Arial Narrow" w:hint="default"/>
        </w:rPr>
        <w:t>7500</w:t>
      </w:r>
      <w:r>
        <w:rPr>
          <w:rFonts w:ascii="Arial Narrow" w:hAnsi="Arial Narrow" w:cs="Arial Narrow" w:eastAsia="Arial Narrow" w:hint="default"/>
          <w:spacing w:val="12"/>
        </w:rPr>
        <w:t> </w:t>
      </w:r>
      <w:r>
        <w:rPr/>
        <w:t>万股为基数，以资本公积金向全体股东每</w:t>
      </w:r>
    </w:p>
    <w:p>
      <w:pPr>
        <w:pStyle w:val="BodyText"/>
        <w:spacing w:line="321" w:lineRule="exact"/>
        <w:ind w:left="562" w:right="0"/>
        <w:jc w:val="both"/>
      </w:pPr>
      <w:r>
        <w:rPr>
          <w:rFonts w:ascii="Arial Narrow" w:hAnsi="Arial Narrow" w:cs="Arial Narrow" w:eastAsia="Arial Narrow" w:hint="default"/>
        </w:rPr>
        <w:t>10</w:t>
      </w:r>
      <w:r>
        <w:rPr>
          <w:rFonts w:ascii="Arial Narrow" w:hAnsi="Arial Narrow" w:cs="Arial Narrow" w:eastAsia="Arial Narrow" w:hint="default"/>
          <w:spacing w:val="4"/>
        </w:rPr>
        <w:t> </w:t>
      </w:r>
      <w:r>
        <w:rPr/>
        <w:t>股转增</w:t>
      </w:r>
      <w:r>
        <w:rPr>
          <w:spacing w:val="-63"/>
        </w:rPr>
        <w:t> </w:t>
      </w:r>
      <w:r>
        <w:rPr>
          <w:rFonts w:ascii="Arial Narrow" w:hAnsi="Arial Narrow" w:cs="Arial Narrow" w:eastAsia="Arial Narrow" w:hint="default"/>
        </w:rPr>
        <w:t>6</w:t>
      </w:r>
      <w:r>
        <w:rPr>
          <w:rFonts w:ascii="Arial Narrow" w:hAnsi="Arial Narrow" w:cs="Arial Narrow" w:eastAsia="Arial Narrow" w:hint="default"/>
          <w:spacing w:val="4"/>
        </w:rPr>
        <w:t> </w:t>
      </w:r>
      <w:r>
        <w:rPr/>
        <w:t>股，合计转增</w:t>
      </w:r>
      <w:r>
        <w:rPr>
          <w:spacing w:val="-62"/>
        </w:rPr>
        <w:t> </w:t>
      </w:r>
      <w:r>
        <w:rPr>
          <w:rFonts w:ascii="Arial Narrow" w:hAnsi="Arial Narrow" w:cs="Arial Narrow" w:eastAsia="Arial Narrow" w:hint="default"/>
        </w:rPr>
        <w:t>4500</w:t>
      </w:r>
      <w:r>
        <w:rPr>
          <w:rFonts w:ascii="Arial Narrow" w:hAnsi="Arial Narrow" w:cs="Arial Narrow" w:eastAsia="Arial Narrow" w:hint="default"/>
          <w:spacing w:val="4"/>
        </w:rPr>
        <w:t> </w:t>
      </w:r>
      <w:r>
        <w:rPr/>
        <w:t>万股。转增后，公司总股数为</w:t>
      </w:r>
      <w:r>
        <w:rPr>
          <w:spacing w:val="-62"/>
        </w:rPr>
        <w:t> </w:t>
      </w:r>
      <w:r>
        <w:rPr>
          <w:rFonts w:ascii="Arial Narrow" w:hAnsi="Arial Narrow" w:cs="Arial Narrow" w:eastAsia="Arial Narrow" w:hint="default"/>
        </w:rPr>
        <w:t>12,000</w:t>
      </w:r>
      <w:r>
        <w:rPr>
          <w:rFonts w:ascii="Arial Narrow" w:hAnsi="Arial Narrow" w:cs="Arial Narrow" w:eastAsia="Arial Narrow" w:hint="default"/>
          <w:spacing w:val="3"/>
        </w:rPr>
        <w:t> </w:t>
      </w:r>
      <w:r>
        <w:rPr/>
        <w:t>万股。</w:t>
      </w:r>
    </w:p>
    <w:p>
      <w:pPr>
        <w:pStyle w:val="BodyText"/>
        <w:spacing w:line="225" w:lineRule="auto" w:before="211"/>
        <w:ind w:left="562" w:right="224"/>
        <w:jc w:val="both"/>
      </w:pPr>
      <w:r>
        <w:rPr>
          <w:spacing w:val="-5"/>
        </w:rPr>
        <w:t>（</w:t>
      </w:r>
      <w:r>
        <w:rPr>
          <w:rFonts w:ascii="Arial Narrow" w:hAnsi="Arial Narrow" w:cs="Arial Narrow" w:eastAsia="Arial Narrow" w:hint="default"/>
          <w:spacing w:val="-5"/>
        </w:rPr>
        <w:t>2</w:t>
      </w:r>
      <w:r>
        <w:rPr>
          <w:spacing w:val="-5"/>
        </w:rPr>
        <w:t>）其他资本公积本年增加：其中</w:t>
      </w:r>
      <w:r>
        <w:rPr>
          <w:spacing w:val="-60"/>
        </w:rPr>
        <w:t> </w:t>
      </w:r>
      <w:r>
        <w:rPr>
          <w:rFonts w:ascii="Arial Narrow" w:hAnsi="Arial Narrow" w:cs="Arial Narrow" w:eastAsia="Arial Narrow" w:hint="default"/>
        </w:rPr>
        <w:t>275,700.00</w:t>
      </w:r>
      <w:r>
        <w:rPr>
          <w:rFonts w:ascii="Arial Narrow" w:hAnsi="Arial Narrow" w:cs="Arial Narrow" w:eastAsia="Arial Narrow" w:hint="default"/>
          <w:spacing w:val="7"/>
        </w:rPr>
        <w:t> </w:t>
      </w:r>
      <w:r>
        <w:rPr/>
        <w:t>元系收到的北京市高新技术成果转化服务 </w:t>
      </w:r>
      <w:r>
        <w:rPr>
          <w:spacing w:val="-2"/>
        </w:rPr>
        <w:t>中心资助款，根据拨款单位对会计处理的限定计入资本公积科目；</w:t>
      </w:r>
      <w:r>
        <w:rPr>
          <w:rFonts w:ascii="Arial Narrow" w:hAnsi="Arial Narrow" w:cs="Arial Narrow" w:eastAsia="Arial Narrow" w:hint="default"/>
          <w:spacing w:val="-2"/>
        </w:rPr>
        <w:t>2,984,678.29</w:t>
      </w:r>
      <w:r>
        <w:rPr>
          <w:rFonts w:ascii="Arial Narrow" w:hAnsi="Arial Narrow" w:cs="Arial Narrow" w:eastAsia="Arial Narrow" w:hint="default"/>
          <w:spacing w:val="20"/>
        </w:rPr>
        <w:t> </w:t>
      </w:r>
      <w:r>
        <w:rPr/>
        <w:t>元系股权</w:t>
      </w:r>
      <w:r>
        <w:rPr>
          <w:spacing w:val="-118"/>
        </w:rPr>
        <w:t> </w:t>
      </w:r>
      <w:r>
        <w:rPr/>
        <w:t>激励摊销；</w:t>
      </w:r>
      <w:r>
        <w:rPr>
          <w:spacing w:val="-81"/>
        </w:rPr>
        <w:t> </w:t>
      </w:r>
      <w:r>
        <w:rPr>
          <w:rFonts w:ascii="Arial Narrow" w:hAnsi="Arial Narrow" w:cs="Arial Narrow" w:eastAsia="Arial Narrow" w:hint="default"/>
        </w:rPr>
        <w:t>181,760.00</w:t>
      </w:r>
      <w:r>
        <w:rPr>
          <w:rFonts w:ascii="Arial Narrow" w:hAnsi="Arial Narrow" w:cs="Arial Narrow" w:eastAsia="Arial Narrow" w:hint="default"/>
          <w:spacing w:val="7"/>
        </w:rPr>
        <w:t> </w:t>
      </w:r>
      <w:r>
        <w:rPr/>
        <w:t>元系按照持股比例计算应享有联营企业除净损益以外其他因素导 致的所有者权益变动的份额。</w:t>
      </w:r>
    </w:p>
    <w:p>
      <w:pPr>
        <w:pStyle w:val="BodyText"/>
        <w:spacing w:line="240" w:lineRule="auto" w:before="216"/>
        <w:ind w:left="124" w:right="8276"/>
        <w:jc w:val="center"/>
      </w:pPr>
      <w:r>
        <w:rPr>
          <w:rFonts w:ascii="Arial Narrow" w:hAnsi="Arial Narrow" w:cs="Arial Narrow" w:eastAsia="Arial Narrow" w:hint="default"/>
        </w:rPr>
        <w:t>31</w:t>
      </w:r>
      <w:r>
        <w:rPr/>
        <w:t>、盈余公积</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1972"/>
        <w:gridCol w:w="1912"/>
        <w:gridCol w:w="1920"/>
        <w:gridCol w:w="1681"/>
        <w:gridCol w:w="1651"/>
      </w:tblGrid>
      <w:tr>
        <w:trPr>
          <w:trHeight w:val="392" w:hRule="exact"/>
        </w:trPr>
        <w:tc>
          <w:tcPr>
            <w:tcW w:w="1972"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8"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912"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336"/>
              <w:jc w:val="right"/>
              <w:rPr>
                <w:rFonts w:ascii="宋体" w:hAnsi="宋体" w:cs="宋体" w:eastAsia="宋体" w:hint="default"/>
                <w:sz w:val="24"/>
                <w:szCs w:val="24"/>
              </w:rPr>
            </w:pPr>
            <w:r>
              <w:rPr>
                <w:rFonts w:ascii="宋体" w:hAnsi="宋体" w:cs="宋体" w:eastAsia="宋体" w:hint="default"/>
                <w:b/>
                <w:bCs/>
                <w:w w:val="95"/>
                <w:sz w:val="24"/>
                <w:szCs w:val="24"/>
              </w:rPr>
              <w:t>期初数</w:t>
            </w:r>
            <w:r>
              <w:rPr>
                <w:rFonts w:ascii="宋体" w:hAnsi="宋体" w:cs="宋体" w:eastAsia="宋体" w:hint="default"/>
                <w:sz w:val="24"/>
                <w:szCs w:val="24"/>
              </w:rPr>
            </w:r>
          </w:p>
        </w:tc>
        <w:tc>
          <w:tcPr>
            <w:tcW w:w="1920"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430"/>
              <w:jc w:val="right"/>
              <w:rPr>
                <w:rFonts w:ascii="宋体" w:hAnsi="宋体" w:cs="宋体" w:eastAsia="宋体" w:hint="default"/>
                <w:sz w:val="24"/>
                <w:szCs w:val="24"/>
              </w:rPr>
            </w:pPr>
            <w:r>
              <w:rPr>
                <w:rFonts w:ascii="宋体" w:hAnsi="宋体" w:cs="宋体" w:eastAsia="宋体" w:hint="default"/>
                <w:b/>
                <w:bCs/>
                <w:sz w:val="24"/>
                <w:szCs w:val="24"/>
              </w:rPr>
              <w:t>本期增加</w:t>
            </w:r>
            <w:r>
              <w:rPr>
                <w:rFonts w:ascii="宋体" w:hAnsi="宋体" w:cs="宋体" w:eastAsia="宋体" w:hint="default"/>
                <w:sz w:val="24"/>
                <w:szCs w:val="24"/>
              </w:rPr>
            </w:r>
          </w:p>
        </w:tc>
        <w:tc>
          <w:tcPr>
            <w:tcW w:w="1681"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282"/>
              <w:jc w:val="right"/>
              <w:rPr>
                <w:rFonts w:ascii="宋体" w:hAnsi="宋体" w:cs="宋体" w:eastAsia="宋体" w:hint="default"/>
                <w:sz w:val="24"/>
                <w:szCs w:val="24"/>
              </w:rPr>
            </w:pPr>
            <w:r>
              <w:rPr>
                <w:rFonts w:ascii="宋体" w:hAnsi="宋体" w:cs="宋体" w:eastAsia="宋体" w:hint="default"/>
                <w:b/>
                <w:bCs/>
                <w:sz w:val="24"/>
                <w:szCs w:val="24"/>
              </w:rPr>
              <w:t>本期减少</w:t>
            </w:r>
            <w:r>
              <w:rPr>
                <w:rFonts w:ascii="宋体" w:hAnsi="宋体" w:cs="宋体" w:eastAsia="宋体" w:hint="default"/>
                <w:sz w:val="24"/>
                <w:szCs w:val="24"/>
              </w:rPr>
            </w:r>
          </w:p>
        </w:tc>
        <w:tc>
          <w:tcPr>
            <w:tcW w:w="1651"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106"/>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r>
      <w:tr>
        <w:trPr>
          <w:trHeight w:val="403" w:hRule="exact"/>
        </w:trPr>
        <w:tc>
          <w:tcPr>
            <w:tcW w:w="1972"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191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36"/>
              <w:jc w:val="right"/>
              <w:rPr>
                <w:rFonts w:ascii="Arial Narrow" w:hAnsi="Arial Narrow" w:cs="Arial Narrow" w:eastAsia="Arial Narrow" w:hint="default"/>
                <w:sz w:val="24"/>
                <w:szCs w:val="24"/>
              </w:rPr>
            </w:pPr>
            <w:r>
              <w:rPr>
                <w:rFonts w:ascii="Arial Narrow"/>
                <w:spacing w:val="-1"/>
                <w:sz w:val="24"/>
              </w:rPr>
              <w:t>9,517,200.44</w:t>
            </w:r>
          </w:p>
        </w:tc>
        <w:tc>
          <w:tcPr>
            <w:tcW w:w="192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430"/>
              <w:jc w:val="right"/>
              <w:rPr>
                <w:rFonts w:ascii="Arial Narrow" w:hAnsi="Arial Narrow" w:cs="Arial Narrow" w:eastAsia="Arial Narrow" w:hint="default"/>
                <w:sz w:val="24"/>
                <w:szCs w:val="24"/>
              </w:rPr>
            </w:pPr>
            <w:r>
              <w:rPr>
                <w:rFonts w:ascii="Arial Narrow"/>
                <w:spacing w:val="-1"/>
                <w:sz w:val="24"/>
              </w:rPr>
              <w:t>4,177,933.37</w:t>
            </w:r>
          </w:p>
        </w:tc>
        <w:tc>
          <w:tcPr>
            <w:tcW w:w="168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80"/>
              <w:jc w:val="right"/>
              <w:rPr>
                <w:rFonts w:ascii="Arial Narrow" w:hAnsi="Arial Narrow" w:cs="Arial Narrow" w:eastAsia="Arial Narrow" w:hint="default"/>
                <w:sz w:val="24"/>
                <w:szCs w:val="24"/>
              </w:rPr>
            </w:pPr>
            <w:r>
              <w:rPr>
                <w:rFonts w:ascii="Arial Narrow"/>
                <w:sz w:val="24"/>
              </w:rPr>
              <w:t>-</w:t>
            </w:r>
          </w:p>
        </w:tc>
        <w:tc>
          <w:tcPr>
            <w:tcW w:w="165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13,695,133.81</w:t>
            </w:r>
          </w:p>
        </w:tc>
      </w:tr>
    </w:tbl>
    <w:p>
      <w:pPr>
        <w:pStyle w:val="BodyText"/>
        <w:spacing w:line="321" w:lineRule="exact" w:before="79"/>
        <w:ind w:left="622" w:right="0"/>
        <w:jc w:val="left"/>
        <w:rPr>
          <w:rFonts w:ascii="Arial Narrow" w:hAnsi="Arial Narrow" w:cs="Arial Narrow" w:eastAsia="Arial Narrow" w:hint="default"/>
        </w:rPr>
      </w:pPr>
      <w:r>
        <w:rPr>
          <w:spacing w:val="2"/>
        </w:rPr>
        <w:t>说明：本年增加系根据本公司第二届董事会第六次会议决议，按母公司净利润的</w:t>
      </w:r>
      <w:r>
        <w:rPr>
          <w:spacing w:val="7"/>
        </w:rPr>
        <w:t> </w:t>
      </w:r>
      <w:r>
        <w:rPr>
          <w:rFonts w:ascii="Arial Narrow" w:hAnsi="Arial Narrow" w:cs="Arial Narrow" w:eastAsia="Arial Narrow" w:hint="default"/>
        </w:rPr>
        <w:t>10%</w:t>
      </w:r>
    </w:p>
    <w:p>
      <w:pPr>
        <w:pStyle w:val="BodyText"/>
        <w:spacing w:line="305" w:lineRule="exact"/>
        <w:ind w:left="559" w:right="0"/>
        <w:jc w:val="left"/>
      </w:pPr>
      <w:r>
        <w:rPr/>
        <w:t>计提的法定盈余公积。</w:t>
      </w:r>
    </w:p>
    <w:p>
      <w:pPr>
        <w:pStyle w:val="BodyText"/>
        <w:spacing w:line="240" w:lineRule="auto" w:before="211"/>
        <w:ind w:left="142" w:right="0"/>
        <w:jc w:val="left"/>
      </w:pPr>
      <w:r>
        <w:rPr>
          <w:rFonts w:ascii="Arial Narrow" w:hAnsi="Arial Narrow" w:cs="Arial Narrow" w:eastAsia="Arial Narrow" w:hint="default"/>
        </w:rPr>
        <w:t>32</w:t>
      </w:r>
      <w:r>
        <w:rPr/>
        <w:t>、未分配利润</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4424"/>
        <w:gridCol w:w="1531"/>
        <w:gridCol w:w="1519"/>
        <w:gridCol w:w="1702"/>
      </w:tblGrid>
      <w:tr>
        <w:trPr>
          <w:trHeight w:val="636" w:hRule="exact"/>
        </w:trPr>
        <w:tc>
          <w:tcPr>
            <w:tcW w:w="4424" w:type="dxa"/>
            <w:tcBorders>
              <w:top w:val="single" w:sz="8" w:space="0" w:color="000000"/>
              <w:left w:val="nil" w:sz="6" w:space="0" w:color="auto"/>
              <w:bottom w:val="nil" w:sz="6" w:space="0" w:color="auto"/>
              <w:right w:val="nil" w:sz="6" w:space="0" w:color="auto"/>
            </w:tcBorders>
          </w:tcPr>
          <w:p>
            <w:pPr>
              <w:pStyle w:val="TableParagraph"/>
              <w:tabs>
                <w:tab w:pos="590" w:val="left" w:leader="none"/>
              </w:tabs>
              <w:spacing w:line="240" w:lineRule="auto" w:before="96"/>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531"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08"/>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519" w:type="dxa"/>
            <w:tcBorders>
              <w:top w:val="single" w:sz="8" w:space="0" w:color="000000"/>
              <w:left w:val="nil" w:sz="6" w:space="0" w:color="auto"/>
              <w:bottom w:val="nil" w:sz="6" w:space="0" w:color="auto"/>
              <w:right w:val="nil" w:sz="6" w:space="0" w:color="auto"/>
            </w:tcBorders>
          </w:tcPr>
          <w:p>
            <w:pPr>
              <w:pStyle w:val="TableParagraph"/>
              <w:spacing w:line="240" w:lineRule="auto" w:before="96"/>
              <w:ind w:right="148"/>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c>
          <w:tcPr>
            <w:tcW w:w="1702" w:type="dxa"/>
            <w:tcBorders>
              <w:top w:val="single" w:sz="8" w:space="0" w:color="000000"/>
              <w:left w:val="nil" w:sz="6" w:space="0" w:color="auto"/>
              <w:bottom w:val="nil" w:sz="6" w:space="0" w:color="auto"/>
              <w:right w:val="nil" w:sz="6" w:space="0" w:color="auto"/>
            </w:tcBorders>
          </w:tcPr>
          <w:p>
            <w:pPr>
              <w:pStyle w:val="TableParagraph"/>
              <w:spacing w:line="273" w:lineRule="exact"/>
              <w:ind w:left="148" w:right="0"/>
              <w:jc w:val="left"/>
              <w:rPr>
                <w:rFonts w:ascii="宋体" w:hAnsi="宋体" w:cs="宋体" w:eastAsia="宋体" w:hint="default"/>
                <w:sz w:val="24"/>
                <w:szCs w:val="24"/>
              </w:rPr>
            </w:pPr>
            <w:r>
              <w:rPr>
                <w:rFonts w:ascii="宋体" w:hAnsi="宋体" w:cs="宋体" w:eastAsia="宋体" w:hint="default"/>
                <w:b/>
                <w:bCs/>
                <w:sz w:val="24"/>
                <w:szCs w:val="24"/>
              </w:rPr>
              <w:t>提取或分配比</w:t>
            </w:r>
            <w:r>
              <w:rPr>
                <w:rFonts w:ascii="宋体" w:hAnsi="宋体" w:cs="宋体" w:eastAsia="宋体" w:hint="default"/>
                <w:sz w:val="24"/>
                <w:szCs w:val="24"/>
              </w:rPr>
            </w:r>
          </w:p>
          <w:p>
            <w:pPr>
              <w:pStyle w:val="TableParagraph"/>
              <w:tabs>
                <w:tab w:pos="1353" w:val="left" w:leader="none"/>
                <w:tab w:pos="1701" w:val="left" w:leader="none"/>
              </w:tabs>
              <w:spacing w:line="313" w:lineRule="exact"/>
              <w:ind w:left="-7474"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宋体" w:hAnsi="宋体" w:cs="宋体" w:eastAsia="宋体" w:hint="default"/>
                <w:b/>
                <w:bCs/>
                <w:sz w:val="24"/>
                <w:szCs w:val="24"/>
                <w:u w:val="single" w:color="000000"/>
              </w:rPr>
              <w:t>例</w:t>
              <w:tab/>
            </w:r>
            <w:r>
              <w:rPr>
                <w:rFonts w:ascii="宋体" w:hAnsi="宋体" w:cs="宋体" w:eastAsia="宋体" w:hint="default"/>
                <w:b/>
                <w:bCs/>
                <w:sz w:val="24"/>
                <w:szCs w:val="24"/>
              </w:rPr>
            </w:r>
            <w:r>
              <w:rPr>
                <w:rFonts w:ascii="宋体" w:hAnsi="宋体" w:cs="宋体" w:eastAsia="宋体" w:hint="default"/>
                <w:sz w:val="24"/>
                <w:szCs w:val="24"/>
              </w:rPr>
            </w:r>
          </w:p>
        </w:tc>
      </w:tr>
      <w:tr>
        <w:trPr>
          <w:trHeight w:val="340"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81"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调整前</w:t>
            </w:r>
            <w:r>
              <w:rPr>
                <w:rFonts w:ascii="宋体" w:hAnsi="宋体" w:cs="宋体" w:eastAsia="宋体" w:hint="default"/>
                <w:spacing w:val="-1"/>
                <w:sz w:val="24"/>
                <w:szCs w:val="24"/>
              </w:rPr>
              <w:t> </w:t>
            </w:r>
            <w:r>
              <w:rPr>
                <w:rFonts w:ascii="宋体" w:hAnsi="宋体" w:cs="宋体" w:eastAsia="宋体" w:hint="default"/>
                <w:sz w:val="24"/>
                <w:szCs w:val="24"/>
              </w:rPr>
              <w:t>上期末未分配利润</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7"/>
              <w:jc w:val="right"/>
              <w:rPr>
                <w:rFonts w:ascii="Arial Narrow" w:hAnsi="Arial Narrow" w:cs="Arial Narrow" w:eastAsia="Arial Narrow" w:hint="default"/>
                <w:sz w:val="24"/>
                <w:szCs w:val="24"/>
              </w:rPr>
            </w:pPr>
            <w:r>
              <w:rPr>
                <w:rFonts w:ascii="Arial Narrow"/>
                <w:spacing w:val="-1"/>
                <w:sz w:val="24"/>
              </w:rPr>
              <w:t>73,010,379.51</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9"/>
              <w:jc w:val="right"/>
              <w:rPr>
                <w:rFonts w:ascii="Arial Narrow" w:hAnsi="Arial Narrow" w:cs="Arial Narrow" w:eastAsia="Arial Narrow" w:hint="default"/>
                <w:sz w:val="24"/>
                <w:szCs w:val="24"/>
              </w:rPr>
            </w:pPr>
            <w:r>
              <w:rPr>
                <w:rFonts w:ascii="Arial Narrow"/>
                <w:spacing w:val="-1"/>
                <w:sz w:val="24"/>
              </w:rPr>
              <w:t>47,122,663.02</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Arial Narrow" w:hAnsi="Arial Narrow" w:cs="Arial Narrow" w:eastAsia="Arial Narrow" w:hint="default"/>
                <w:sz w:val="24"/>
                <w:szCs w:val="24"/>
              </w:rPr>
            </w:pPr>
            <w:r>
              <w:rPr>
                <w:rFonts w:ascii="Arial Narrow"/>
                <w:spacing w:val="-1"/>
                <w:w w:val="95"/>
                <w:sz w:val="24"/>
              </w:rPr>
              <w:t>--</w:t>
            </w:r>
            <w:r>
              <w:rPr>
                <w:rFonts w:ascii="Arial Narrow"/>
                <w:w w:val="95"/>
                <w:sz w:val="24"/>
              </w:rPr>
            </w:r>
          </w:p>
        </w:tc>
      </w:tr>
      <w:tr>
        <w:trPr>
          <w:trHeight w:val="636"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310" w:lineRule="exact" w:before="9"/>
              <w:ind w:left="108" w:right="160"/>
              <w:jc w:val="left"/>
              <w:rPr>
                <w:rFonts w:ascii="宋体" w:hAnsi="宋体" w:cs="宋体" w:eastAsia="宋体" w:hint="default"/>
                <w:sz w:val="24"/>
                <w:szCs w:val="24"/>
              </w:rPr>
            </w:pPr>
            <w:r>
              <w:rPr>
                <w:rFonts w:ascii="宋体" w:hAnsi="宋体" w:cs="宋体" w:eastAsia="宋体" w:hint="default"/>
                <w:sz w:val="24"/>
                <w:szCs w:val="24"/>
              </w:rPr>
              <w:t>调整</w:t>
            </w:r>
            <w:r>
              <w:rPr>
                <w:rFonts w:ascii="宋体" w:hAnsi="宋体" w:cs="宋体" w:eastAsia="宋体" w:hint="default"/>
                <w:spacing w:val="25"/>
                <w:sz w:val="24"/>
                <w:szCs w:val="24"/>
              </w:rPr>
              <w:t> </w:t>
            </w:r>
            <w:r>
              <w:rPr>
                <w:rFonts w:ascii="宋体" w:hAnsi="宋体" w:cs="宋体" w:eastAsia="宋体" w:hint="default"/>
                <w:spacing w:val="3"/>
                <w:sz w:val="24"/>
                <w:szCs w:val="24"/>
              </w:rPr>
              <w:t>期初未分配利润合计数（调增</w:t>
            </w:r>
            <w:r>
              <w:rPr>
                <w:rFonts w:ascii="Arial Narrow" w:hAnsi="Arial Narrow" w:cs="Arial Narrow" w:eastAsia="Arial Narrow" w:hint="default"/>
                <w:spacing w:val="3"/>
                <w:sz w:val="24"/>
                <w:szCs w:val="24"/>
              </w:rPr>
              <w:t>+</w:t>
            </w:r>
            <w:r>
              <w:rPr>
                <w:rFonts w:ascii="宋体" w:hAnsi="宋体" w:cs="宋体" w:eastAsia="宋体" w:hint="default"/>
                <w:spacing w:val="3"/>
                <w:sz w:val="24"/>
                <w:szCs w:val="24"/>
              </w:rPr>
              <w:t>，</w:t>
            </w:r>
            <w:r>
              <w:rPr>
                <w:rFonts w:ascii="宋体" w:hAnsi="宋体" w:cs="宋体" w:eastAsia="宋体" w:hint="default"/>
                <w:sz w:val="24"/>
                <w:szCs w:val="24"/>
              </w:rPr>
              <w:t> 调减</w:t>
            </w:r>
            <w:r>
              <w:rPr>
                <w:rFonts w:ascii="Arial Narrow" w:hAnsi="Arial Narrow" w:cs="Arial Narrow" w:eastAsia="Arial Narrow" w:hint="default"/>
                <w:sz w:val="24"/>
                <w:szCs w:val="24"/>
              </w:rPr>
              <w:t>-</w:t>
            </w:r>
            <w:r>
              <w:rPr>
                <w:rFonts w:ascii="宋体" w:hAnsi="宋体" w:cs="宋体" w:eastAsia="宋体" w:hint="default"/>
                <w:sz w:val="24"/>
                <w:szCs w:val="24"/>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6"/>
              <w:jc w:val="right"/>
              <w:rPr>
                <w:rFonts w:ascii="Arial Narrow" w:hAnsi="Arial Narrow" w:cs="Arial Narrow" w:eastAsia="Arial Narrow" w:hint="default"/>
                <w:sz w:val="24"/>
                <w:szCs w:val="24"/>
              </w:rPr>
            </w:pPr>
            <w:r>
              <w:rPr>
                <w:rFonts w:ascii="Arial Narrow"/>
                <w:sz w:val="24"/>
              </w:rPr>
              <w:t>-</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46"/>
              <w:jc w:val="right"/>
              <w:rPr>
                <w:rFonts w:ascii="Arial Narrow" w:hAnsi="Arial Narrow" w:cs="Arial Narrow" w:eastAsia="Arial Narrow" w:hint="default"/>
                <w:sz w:val="24"/>
                <w:szCs w:val="24"/>
              </w:rPr>
            </w:pPr>
            <w:r>
              <w:rPr>
                <w:rFonts w:ascii="Arial Narrow"/>
                <w:sz w:val="24"/>
              </w:rPr>
              <w:t>-</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8"/>
              <w:jc w:val="right"/>
              <w:rPr>
                <w:rFonts w:ascii="Arial Narrow" w:hAnsi="Arial Narrow" w:cs="Arial Narrow" w:eastAsia="Arial Narrow" w:hint="default"/>
                <w:sz w:val="24"/>
                <w:szCs w:val="24"/>
              </w:rPr>
            </w:pPr>
            <w:r>
              <w:rPr>
                <w:rFonts w:ascii="Arial Narrow"/>
                <w:spacing w:val="-1"/>
                <w:w w:val="95"/>
                <w:sz w:val="24"/>
              </w:rPr>
              <w:t>--</w:t>
            </w:r>
            <w:r>
              <w:rPr>
                <w:rFonts w:ascii="Arial Narrow"/>
                <w:w w:val="95"/>
                <w:sz w:val="24"/>
              </w:rPr>
            </w:r>
          </w:p>
        </w:tc>
      </w:tr>
      <w:tr>
        <w:trPr>
          <w:trHeight w:val="347"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65" w:lineRule="exact"/>
              <w:ind w:left="108" w:right="0"/>
              <w:jc w:val="left"/>
              <w:rPr>
                <w:rFonts w:ascii="宋体" w:hAnsi="宋体" w:cs="宋体" w:eastAsia="宋体" w:hint="default"/>
                <w:sz w:val="24"/>
                <w:szCs w:val="24"/>
              </w:rPr>
            </w:pPr>
            <w:r>
              <w:rPr>
                <w:rFonts w:ascii="宋体" w:hAnsi="宋体" w:cs="宋体" w:eastAsia="宋体" w:hint="default"/>
                <w:sz w:val="24"/>
                <w:szCs w:val="24"/>
              </w:rPr>
              <w:t>调整后</w:t>
            </w:r>
            <w:r>
              <w:rPr>
                <w:rFonts w:ascii="宋体" w:hAnsi="宋体" w:cs="宋体" w:eastAsia="宋体" w:hint="default"/>
                <w:spacing w:val="-1"/>
                <w:sz w:val="24"/>
                <w:szCs w:val="24"/>
              </w:rPr>
              <w:t> </w:t>
            </w:r>
            <w:r>
              <w:rPr>
                <w:rFonts w:ascii="宋体" w:hAnsi="宋体" w:cs="宋体" w:eastAsia="宋体" w:hint="default"/>
                <w:sz w:val="24"/>
                <w:szCs w:val="24"/>
              </w:rPr>
              <w:t>期初未分配利润</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Narrow" w:hAnsi="Arial Narrow" w:cs="Arial Narrow" w:eastAsia="Arial Narrow" w:hint="default"/>
                <w:sz w:val="24"/>
                <w:szCs w:val="24"/>
              </w:rPr>
            </w:pPr>
            <w:r>
              <w:rPr>
                <w:rFonts w:ascii="Arial Narrow"/>
                <w:spacing w:val="-1"/>
                <w:sz w:val="24"/>
              </w:rPr>
              <w:t>73,010,379.51</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9"/>
              <w:jc w:val="right"/>
              <w:rPr>
                <w:rFonts w:ascii="Arial Narrow" w:hAnsi="Arial Narrow" w:cs="Arial Narrow" w:eastAsia="Arial Narrow" w:hint="default"/>
                <w:sz w:val="24"/>
                <w:szCs w:val="24"/>
              </w:rPr>
            </w:pPr>
            <w:r>
              <w:rPr>
                <w:rFonts w:ascii="Arial Narrow"/>
                <w:spacing w:val="-1"/>
                <w:sz w:val="24"/>
              </w:rPr>
              <w:t>47,122,663.02</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8"/>
              <w:jc w:val="right"/>
              <w:rPr>
                <w:rFonts w:ascii="Arial Narrow" w:hAnsi="Arial Narrow" w:cs="Arial Narrow" w:eastAsia="Arial Narrow" w:hint="default"/>
                <w:sz w:val="24"/>
                <w:szCs w:val="24"/>
              </w:rPr>
            </w:pPr>
            <w:r>
              <w:rPr>
                <w:rFonts w:ascii="Arial Narrow"/>
                <w:spacing w:val="-1"/>
                <w:w w:val="95"/>
                <w:sz w:val="24"/>
              </w:rPr>
              <w:t>--</w:t>
            </w:r>
            <w:r>
              <w:rPr>
                <w:rFonts w:ascii="Arial Narrow"/>
                <w:w w:val="95"/>
                <w:sz w:val="24"/>
              </w:rPr>
            </w:r>
          </w:p>
        </w:tc>
      </w:tr>
      <w:tr>
        <w:trPr>
          <w:trHeight w:val="322" w:hRule="exact"/>
        </w:trPr>
        <w:tc>
          <w:tcPr>
            <w:tcW w:w="4424"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加：本期归属于母公司所有者的净利润</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46,761,088.46</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Arial Narrow" w:hAnsi="Arial Narrow" w:cs="Arial Narrow" w:eastAsia="Arial Narrow" w:hint="default"/>
                <w:sz w:val="24"/>
                <w:szCs w:val="24"/>
              </w:rPr>
            </w:pPr>
            <w:r>
              <w:rPr>
                <w:rFonts w:ascii="Arial Narrow"/>
                <w:spacing w:val="-1"/>
                <w:sz w:val="24"/>
              </w:rPr>
              <w:t>45,074,544.68</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Arial Narrow" w:hAnsi="Arial Narrow" w:cs="Arial Narrow" w:eastAsia="Arial Narrow" w:hint="default"/>
                <w:sz w:val="24"/>
                <w:szCs w:val="24"/>
              </w:rPr>
            </w:pPr>
            <w:r>
              <w:rPr>
                <w:rFonts w:ascii="Arial Narrow"/>
                <w:spacing w:val="-1"/>
                <w:w w:val="95"/>
                <w:sz w:val="24"/>
              </w:rPr>
              <w:t>--</w:t>
            </w:r>
            <w:r>
              <w:rPr>
                <w:rFonts w:ascii="Arial Narrow"/>
                <w:w w:val="95"/>
                <w:sz w:val="24"/>
              </w:rPr>
            </w:r>
          </w:p>
        </w:tc>
      </w:tr>
    </w:tbl>
    <w:p>
      <w:pPr>
        <w:spacing w:after="0" w:line="240" w:lineRule="auto"/>
        <w:jc w:val="right"/>
        <w:rPr>
          <w:rFonts w:ascii="Arial Narrow" w:hAnsi="Arial Narrow" w:cs="Arial Narrow" w:eastAsia="Arial Narrow" w:hint="default"/>
          <w:sz w:val="24"/>
          <w:szCs w:val="24"/>
        </w:rPr>
        <w:sectPr>
          <w:footerReference w:type="default" r:id="rId65"/>
          <w:pgSz w:w="11900" w:h="16850"/>
          <w:pgMar w:footer="919" w:header="0" w:top="1640" w:bottom="1100" w:left="1140" w:right="900"/>
        </w:sectPr>
      </w:pPr>
    </w:p>
    <w:p>
      <w:pPr>
        <w:spacing w:line="240" w:lineRule="auto" w:before="8"/>
        <w:rPr>
          <w:rFonts w:ascii="宋体" w:hAnsi="宋体" w:cs="宋体" w:eastAsia="宋体" w:hint="default"/>
          <w:sz w:val="5"/>
          <w:szCs w:val="5"/>
        </w:rPr>
      </w:pPr>
    </w:p>
    <w:tbl>
      <w:tblPr>
        <w:tblW w:w="0" w:type="auto"/>
        <w:jc w:val="left"/>
        <w:tblInd w:w="547" w:type="dxa"/>
        <w:tblLayout w:type="fixed"/>
        <w:tblCellMar>
          <w:top w:w="0" w:type="dxa"/>
          <w:left w:w="0" w:type="dxa"/>
          <w:bottom w:w="0" w:type="dxa"/>
          <w:right w:w="0" w:type="dxa"/>
        </w:tblCellMar>
        <w:tblLook w:val="01E0"/>
      </w:tblPr>
      <w:tblGrid>
        <w:gridCol w:w="4383"/>
        <w:gridCol w:w="1586"/>
        <w:gridCol w:w="1477"/>
        <w:gridCol w:w="1665"/>
      </w:tblGrid>
      <w:tr>
        <w:trPr>
          <w:trHeight w:val="827"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pacing w:val="-1"/>
                <w:sz w:val="24"/>
              </w:rPr>
              <w:t>4,177,933.37</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5"/>
              <w:jc w:val="right"/>
              <w:rPr>
                <w:rFonts w:ascii="Arial Narrow" w:hAnsi="Arial Narrow" w:cs="Arial Narrow" w:eastAsia="Arial Narrow" w:hint="default"/>
                <w:sz w:val="24"/>
                <w:szCs w:val="24"/>
              </w:rPr>
            </w:pPr>
            <w:r>
              <w:rPr>
                <w:rFonts w:ascii="Arial Narrow"/>
                <w:spacing w:val="-1"/>
                <w:sz w:val="24"/>
              </w:rPr>
              <w:t>4,186,828.19</w:t>
            </w:r>
          </w:p>
        </w:tc>
        <w:tc>
          <w:tcPr>
            <w:tcW w:w="1665" w:type="dxa"/>
            <w:tcBorders>
              <w:top w:val="nil" w:sz="6" w:space="0" w:color="auto"/>
              <w:left w:val="nil" w:sz="6" w:space="0" w:color="auto"/>
              <w:bottom w:val="nil" w:sz="6" w:space="0" w:color="auto"/>
              <w:right w:val="nil" w:sz="6" w:space="0" w:color="auto"/>
            </w:tcBorders>
          </w:tcPr>
          <w:p>
            <w:pPr>
              <w:pStyle w:val="TableParagraph"/>
              <w:spacing w:line="312" w:lineRule="exact" w:before="141"/>
              <w:ind w:left="106" w:right="30"/>
              <w:jc w:val="left"/>
              <w:rPr>
                <w:rFonts w:ascii="Arial Narrow" w:hAnsi="Arial Narrow" w:cs="Arial Narrow" w:eastAsia="Arial Narrow" w:hint="default"/>
                <w:sz w:val="24"/>
                <w:szCs w:val="24"/>
              </w:rPr>
            </w:pPr>
            <w:r>
              <w:rPr>
                <w:rFonts w:ascii="宋体" w:hAnsi="宋体" w:cs="宋体" w:eastAsia="宋体" w:hint="default"/>
                <w:spacing w:val="13"/>
                <w:sz w:val="24"/>
                <w:szCs w:val="24"/>
              </w:rPr>
              <w:t>母公司净利润</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的</w:t>
            </w:r>
            <w:r>
              <w:rPr>
                <w:rFonts w:ascii="宋体" w:hAnsi="宋体" w:cs="宋体" w:eastAsia="宋体" w:hint="default"/>
                <w:spacing w:val="-60"/>
                <w:sz w:val="24"/>
                <w:szCs w:val="24"/>
              </w:rPr>
              <w:t> </w:t>
            </w:r>
            <w:r>
              <w:rPr>
                <w:rFonts w:ascii="Arial Narrow" w:hAnsi="Arial Narrow" w:cs="Arial Narrow" w:eastAsia="Arial Narrow" w:hint="default"/>
                <w:sz w:val="24"/>
                <w:szCs w:val="24"/>
              </w:rPr>
              <w:t>10%</w:t>
            </w:r>
          </w:p>
        </w:tc>
      </w:tr>
      <w:tr>
        <w:trPr>
          <w:trHeight w:val="403"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6"/>
              <w:ind w:left="602"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Narrow" w:hAnsi="Arial Narrow" w:cs="Arial Narrow" w:eastAsia="Arial Narrow" w:hint="default"/>
                <w:sz w:val="24"/>
                <w:szCs w:val="24"/>
              </w:rPr>
            </w:pPr>
            <w:r>
              <w:rPr>
                <w:rFonts w:ascii="Arial Narrow"/>
                <w:sz w:val="24"/>
              </w:rPr>
              <w:t>-</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Arial Narrow" w:hAnsi="Arial Narrow" w:cs="Arial Narrow" w:eastAsia="Arial Narrow" w:hint="default"/>
                <w:sz w:val="24"/>
                <w:szCs w:val="24"/>
              </w:rPr>
            </w:pPr>
            <w:r>
              <w:rPr>
                <w:rFonts w:ascii="Arial Narrow"/>
                <w:sz w:val="24"/>
              </w:rPr>
              <w:t>-</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
              <w:jc w:val="right"/>
              <w:rPr>
                <w:rFonts w:ascii="Arial Narrow" w:hAnsi="Arial Narrow" w:cs="Arial Narrow" w:eastAsia="Arial Narrow" w:hint="default"/>
                <w:sz w:val="24"/>
                <w:szCs w:val="24"/>
              </w:rPr>
            </w:pPr>
            <w:r>
              <w:rPr>
                <w:rFonts w:ascii="Arial Narrow"/>
                <w:spacing w:val="-1"/>
                <w:w w:val="95"/>
                <w:sz w:val="24"/>
              </w:rPr>
              <w:t>--</w:t>
            </w:r>
            <w:r>
              <w:rPr>
                <w:rFonts w:ascii="Arial Narrow"/>
                <w:w w:val="95"/>
                <w:sz w:val="24"/>
              </w:rPr>
            </w:r>
          </w:p>
        </w:tc>
      </w:tr>
      <w:tr>
        <w:trPr>
          <w:trHeight w:val="396"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
              <w:ind w:left="602" w:right="0"/>
              <w:jc w:val="left"/>
              <w:rPr>
                <w:rFonts w:ascii="宋体" w:hAnsi="宋体" w:cs="宋体" w:eastAsia="宋体" w:hint="default"/>
                <w:sz w:val="24"/>
                <w:szCs w:val="24"/>
              </w:rPr>
            </w:pPr>
            <w:r>
              <w:rPr>
                <w:rFonts w:ascii="宋体" w:hAnsi="宋体" w:cs="宋体" w:eastAsia="宋体" w:hint="default"/>
                <w:sz w:val="24"/>
                <w:szCs w:val="24"/>
              </w:rPr>
              <w:t>应付普通股股利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pacing w:val="-1"/>
                <w:sz w:val="24"/>
              </w:rPr>
              <w:t>15,000,000.00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pacing w:val="-1"/>
                <w:sz w:val="24"/>
              </w:rPr>
              <w:t>15,000,000.00</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Arial Narrow" w:hAnsi="Arial Narrow" w:cs="Arial Narrow" w:eastAsia="Arial Narrow" w:hint="default"/>
                <w:sz w:val="24"/>
                <w:szCs w:val="24"/>
              </w:rPr>
            </w:pPr>
            <w:r>
              <w:rPr>
                <w:rFonts w:ascii="Arial Narrow"/>
                <w:spacing w:val="-1"/>
                <w:w w:val="95"/>
                <w:sz w:val="24"/>
              </w:rPr>
              <w:t>--</w:t>
            </w:r>
            <w:r>
              <w:rPr>
                <w:rFonts w:ascii="Arial Narrow"/>
                <w:w w:val="95"/>
                <w:sz w:val="24"/>
              </w:rPr>
            </w:r>
          </w:p>
        </w:tc>
      </w:tr>
      <w:tr>
        <w:trPr>
          <w:trHeight w:val="398"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
              <w:ind w:left="602" w:right="0"/>
              <w:jc w:val="left"/>
              <w:rPr>
                <w:rFonts w:ascii="宋体" w:hAnsi="宋体" w:cs="宋体" w:eastAsia="宋体" w:hint="default"/>
                <w:sz w:val="24"/>
                <w:szCs w:val="24"/>
              </w:rPr>
            </w:pPr>
            <w:r>
              <w:rPr>
                <w:rFonts w:ascii="宋体" w:hAnsi="宋体" w:cs="宋体" w:eastAsia="宋体" w:hint="default"/>
                <w:sz w:val="24"/>
                <w:szCs w:val="24"/>
              </w:rPr>
              <w:t>转作股本的普通股股利</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z w:val="24"/>
              </w:rPr>
              <w:t>-</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Arial Narrow" w:hAnsi="Arial Narrow" w:cs="Arial Narrow" w:eastAsia="Arial Narrow" w:hint="default"/>
                <w:sz w:val="24"/>
                <w:szCs w:val="24"/>
              </w:rPr>
            </w:pPr>
            <w:r>
              <w:rPr>
                <w:rFonts w:ascii="Arial Narrow"/>
                <w:sz w:val="24"/>
              </w:rPr>
              <w:t>-</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Arial Narrow" w:hAnsi="Arial Narrow" w:cs="Arial Narrow" w:eastAsia="Arial Narrow" w:hint="default"/>
                <w:sz w:val="24"/>
                <w:szCs w:val="24"/>
              </w:rPr>
            </w:pPr>
            <w:r>
              <w:rPr>
                <w:rFonts w:ascii="Arial Narrow"/>
                <w:spacing w:val="-1"/>
                <w:w w:val="95"/>
                <w:sz w:val="24"/>
              </w:rPr>
              <w:t>--</w:t>
            </w:r>
            <w:r>
              <w:rPr>
                <w:rFonts w:ascii="Arial Narrow"/>
                <w:w w:val="95"/>
                <w:sz w:val="24"/>
              </w:rPr>
            </w:r>
          </w:p>
        </w:tc>
      </w:tr>
      <w:tr>
        <w:trPr>
          <w:trHeight w:val="395" w:hRule="exact"/>
        </w:trPr>
        <w:tc>
          <w:tcPr>
            <w:tcW w:w="438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期末未分配利润</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pacing w:val="-1"/>
                <w:sz w:val="24"/>
              </w:rPr>
              <w:t>100,593,534.60</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pacing w:val="-1"/>
                <w:sz w:val="24"/>
              </w:rPr>
              <w:t>73,010,379.51</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Arial Narrow" w:hAnsi="Arial Narrow" w:cs="Arial Narrow" w:eastAsia="Arial Narrow" w:hint="default"/>
                <w:sz w:val="24"/>
                <w:szCs w:val="24"/>
              </w:rPr>
            </w:pPr>
            <w:r>
              <w:rPr>
                <w:rFonts w:ascii="Arial Narrow"/>
                <w:spacing w:val="-1"/>
                <w:w w:val="95"/>
                <w:sz w:val="24"/>
              </w:rPr>
              <w:t>--</w:t>
            </w:r>
            <w:r>
              <w:rPr>
                <w:rFonts w:ascii="Arial Narrow"/>
                <w:w w:val="95"/>
                <w:sz w:val="24"/>
              </w:rPr>
            </w:r>
          </w:p>
        </w:tc>
      </w:tr>
      <w:tr>
        <w:trPr>
          <w:trHeight w:val="715" w:hRule="exact"/>
        </w:trPr>
        <w:tc>
          <w:tcPr>
            <w:tcW w:w="4383" w:type="dxa"/>
            <w:tcBorders>
              <w:top w:val="nil" w:sz="6" w:space="0" w:color="auto"/>
              <w:left w:val="nil" w:sz="6" w:space="0" w:color="auto"/>
              <w:bottom w:val="single" w:sz="8" w:space="0" w:color="000000"/>
              <w:right w:val="nil" w:sz="6" w:space="0" w:color="auto"/>
            </w:tcBorders>
          </w:tcPr>
          <w:p>
            <w:pPr>
              <w:pStyle w:val="TableParagraph"/>
              <w:spacing w:line="240" w:lineRule="auto"/>
              <w:ind w:left="223" w:right="106"/>
              <w:jc w:val="left"/>
              <w:rPr>
                <w:rFonts w:ascii="宋体" w:hAnsi="宋体" w:cs="宋体" w:eastAsia="宋体" w:hint="default"/>
                <w:sz w:val="24"/>
                <w:szCs w:val="24"/>
              </w:rPr>
            </w:pPr>
            <w:r>
              <w:rPr>
                <w:rFonts w:ascii="宋体" w:hAnsi="宋体" w:cs="宋体" w:eastAsia="宋体" w:hint="default"/>
                <w:spacing w:val="-2"/>
                <w:sz w:val="24"/>
                <w:szCs w:val="24"/>
              </w:rPr>
              <w:t>其中：子公司当年提取的盈余公积归属</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于母公司的金额</w:t>
            </w:r>
          </w:p>
        </w:tc>
        <w:tc>
          <w:tcPr>
            <w:tcW w:w="1586" w:type="dxa"/>
            <w:tcBorders>
              <w:top w:val="nil" w:sz="6" w:space="0" w:color="auto"/>
              <w:left w:val="nil" w:sz="6" w:space="0" w:color="auto"/>
              <w:bottom w:val="single" w:sz="8" w:space="0" w:color="000000"/>
              <w:right w:val="nil" w:sz="6" w:space="0" w:color="auto"/>
            </w:tcBorders>
          </w:tcPr>
          <w:p>
            <w:pPr>
              <w:pStyle w:val="TableParagraph"/>
              <w:spacing w:line="240" w:lineRule="auto" w:before="209"/>
              <w:ind w:right="106"/>
              <w:jc w:val="right"/>
              <w:rPr>
                <w:rFonts w:ascii="Arial Narrow" w:hAnsi="Arial Narrow" w:cs="Arial Narrow" w:eastAsia="Arial Narrow" w:hint="default"/>
                <w:sz w:val="24"/>
                <w:szCs w:val="24"/>
              </w:rPr>
            </w:pPr>
            <w:r>
              <w:rPr>
                <w:rFonts w:ascii="Arial Narrow"/>
                <w:sz w:val="24"/>
              </w:rPr>
              <w:t>-</w:t>
            </w:r>
          </w:p>
        </w:tc>
        <w:tc>
          <w:tcPr>
            <w:tcW w:w="1477" w:type="dxa"/>
            <w:tcBorders>
              <w:top w:val="nil" w:sz="6" w:space="0" w:color="auto"/>
              <w:left w:val="nil" w:sz="6" w:space="0" w:color="auto"/>
              <w:bottom w:val="single" w:sz="8" w:space="0" w:color="000000"/>
              <w:right w:val="nil" w:sz="6" w:space="0" w:color="auto"/>
            </w:tcBorders>
          </w:tcPr>
          <w:p>
            <w:pPr>
              <w:pStyle w:val="TableParagraph"/>
              <w:spacing w:line="240" w:lineRule="auto" w:before="209"/>
              <w:ind w:right="104"/>
              <w:jc w:val="right"/>
              <w:rPr>
                <w:rFonts w:ascii="Arial Narrow" w:hAnsi="Arial Narrow" w:cs="Arial Narrow" w:eastAsia="Arial Narrow" w:hint="default"/>
                <w:sz w:val="24"/>
                <w:szCs w:val="24"/>
              </w:rPr>
            </w:pPr>
            <w:r>
              <w:rPr>
                <w:rFonts w:ascii="Arial Narrow"/>
                <w:sz w:val="24"/>
              </w:rPr>
              <w:t>-</w:t>
            </w:r>
          </w:p>
        </w:tc>
        <w:tc>
          <w:tcPr>
            <w:tcW w:w="1665" w:type="dxa"/>
            <w:tcBorders>
              <w:top w:val="nil" w:sz="6" w:space="0" w:color="auto"/>
              <w:left w:val="nil" w:sz="6" w:space="0" w:color="auto"/>
              <w:bottom w:val="single" w:sz="8" w:space="0" w:color="000000"/>
              <w:right w:val="nil" w:sz="6" w:space="0" w:color="auto"/>
            </w:tcBorders>
          </w:tcPr>
          <w:p>
            <w:pPr>
              <w:pStyle w:val="TableParagraph"/>
              <w:spacing w:line="240" w:lineRule="auto" w:before="209"/>
              <w:ind w:right="29"/>
              <w:jc w:val="right"/>
              <w:rPr>
                <w:rFonts w:ascii="Arial Narrow" w:hAnsi="Arial Narrow" w:cs="Arial Narrow" w:eastAsia="Arial Narrow" w:hint="default"/>
                <w:sz w:val="24"/>
                <w:szCs w:val="24"/>
              </w:rPr>
            </w:pPr>
            <w:r>
              <w:rPr>
                <w:rFonts w:ascii="Arial Narrow"/>
                <w:spacing w:val="-1"/>
                <w:w w:val="95"/>
                <w:sz w:val="24"/>
              </w:rPr>
              <w:t>--</w:t>
            </w:r>
            <w:r>
              <w:rPr>
                <w:rFonts w:ascii="Arial Narrow"/>
                <w:w w:val="95"/>
                <w:sz w:val="24"/>
              </w:rPr>
            </w:r>
          </w:p>
        </w:tc>
      </w:tr>
    </w:tbl>
    <w:p>
      <w:pPr>
        <w:pStyle w:val="BodyText"/>
        <w:spacing w:line="240" w:lineRule="auto" w:before="79"/>
        <w:ind w:left="559" w:right="173"/>
        <w:jc w:val="left"/>
      </w:pPr>
      <w:r>
        <w:rPr>
          <w:spacing w:val="-3"/>
        </w:rPr>
        <w:t>说明：</w:t>
      </w:r>
      <w:r>
        <w:rPr>
          <w:rFonts w:ascii="Arial Narrow" w:hAnsi="Arial Narrow" w:cs="Arial Narrow" w:eastAsia="Arial Narrow" w:hint="default"/>
          <w:spacing w:val="-3"/>
        </w:rPr>
        <w:t>2011</w:t>
      </w:r>
      <w:r>
        <w:rPr>
          <w:rFonts w:ascii="Arial Narrow" w:hAnsi="Arial Narrow" w:cs="Arial Narrow" w:eastAsia="Arial Narrow" w:hint="default"/>
          <w:spacing w:val="7"/>
        </w:rPr>
        <w:t> </w:t>
      </w:r>
      <w:r>
        <w:rPr/>
        <w:t>年度利润分配情况见附注十、</w:t>
      </w:r>
      <w:r>
        <w:rPr>
          <w:rFonts w:ascii="Arial Narrow" w:hAnsi="Arial Narrow" w:cs="Arial Narrow" w:eastAsia="Arial Narrow" w:hint="default"/>
        </w:rPr>
        <w:t>1</w:t>
      </w:r>
      <w:r>
        <w:rPr/>
        <w:t>。</w:t>
      </w:r>
    </w:p>
    <w:p>
      <w:pPr>
        <w:pStyle w:val="BodyText"/>
        <w:spacing w:line="240" w:lineRule="auto" w:before="197"/>
        <w:ind w:left="142" w:right="173"/>
        <w:jc w:val="left"/>
      </w:pPr>
      <w:r>
        <w:rPr>
          <w:rFonts w:ascii="Arial Narrow" w:hAnsi="Arial Narrow" w:cs="Arial Narrow" w:eastAsia="Arial Narrow" w:hint="default"/>
        </w:rPr>
        <w:t>33</w:t>
      </w:r>
      <w:r>
        <w:rPr/>
        <w:t>、营业收入和营业成本</w:t>
      </w:r>
    </w:p>
    <w:p>
      <w:pPr>
        <w:pStyle w:val="BodyText"/>
        <w:spacing w:line="240" w:lineRule="auto" w:before="197"/>
        <w:ind w:left="502" w:right="173"/>
        <w:jc w:val="left"/>
      </w:pPr>
      <w:r>
        <w:rPr/>
        <w:t>（</w:t>
      </w:r>
      <w:r>
        <w:rPr>
          <w:rFonts w:ascii="Arial Narrow" w:hAnsi="Arial Narrow" w:cs="Arial Narrow" w:eastAsia="Arial Narrow" w:hint="default"/>
        </w:rPr>
        <w:t>1</w:t>
      </w:r>
      <w:r>
        <w:rPr/>
        <w:t>）营业收入</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3081"/>
        <w:gridCol w:w="3740"/>
        <w:gridCol w:w="2315"/>
      </w:tblGrid>
      <w:tr>
        <w:trPr>
          <w:trHeight w:val="394" w:hRule="exact"/>
        </w:trPr>
        <w:tc>
          <w:tcPr>
            <w:tcW w:w="308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74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837"/>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2315"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6"/>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5" w:hRule="exact"/>
        </w:trPr>
        <w:tc>
          <w:tcPr>
            <w:tcW w:w="3081"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74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37"/>
              <w:jc w:val="right"/>
              <w:rPr>
                <w:rFonts w:ascii="Arial Narrow" w:hAnsi="Arial Narrow" w:cs="Arial Narrow" w:eastAsia="Arial Narrow" w:hint="default"/>
                <w:sz w:val="24"/>
                <w:szCs w:val="24"/>
              </w:rPr>
            </w:pPr>
            <w:r>
              <w:rPr>
                <w:rFonts w:ascii="Arial Narrow"/>
                <w:spacing w:val="-1"/>
                <w:sz w:val="24"/>
              </w:rPr>
              <w:t>291,893,770.08</w:t>
            </w:r>
          </w:p>
        </w:tc>
        <w:tc>
          <w:tcPr>
            <w:tcW w:w="231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spacing w:val="-1"/>
                <w:sz w:val="24"/>
              </w:rPr>
              <w:t>202,537,982.90</w:t>
            </w:r>
          </w:p>
        </w:tc>
      </w:tr>
      <w:tr>
        <w:trPr>
          <w:trHeight w:val="394"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37"/>
              <w:jc w:val="right"/>
              <w:rPr>
                <w:rFonts w:ascii="Arial Narrow" w:hAnsi="Arial Narrow" w:cs="Arial Narrow" w:eastAsia="Arial Narrow" w:hint="default"/>
                <w:sz w:val="24"/>
                <w:szCs w:val="24"/>
              </w:rPr>
            </w:pPr>
            <w:r>
              <w:rPr>
                <w:rFonts w:ascii="Arial Narrow"/>
                <w:spacing w:val="-1"/>
                <w:sz w:val="24"/>
              </w:rPr>
              <w:t>1,215,500.00</w:t>
            </w:r>
          </w:p>
        </w:tc>
        <w:tc>
          <w:tcPr>
            <w:tcW w:w="23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Arial Narrow" w:hAnsi="Arial Narrow" w:cs="Arial Narrow" w:eastAsia="Arial Narrow" w:hint="default"/>
                <w:sz w:val="24"/>
                <w:szCs w:val="24"/>
              </w:rPr>
            </w:pPr>
            <w:r>
              <w:rPr>
                <w:rFonts w:ascii="Arial Narrow"/>
                <w:sz w:val="24"/>
              </w:rPr>
              <w:t>-</w:t>
            </w:r>
          </w:p>
        </w:tc>
      </w:tr>
      <w:tr>
        <w:trPr>
          <w:trHeight w:val="406" w:hRule="exact"/>
        </w:trPr>
        <w:tc>
          <w:tcPr>
            <w:tcW w:w="3081"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3740"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837"/>
              <w:jc w:val="right"/>
              <w:rPr>
                <w:rFonts w:ascii="Arial Narrow" w:hAnsi="Arial Narrow" w:cs="Arial Narrow" w:eastAsia="Arial Narrow" w:hint="default"/>
                <w:sz w:val="24"/>
                <w:szCs w:val="24"/>
              </w:rPr>
            </w:pPr>
            <w:r>
              <w:rPr>
                <w:rFonts w:ascii="Arial Narrow"/>
                <w:spacing w:val="-1"/>
                <w:sz w:val="24"/>
              </w:rPr>
              <w:t>78,394,991.50</w:t>
            </w:r>
          </w:p>
        </w:tc>
        <w:tc>
          <w:tcPr>
            <w:tcW w:w="2315"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64,205,977.99</w:t>
            </w:r>
          </w:p>
        </w:tc>
      </w:tr>
    </w:tbl>
    <w:p>
      <w:pPr>
        <w:pStyle w:val="BodyText"/>
        <w:spacing w:line="240" w:lineRule="auto" w:before="79"/>
        <w:ind w:left="502" w:right="173"/>
        <w:jc w:val="left"/>
      </w:pPr>
      <w:r>
        <w:rPr/>
        <w:t>（</w:t>
      </w:r>
      <w:r>
        <w:rPr>
          <w:rFonts w:ascii="Arial Narrow" w:hAnsi="Arial Narrow" w:cs="Arial Narrow" w:eastAsia="Arial Narrow" w:hint="default"/>
        </w:rPr>
        <w:t>2</w:t>
      </w:r>
      <w:r>
        <w:rPr/>
        <w:t>）主营业务（分行业）</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1631"/>
        <w:gridCol w:w="2199"/>
        <w:gridCol w:w="1779"/>
        <w:gridCol w:w="1887"/>
        <w:gridCol w:w="1656"/>
      </w:tblGrid>
      <w:tr>
        <w:trPr>
          <w:trHeight w:val="297" w:hRule="exact"/>
        </w:trPr>
        <w:tc>
          <w:tcPr>
            <w:tcW w:w="1631" w:type="dxa"/>
            <w:tcBorders>
              <w:top w:val="single" w:sz="8" w:space="0" w:color="000000"/>
              <w:left w:val="nil" w:sz="6" w:space="0" w:color="auto"/>
              <w:bottom w:val="nil" w:sz="6" w:space="0" w:color="auto"/>
              <w:right w:val="nil" w:sz="6" w:space="0" w:color="auto"/>
            </w:tcBorders>
          </w:tcPr>
          <w:p>
            <w:pPr/>
          </w:p>
        </w:tc>
        <w:tc>
          <w:tcPr>
            <w:tcW w:w="3977" w:type="dxa"/>
            <w:gridSpan w:val="2"/>
            <w:tcBorders>
              <w:top w:val="single" w:sz="8" w:space="0" w:color="000000"/>
              <w:left w:val="nil" w:sz="6" w:space="0" w:color="auto"/>
              <w:bottom w:val="nil" w:sz="6" w:space="0" w:color="auto"/>
              <w:right w:val="nil" w:sz="6" w:space="0" w:color="auto"/>
            </w:tcBorders>
          </w:tcPr>
          <w:p>
            <w:pPr>
              <w:pStyle w:val="TableParagraph"/>
              <w:spacing w:line="307" w:lineRule="exact"/>
              <w:ind w:left="1777"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3543" w:type="dxa"/>
            <w:gridSpan w:val="2"/>
            <w:tcBorders>
              <w:top w:val="single" w:sz="8" w:space="0" w:color="000000"/>
              <w:left w:val="nil" w:sz="6" w:space="0" w:color="auto"/>
              <w:bottom w:val="nil" w:sz="6" w:space="0" w:color="auto"/>
              <w:right w:val="nil" w:sz="6" w:space="0" w:color="auto"/>
            </w:tcBorders>
          </w:tcPr>
          <w:p>
            <w:pPr>
              <w:pStyle w:val="TableParagraph"/>
              <w:spacing w:line="307" w:lineRule="exact"/>
              <w:ind w:left="1406"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93" w:hRule="exact"/>
        </w:trPr>
        <w:tc>
          <w:tcPr>
            <w:tcW w:w="1631" w:type="dxa"/>
            <w:tcBorders>
              <w:top w:val="nil" w:sz="6" w:space="0" w:color="auto"/>
              <w:left w:val="nil" w:sz="6" w:space="0" w:color="auto"/>
              <w:bottom w:val="single" w:sz="4" w:space="0" w:color="000000"/>
              <w:right w:val="nil" w:sz="6" w:space="0" w:color="auto"/>
            </w:tcBorders>
          </w:tcPr>
          <w:p>
            <w:pPr>
              <w:pStyle w:val="TableParagraph"/>
              <w:spacing w:line="220" w:lineRule="exact"/>
              <w:ind w:left="122" w:right="0"/>
              <w:jc w:val="left"/>
              <w:rPr>
                <w:rFonts w:ascii="宋体" w:hAnsi="宋体" w:cs="宋体" w:eastAsia="宋体" w:hint="default"/>
                <w:sz w:val="24"/>
                <w:szCs w:val="24"/>
              </w:rPr>
            </w:pPr>
            <w:r>
              <w:rPr>
                <w:rFonts w:ascii="宋体" w:hAnsi="宋体" w:cs="宋体" w:eastAsia="宋体" w:hint="default"/>
                <w:b/>
                <w:bCs/>
                <w:sz w:val="24"/>
                <w:szCs w:val="24"/>
              </w:rPr>
              <w:t>行业名称</w:t>
            </w:r>
            <w:r>
              <w:rPr>
                <w:rFonts w:ascii="宋体" w:hAnsi="宋体" w:cs="宋体" w:eastAsia="宋体" w:hint="default"/>
                <w:sz w:val="24"/>
                <w:szCs w:val="24"/>
              </w:rPr>
            </w:r>
          </w:p>
        </w:tc>
        <w:tc>
          <w:tcPr>
            <w:tcW w:w="2199"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5"/>
              <w:jc w:val="right"/>
              <w:rPr>
                <w:rFonts w:ascii="宋体" w:hAnsi="宋体" w:cs="宋体" w:eastAsia="宋体" w:hint="default"/>
                <w:sz w:val="24"/>
                <w:szCs w:val="24"/>
              </w:rPr>
            </w:pPr>
            <w:r>
              <w:rPr>
                <w:rFonts w:ascii="宋体" w:hAnsi="宋体" w:cs="宋体" w:eastAsia="宋体" w:hint="default"/>
                <w:b/>
                <w:bCs/>
                <w:sz w:val="24"/>
                <w:szCs w:val="24"/>
              </w:rPr>
              <w:t>营业收入</w:t>
            </w:r>
            <w:r>
              <w:rPr>
                <w:rFonts w:ascii="宋体" w:hAnsi="宋体" w:cs="宋体" w:eastAsia="宋体" w:hint="default"/>
                <w:sz w:val="24"/>
                <w:szCs w:val="24"/>
              </w:rPr>
            </w:r>
          </w:p>
        </w:tc>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29"/>
              <w:jc w:val="right"/>
              <w:rPr>
                <w:rFonts w:ascii="宋体" w:hAnsi="宋体" w:cs="宋体" w:eastAsia="宋体" w:hint="default"/>
                <w:sz w:val="24"/>
                <w:szCs w:val="24"/>
              </w:rPr>
            </w:pPr>
            <w:r>
              <w:rPr>
                <w:rFonts w:ascii="宋体" w:hAnsi="宋体" w:cs="宋体" w:eastAsia="宋体" w:hint="default"/>
                <w:b/>
                <w:bCs/>
                <w:sz w:val="24"/>
                <w:szCs w:val="24"/>
              </w:rPr>
              <w:t>营业成本</w:t>
            </w:r>
            <w:r>
              <w:rPr>
                <w:rFonts w:ascii="宋体" w:hAnsi="宋体" w:cs="宋体" w:eastAsia="宋体" w:hint="default"/>
                <w:sz w:val="24"/>
                <w:szCs w:val="24"/>
              </w:rPr>
            </w:r>
          </w:p>
        </w:tc>
        <w:tc>
          <w:tcPr>
            <w:tcW w:w="1887"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285"/>
              <w:jc w:val="right"/>
              <w:rPr>
                <w:rFonts w:ascii="宋体" w:hAnsi="宋体" w:cs="宋体" w:eastAsia="宋体" w:hint="default"/>
                <w:sz w:val="24"/>
                <w:szCs w:val="24"/>
              </w:rPr>
            </w:pPr>
            <w:r>
              <w:rPr>
                <w:rFonts w:ascii="宋体" w:hAnsi="宋体" w:cs="宋体" w:eastAsia="宋体" w:hint="default"/>
                <w:b/>
                <w:bCs/>
                <w:sz w:val="24"/>
                <w:szCs w:val="24"/>
              </w:rPr>
              <w:t>营业收入</w:t>
            </w:r>
            <w:r>
              <w:rPr>
                <w:rFonts w:ascii="宋体" w:hAnsi="宋体" w:cs="宋体" w:eastAsia="宋体" w:hint="default"/>
                <w:sz w:val="24"/>
                <w:szCs w:val="24"/>
              </w:rPr>
            </w: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06"/>
              <w:jc w:val="right"/>
              <w:rPr>
                <w:rFonts w:ascii="宋体" w:hAnsi="宋体" w:cs="宋体" w:eastAsia="宋体" w:hint="default"/>
                <w:sz w:val="24"/>
                <w:szCs w:val="24"/>
              </w:rPr>
            </w:pPr>
            <w:r>
              <w:rPr>
                <w:rFonts w:ascii="宋体" w:hAnsi="宋体" w:cs="宋体" w:eastAsia="宋体" w:hint="default"/>
                <w:b/>
                <w:bCs/>
                <w:sz w:val="24"/>
                <w:szCs w:val="24"/>
              </w:rPr>
              <w:t>营业成本</w:t>
            </w:r>
            <w:r>
              <w:rPr>
                <w:rFonts w:ascii="宋体" w:hAnsi="宋体" w:cs="宋体" w:eastAsia="宋体" w:hint="default"/>
                <w:sz w:val="24"/>
                <w:szCs w:val="24"/>
              </w:rPr>
            </w:r>
          </w:p>
        </w:tc>
      </w:tr>
      <w:tr>
        <w:trPr>
          <w:trHeight w:val="403" w:hRule="exact"/>
        </w:trPr>
        <w:tc>
          <w:tcPr>
            <w:tcW w:w="1631"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软件</w:t>
            </w:r>
          </w:p>
        </w:tc>
        <w:tc>
          <w:tcPr>
            <w:tcW w:w="219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84"/>
              <w:jc w:val="right"/>
              <w:rPr>
                <w:rFonts w:ascii="Arial Narrow" w:hAnsi="Arial Narrow" w:cs="Arial Narrow" w:eastAsia="Arial Narrow" w:hint="default"/>
                <w:sz w:val="24"/>
                <w:szCs w:val="24"/>
              </w:rPr>
            </w:pPr>
            <w:r>
              <w:rPr>
                <w:rFonts w:ascii="Arial Narrow"/>
                <w:spacing w:val="-1"/>
                <w:sz w:val="24"/>
              </w:rPr>
              <w:t>291,893,770.08</w:t>
            </w:r>
          </w:p>
        </w:tc>
        <w:tc>
          <w:tcPr>
            <w:tcW w:w="177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31"/>
              <w:jc w:val="right"/>
              <w:rPr>
                <w:rFonts w:ascii="Arial Narrow" w:hAnsi="Arial Narrow" w:cs="Arial Narrow" w:eastAsia="Arial Narrow" w:hint="default"/>
                <w:sz w:val="24"/>
                <w:szCs w:val="24"/>
              </w:rPr>
            </w:pPr>
            <w:r>
              <w:rPr>
                <w:rFonts w:ascii="Arial Narrow"/>
                <w:spacing w:val="-1"/>
                <w:sz w:val="24"/>
              </w:rPr>
              <w:t>78,394,991.50</w:t>
            </w:r>
          </w:p>
        </w:tc>
        <w:tc>
          <w:tcPr>
            <w:tcW w:w="1887"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85"/>
              <w:jc w:val="right"/>
              <w:rPr>
                <w:rFonts w:ascii="Arial Narrow" w:hAnsi="Arial Narrow" w:cs="Arial Narrow" w:eastAsia="Arial Narrow" w:hint="default"/>
                <w:sz w:val="24"/>
                <w:szCs w:val="24"/>
              </w:rPr>
            </w:pPr>
            <w:r>
              <w:rPr>
                <w:rFonts w:ascii="Arial Narrow"/>
                <w:spacing w:val="-1"/>
                <w:sz w:val="24"/>
              </w:rPr>
              <w:t>202,537,982.90</w:t>
            </w:r>
          </w:p>
        </w:tc>
        <w:tc>
          <w:tcPr>
            <w:tcW w:w="165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spacing w:val="-1"/>
                <w:sz w:val="24"/>
              </w:rPr>
              <w:t>64,205,977.99</w:t>
            </w:r>
          </w:p>
        </w:tc>
      </w:tr>
    </w:tbl>
    <w:p>
      <w:pPr>
        <w:pStyle w:val="BodyText"/>
        <w:spacing w:line="240" w:lineRule="auto" w:before="79"/>
        <w:ind w:left="502" w:right="173"/>
        <w:jc w:val="left"/>
      </w:pPr>
      <w:r>
        <w:rPr/>
        <w:t>（</w:t>
      </w:r>
      <w:r>
        <w:rPr>
          <w:rFonts w:ascii="Arial Narrow" w:hAnsi="Arial Narrow" w:cs="Arial Narrow" w:eastAsia="Arial Narrow" w:hint="default"/>
        </w:rPr>
        <w:t>3</w:t>
      </w:r>
      <w:r>
        <w:rPr/>
        <w:t>）主营业务（分产品）</w:t>
      </w:r>
    </w:p>
    <w:p>
      <w:pPr>
        <w:spacing w:line="240" w:lineRule="auto" w:before="13"/>
        <w:rPr>
          <w:rFonts w:ascii="宋体" w:hAnsi="宋体" w:cs="宋体" w:eastAsia="宋体" w:hint="default"/>
          <w:sz w:val="17"/>
          <w:szCs w:val="17"/>
        </w:rPr>
      </w:pPr>
    </w:p>
    <w:tbl>
      <w:tblPr>
        <w:tblW w:w="0" w:type="auto"/>
        <w:jc w:val="left"/>
        <w:tblInd w:w="547" w:type="dxa"/>
        <w:tblLayout w:type="fixed"/>
        <w:tblCellMar>
          <w:top w:w="0" w:type="dxa"/>
          <w:left w:w="0" w:type="dxa"/>
          <w:bottom w:w="0" w:type="dxa"/>
          <w:right w:w="0" w:type="dxa"/>
        </w:tblCellMar>
        <w:tblLook w:val="01E0"/>
      </w:tblPr>
      <w:tblGrid>
        <w:gridCol w:w="1953"/>
        <w:gridCol w:w="1878"/>
        <w:gridCol w:w="1779"/>
        <w:gridCol w:w="1886"/>
        <w:gridCol w:w="1655"/>
      </w:tblGrid>
      <w:tr>
        <w:trPr>
          <w:trHeight w:val="297" w:hRule="exact"/>
        </w:trPr>
        <w:tc>
          <w:tcPr>
            <w:tcW w:w="1953" w:type="dxa"/>
            <w:tcBorders>
              <w:top w:val="single" w:sz="8" w:space="0" w:color="000000"/>
              <w:left w:val="nil" w:sz="6" w:space="0" w:color="auto"/>
              <w:bottom w:val="nil" w:sz="6" w:space="0" w:color="auto"/>
              <w:right w:val="nil" w:sz="6" w:space="0" w:color="auto"/>
            </w:tcBorders>
          </w:tcPr>
          <w:p>
            <w:pPr/>
          </w:p>
        </w:tc>
        <w:tc>
          <w:tcPr>
            <w:tcW w:w="3657" w:type="dxa"/>
            <w:gridSpan w:val="2"/>
            <w:tcBorders>
              <w:top w:val="single" w:sz="8" w:space="0" w:color="000000"/>
              <w:left w:val="nil" w:sz="6" w:space="0" w:color="auto"/>
              <w:bottom w:val="nil" w:sz="6" w:space="0" w:color="auto"/>
              <w:right w:val="nil" w:sz="6" w:space="0" w:color="auto"/>
            </w:tcBorders>
          </w:tcPr>
          <w:p>
            <w:pPr>
              <w:pStyle w:val="TableParagraph"/>
              <w:spacing w:line="308" w:lineRule="exact"/>
              <w:ind w:left="1455"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3541" w:type="dxa"/>
            <w:gridSpan w:val="2"/>
            <w:tcBorders>
              <w:top w:val="single" w:sz="8" w:space="0" w:color="000000"/>
              <w:left w:val="nil" w:sz="6" w:space="0" w:color="auto"/>
              <w:bottom w:val="nil" w:sz="6" w:space="0" w:color="auto"/>
              <w:right w:val="nil" w:sz="6" w:space="0" w:color="auto"/>
            </w:tcBorders>
          </w:tcPr>
          <w:p>
            <w:pPr>
              <w:pStyle w:val="TableParagraph"/>
              <w:spacing w:line="308" w:lineRule="exact"/>
              <w:ind w:left="1404"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93" w:hRule="exact"/>
        </w:trPr>
        <w:tc>
          <w:tcPr>
            <w:tcW w:w="1953" w:type="dxa"/>
            <w:tcBorders>
              <w:top w:val="nil" w:sz="6" w:space="0" w:color="auto"/>
              <w:left w:val="nil" w:sz="6" w:space="0" w:color="auto"/>
              <w:bottom w:val="single" w:sz="4" w:space="0" w:color="000000"/>
              <w:right w:val="nil" w:sz="6" w:space="0" w:color="auto"/>
            </w:tcBorders>
          </w:tcPr>
          <w:p>
            <w:pPr>
              <w:pStyle w:val="TableParagraph"/>
              <w:spacing w:line="220" w:lineRule="exact"/>
              <w:ind w:left="122" w:right="0"/>
              <w:jc w:val="left"/>
              <w:rPr>
                <w:rFonts w:ascii="宋体" w:hAnsi="宋体" w:cs="宋体" w:eastAsia="宋体" w:hint="default"/>
                <w:sz w:val="24"/>
                <w:szCs w:val="24"/>
              </w:rPr>
            </w:pPr>
            <w:r>
              <w:rPr>
                <w:rFonts w:ascii="宋体" w:hAnsi="宋体" w:cs="宋体" w:eastAsia="宋体" w:hint="default"/>
                <w:b/>
                <w:bCs/>
                <w:sz w:val="24"/>
                <w:szCs w:val="24"/>
              </w:rPr>
              <w:t>产品名称</w:t>
            </w:r>
            <w:r>
              <w:rPr>
                <w:rFonts w:ascii="宋体" w:hAnsi="宋体" w:cs="宋体" w:eastAsia="宋体" w:hint="default"/>
                <w:sz w:val="24"/>
                <w:szCs w:val="24"/>
              </w:rPr>
            </w:r>
          </w:p>
        </w:tc>
        <w:tc>
          <w:tcPr>
            <w:tcW w:w="1878"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286"/>
              <w:jc w:val="right"/>
              <w:rPr>
                <w:rFonts w:ascii="宋体" w:hAnsi="宋体" w:cs="宋体" w:eastAsia="宋体" w:hint="default"/>
                <w:sz w:val="24"/>
                <w:szCs w:val="24"/>
              </w:rPr>
            </w:pPr>
            <w:r>
              <w:rPr>
                <w:rFonts w:ascii="宋体" w:hAnsi="宋体" w:cs="宋体" w:eastAsia="宋体" w:hint="default"/>
                <w:b/>
                <w:bCs/>
                <w:sz w:val="24"/>
                <w:szCs w:val="24"/>
              </w:rPr>
              <w:t>营业收入</w:t>
            </w:r>
            <w:r>
              <w:rPr>
                <w:rFonts w:ascii="宋体" w:hAnsi="宋体" w:cs="宋体" w:eastAsia="宋体" w:hint="default"/>
                <w:sz w:val="24"/>
                <w:szCs w:val="24"/>
              </w:rPr>
            </w:r>
          </w:p>
        </w:tc>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231"/>
              <w:jc w:val="right"/>
              <w:rPr>
                <w:rFonts w:ascii="宋体" w:hAnsi="宋体" w:cs="宋体" w:eastAsia="宋体" w:hint="default"/>
                <w:sz w:val="24"/>
                <w:szCs w:val="24"/>
              </w:rPr>
            </w:pPr>
            <w:r>
              <w:rPr>
                <w:rFonts w:ascii="宋体" w:hAnsi="宋体" w:cs="宋体" w:eastAsia="宋体" w:hint="default"/>
                <w:b/>
                <w:bCs/>
                <w:sz w:val="24"/>
                <w:szCs w:val="24"/>
              </w:rPr>
              <w:t>营业成本</w:t>
            </w:r>
            <w:r>
              <w:rPr>
                <w:rFonts w:ascii="宋体" w:hAnsi="宋体" w:cs="宋体" w:eastAsia="宋体" w:hint="default"/>
                <w:sz w:val="24"/>
                <w:szCs w:val="24"/>
              </w:rPr>
            </w:r>
          </w:p>
        </w:tc>
        <w:tc>
          <w:tcPr>
            <w:tcW w:w="1886"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286"/>
              <w:jc w:val="right"/>
              <w:rPr>
                <w:rFonts w:ascii="宋体" w:hAnsi="宋体" w:cs="宋体" w:eastAsia="宋体" w:hint="default"/>
                <w:sz w:val="24"/>
                <w:szCs w:val="24"/>
              </w:rPr>
            </w:pPr>
            <w:r>
              <w:rPr>
                <w:rFonts w:ascii="宋体" w:hAnsi="宋体" w:cs="宋体" w:eastAsia="宋体" w:hint="default"/>
                <w:b/>
                <w:bCs/>
                <w:sz w:val="24"/>
                <w:szCs w:val="24"/>
              </w:rPr>
              <w:t>营业收入</w:t>
            </w:r>
            <w:r>
              <w:rPr>
                <w:rFonts w:ascii="宋体" w:hAnsi="宋体" w:cs="宋体" w:eastAsia="宋体" w:hint="default"/>
                <w:sz w:val="24"/>
                <w:szCs w:val="24"/>
              </w:rPr>
            </w: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6"/>
              <w:jc w:val="right"/>
              <w:rPr>
                <w:rFonts w:ascii="宋体" w:hAnsi="宋体" w:cs="宋体" w:eastAsia="宋体" w:hint="default"/>
                <w:sz w:val="24"/>
                <w:szCs w:val="24"/>
              </w:rPr>
            </w:pPr>
            <w:r>
              <w:rPr>
                <w:rFonts w:ascii="宋体" w:hAnsi="宋体" w:cs="宋体" w:eastAsia="宋体" w:hint="default"/>
                <w:b/>
                <w:bCs/>
                <w:sz w:val="24"/>
                <w:szCs w:val="24"/>
              </w:rPr>
              <w:t>营业成本</w:t>
            </w:r>
            <w:r>
              <w:rPr>
                <w:rFonts w:ascii="宋体" w:hAnsi="宋体" w:cs="宋体" w:eastAsia="宋体" w:hint="default"/>
                <w:sz w:val="24"/>
                <w:szCs w:val="24"/>
              </w:rPr>
            </w:r>
          </w:p>
        </w:tc>
      </w:tr>
      <w:tr>
        <w:trPr>
          <w:trHeight w:val="439" w:hRule="exact"/>
        </w:trPr>
        <w:tc>
          <w:tcPr>
            <w:tcW w:w="195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17" w:right="0"/>
              <w:jc w:val="left"/>
              <w:rPr>
                <w:rFonts w:ascii="宋体" w:hAnsi="宋体" w:cs="宋体" w:eastAsia="宋体" w:hint="default"/>
                <w:sz w:val="21"/>
                <w:szCs w:val="21"/>
              </w:rPr>
            </w:pPr>
            <w:r>
              <w:rPr>
                <w:rFonts w:ascii="Arial Narrow" w:hAnsi="Arial Narrow" w:cs="Arial Narrow" w:eastAsia="Arial Narrow" w:hint="default"/>
                <w:sz w:val="21"/>
                <w:szCs w:val="21"/>
              </w:rPr>
              <w:t>GIS</w:t>
            </w:r>
            <w:r>
              <w:rPr>
                <w:rFonts w:ascii="Arial Narrow" w:hAnsi="Arial Narrow" w:cs="Arial Narrow" w:eastAsia="Arial Narrow" w:hint="default"/>
                <w:spacing w:val="6"/>
                <w:sz w:val="21"/>
                <w:szCs w:val="21"/>
              </w:rPr>
              <w:t> </w:t>
            </w:r>
            <w:r>
              <w:rPr>
                <w:rFonts w:ascii="宋体" w:hAnsi="宋体" w:cs="宋体" w:eastAsia="宋体" w:hint="default"/>
                <w:sz w:val="21"/>
                <w:szCs w:val="21"/>
              </w:rPr>
              <w:t>软件</w:t>
            </w:r>
          </w:p>
        </w:tc>
        <w:tc>
          <w:tcPr>
            <w:tcW w:w="187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83"/>
              <w:jc w:val="right"/>
              <w:rPr>
                <w:rFonts w:ascii="Arial Narrow" w:hAnsi="Arial Narrow" w:cs="Arial Narrow" w:eastAsia="Arial Narrow" w:hint="default"/>
                <w:sz w:val="21"/>
                <w:szCs w:val="21"/>
              </w:rPr>
            </w:pPr>
            <w:r>
              <w:rPr>
                <w:rFonts w:ascii="Arial Narrow"/>
                <w:spacing w:val="-1"/>
                <w:sz w:val="21"/>
              </w:rPr>
              <w:t>277,242,702.52</w:t>
            </w:r>
            <w:r>
              <w:rPr>
                <w:rFonts w:ascii="Arial Narrow"/>
                <w:sz w:val="21"/>
              </w:rPr>
            </w:r>
          </w:p>
        </w:tc>
        <w:tc>
          <w:tcPr>
            <w:tcW w:w="177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28"/>
              <w:jc w:val="right"/>
              <w:rPr>
                <w:rFonts w:ascii="Arial Narrow" w:hAnsi="Arial Narrow" w:cs="Arial Narrow" w:eastAsia="Arial Narrow" w:hint="default"/>
                <w:sz w:val="21"/>
                <w:szCs w:val="21"/>
              </w:rPr>
            </w:pPr>
            <w:r>
              <w:rPr>
                <w:rFonts w:ascii="Arial Narrow"/>
                <w:spacing w:val="-2"/>
                <w:sz w:val="21"/>
              </w:rPr>
              <w:t>66,911,540.13</w:t>
            </w:r>
          </w:p>
        </w:tc>
        <w:tc>
          <w:tcPr>
            <w:tcW w:w="188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84"/>
              <w:jc w:val="right"/>
              <w:rPr>
                <w:rFonts w:ascii="Arial Narrow" w:hAnsi="Arial Narrow" w:cs="Arial Narrow" w:eastAsia="Arial Narrow" w:hint="default"/>
                <w:sz w:val="21"/>
                <w:szCs w:val="21"/>
              </w:rPr>
            </w:pPr>
            <w:r>
              <w:rPr>
                <w:rFonts w:ascii="Arial Narrow"/>
                <w:spacing w:val="-1"/>
                <w:sz w:val="21"/>
              </w:rPr>
              <w:t>186,254,207.52</w:t>
            </w:r>
            <w:r>
              <w:rPr>
                <w:rFonts w:ascii="Arial Narrow"/>
                <w:sz w:val="21"/>
              </w:rPr>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4"/>
              <w:jc w:val="right"/>
              <w:rPr>
                <w:rFonts w:ascii="Arial Narrow" w:hAnsi="Arial Narrow" w:cs="Arial Narrow" w:eastAsia="Arial Narrow" w:hint="default"/>
                <w:sz w:val="21"/>
                <w:szCs w:val="21"/>
              </w:rPr>
            </w:pPr>
            <w:r>
              <w:rPr>
                <w:rFonts w:ascii="Arial Narrow"/>
                <w:spacing w:val="-1"/>
                <w:sz w:val="21"/>
              </w:rPr>
              <w:t>49,811,120.55</w:t>
            </w:r>
            <w:r>
              <w:rPr>
                <w:rFonts w:ascii="Arial Narrow"/>
                <w:sz w:val="21"/>
              </w:rPr>
            </w:r>
          </w:p>
        </w:tc>
      </w:tr>
      <w:tr>
        <w:trPr>
          <w:trHeight w:val="516" w:hRule="exact"/>
        </w:trPr>
        <w:tc>
          <w:tcPr>
            <w:tcW w:w="195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117" w:right="0"/>
              <w:jc w:val="left"/>
              <w:rPr>
                <w:rFonts w:ascii="宋体" w:hAnsi="宋体" w:cs="宋体" w:eastAsia="宋体" w:hint="default"/>
                <w:sz w:val="21"/>
                <w:szCs w:val="21"/>
              </w:rPr>
            </w:pPr>
            <w:r>
              <w:rPr>
                <w:rFonts w:ascii="Arial Narrow" w:hAnsi="Arial Narrow" w:cs="Arial Narrow" w:eastAsia="Arial Narrow" w:hint="default"/>
                <w:sz w:val="21"/>
                <w:szCs w:val="21"/>
              </w:rPr>
              <w:t>GIS</w:t>
            </w:r>
            <w:r>
              <w:rPr>
                <w:rFonts w:ascii="Arial Narrow" w:hAnsi="Arial Narrow" w:cs="Arial Narrow" w:eastAsia="Arial Narrow" w:hint="default"/>
                <w:spacing w:val="4"/>
                <w:sz w:val="21"/>
                <w:szCs w:val="21"/>
              </w:rPr>
              <w:t> </w:t>
            </w:r>
            <w:r>
              <w:rPr>
                <w:rFonts w:ascii="宋体" w:hAnsi="宋体" w:cs="宋体" w:eastAsia="宋体" w:hint="default"/>
                <w:sz w:val="21"/>
                <w:szCs w:val="21"/>
              </w:rPr>
              <w:t>软件配套产品</w:t>
            </w:r>
          </w:p>
        </w:tc>
        <w:tc>
          <w:tcPr>
            <w:tcW w:w="1878"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283"/>
              <w:jc w:val="right"/>
              <w:rPr>
                <w:rFonts w:ascii="Arial Narrow" w:hAnsi="Arial Narrow" w:cs="Arial Narrow" w:eastAsia="Arial Narrow" w:hint="default"/>
                <w:sz w:val="21"/>
                <w:szCs w:val="21"/>
              </w:rPr>
            </w:pPr>
            <w:r>
              <w:rPr>
                <w:rFonts w:ascii="Arial Narrow"/>
                <w:spacing w:val="-1"/>
                <w:sz w:val="21"/>
              </w:rPr>
              <w:t>14,651,067.56</w:t>
            </w:r>
            <w:r>
              <w:rPr>
                <w:rFonts w:ascii="Arial Narrow"/>
                <w:sz w:val="21"/>
              </w:rPr>
            </w:r>
          </w:p>
        </w:tc>
        <w:tc>
          <w:tcPr>
            <w:tcW w:w="1779"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228"/>
              <w:jc w:val="right"/>
              <w:rPr>
                <w:rFonts w:ascii="Arial Narrow" w:hAnsi="Arial Narrow" w:cs="Arial Narrow" w:eastAsia="Arial Narrow" w:hint="default"/>
                <w:sz w:val="21"/>
                <w:szCs w:val="21"/>
              </w:rPr>
            </w:pPr>
            <w:r>
              <w:rPr>
                <w:rFonts w:ascii="Arial Narrow"/>
                <w:spacing w:val="-2"/>
                <w:sz w:val="21"/>
              </w:rPr>
              <w:t>11,483,451.37</w:t>
            </w:r>
          </w:p>
        </w:tc>
        <w:tc>
          <w:tcPr>
            <w:tcW w:w="1886"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284"/>
              <w:jc w:val="right"/>
              <w:rPr>
                <w:rFonts w:ascii="Arial Narrow" w:hAnsi="Arial Narrow" w:cs="Arial Narrow" w:eastAsia="Arial Narrow" w:hint="default"/>
                <w:sz w:val="21"/>
                <w:szCs w:val="21"/>
              </w:rPr>
            </w:pPr>
            <w:r>
              <w:rPr>
                <w:rFonts w:ascii="Arial Narrow"/>
                <w:spacing w:val="-1"/>
                <w:sz w:val="21"/>
              </w:rPr>
              <w:t>16,283,775.38</w:t>
            </w:r>
            <w:r>
              <w:rPr>
                <w:rFonts w:ascii="Arial Narrow"/>
                <w:sz w:val="21"/>
              </w:rPr>
            </w: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108"/>
              <w:ind w:right="104"/>
              <w:jc w:val="right"/>
              <w:rPr>
                <w:rFonts w:ascii="Arial Narrow" w:hAnsi="Arial Narrow" w:cs="Arial Narrow" w:eastAsia="Arial Narrow" w:hint="default"/>
                <w:sz w:val="21"/>
                <w:szCs w:val="21"/>
              </w:rPr>
            </w:pPr>
            <w:r>
              <w:rPr>
                <w:rFonts w:ascii="Arial Narrow"/>
                <w:spacing w:val="-1"/>
                <w:sz w:val="21"/>
              </w:rPr>
              <w:t>14,394,857.44</w:t>
            </w:r>
            <w:r>
              <w:rPr>
                <w:rFonts w:ascii="Arial Narrow"/>
                <w:sz w:val="21"/>
              </w:rPr>
            </w:r>
          </w:p>
        </w:tc>
      </w:tr>
      <w:tr>
        <w:trPr>
          <w:trHeight w:val="403" w:hRule="exact"/>
        </w:trPr>
        <w:tc>
          <w:tcPr>
            <w:tcW w:w="1953"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878"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87"/>
              <w:jc w:val="right"/>
              <w:rPr>
                <w:rFonts w:ascii="Arial Narrow" w:hAnsi="Arial Narrow" w:cs="Arial Narrow" w:eastAsia="Arial Narrow" w:hint="default"/>
                <w:sz w:val="24"/>
                <w:szCs w:val="24"/>
              </w:rPr>
            </w:pPr>
            <w:r>
              <w:rPr>
                <w:rFonts w:ascii="Arial Narrow"/>
                <w:b/>
                <w:spacing w:val="-1"/>
                <w:sz w:val="24"/>
              </w:rPr>
              <w:t>291,893,770.08</w:t>
            </w:r>
            <w:r>
              <w:rPr>
                <w:rFonts w:ascii="Arial Narrow"/>
                <w:spacing w:val="-1"/>
                <w:sz w:val="24"/>
              </w:rPr>
            </w:r>
          </w:p>
        </w:tc>
        <w:tc>
          <w:tcPr>
            <w:tcW w:w="177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31"/>
              <w:jc w:val="right"/>
              <w:rPr>
                <w:rFonts w:ascii="Arial Narrow" w:hAnsi="Arial Narrow" w:cs="Arial Narrow" w:eastAsia="Arial Narrow" w:hint="default"/>
                <w:sz w:val="24"/>
                <w:szCs w:val="24"/>
              </w:rPr>
            </w:pPr>
            <w:r>
              <w:rPr>
                <w:rFonts w:ascii="Arial Narrow"/>
                <w:b/>
                <w:spacing w:val="-1"/>
                <w:sz w:val="24"/>
              </w:rPr>
              <w:t>78,394,991.50</w:t>
            </w:r>
            <w:r>
              <w:rPr>
                <w:rFonts w:ascii="Arial Narrow"/>
                <w:spacing w:val="-1"/>
                <w:sz w:val="24"/>
              </w:rPr>
            </w:r>
          </w:p>
        </w:tc>
        <w:tc>
          <w:tcPr>
            <w:tcW w:w="188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84"/>
              <w:jc w:val="right"/>
              <w:rPr>
                <w:rFonts w:ascii="Arial Narrow" w:hAnsi="Arial Narrow" w:cs="Arial Narrow" w:eastAsia="Arial Narrow" w:hint="default"/>
                <w:sz w:val="24"/>
                <w:szCs w:val="24"/>
              </w:rPr>
            </w:pPr>
            <w:r>
              <w:rPr>
                <w:rFonts w:ascii="Arial Narrow"/>
                <w:b/>
                <w:spacing w:val="-1"/>
                <w:sz w:val="24"/>
              </w:rPr>
              <w:t>202,537,982.90</w:t>
            </w:r>
            <w:r>
              <w:rPr>
                <w:rFonts w:ascii="Arial Narrow"/>
                <w:spacing w:val="-1"/>
                <w:sz w:val="24"/>
              </w:rPr>
            </w:r>
          </w:p>
        </w:tc>
        <w:tc>
          <w:tcPr>
            <w:tcW w:w="165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b/>
                <w:spacing w:val="-1"/>
                <w:sz w:val="24"/>
              </w:rPr>
              <w:t>64,205,977.99</w:t>
            </w:r>
            <w:r>
              <w:rPr>
                <w:rFonts w:ascii="Arial Narrow"/>
                <w:spacing w:val="-1"/>
                <w:sz w:val="24"/>
              </w:rPr>
            </w:r>
          </w:p>
        </w:tc>
      </w:tr>
    </w:tbl>
    <w:p>
      <w:pPr>
        <w:pStyle w:val="BodyText"/>
        <w:spacing w:line="240" w:lineRule="auto" w:before="79"/>
        <w:ind w:left="502" w:right="173"/>
        <w:jc w:val="left"/>
      </w:pPr>
      <w:r>
        <w:rPr/>
        <w:t>（</w:t>
      </w:r>
      <w:r>
        <w:rPr>
          <w:rFonts w:ascii="Arial Narrow" w:hAnsi="Arial Narrow" w:cs="Arial Narrow" w:eastAsia="Arial Narrow" w:hint="default"/>
        </w:rPr>
        <w:t>4</w:t>
      </w:r>
      <w:r>
        <w:rPr/>
        <w:t>）主营业务（分地区）</w:t>
      </w:r>
    </w:p>
    <w:p>
      <w:pPr>
        <w:spacing w:line="240" w:lineRule="auto" w:before="13"/>
        <w:rPr>
          <w:rFonts w:ascii="宋体" w:hAnsi="宋体" w:cs="宋体" w:eastAsia="宋体" w:hint="default"/>
          <w:sz w:val="17"/>
          <w:szCs w:val="17"/>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808;height:2" coordorigin="10,10" coordsize="1808,2">
              <v:shape style="position:absolute;left:10;top:10;width:1808;height:2" coordorigin="10,10" coordsize="1808,0" path="m10,10l1817,10e" filled="false" stroked="true" strokeweight=".95996pt" strokecolor="#000000">
                <v:path arrowok="t"/>
              </v:shape>
            </v:group>
            <v:group style="position:absolute;left:1817;top:10;width:20;height:2" coordorigin="1817,10" coordsize="20,2">
              <v:shape style="position:absolute;left:1817;top:10;width:20;height:2" coordorigin="1817,10" coordsize="20,0" path="m1817,10l1836,10e" filled="false" stroked="true" strokeweight=".95996pt" strokecolor="#000000">
                <v:path arrowok="t"/>
              </v:shape>
            </v:group>
            <v:group style="position:absolute;left:1836;top:10;width:3645;height:2" coordorigin="1836,10" coordsize="3645,2">
              <v:shape style="position:absolute;left:1836;top:10;width:3645;height:2" coordorigin="1836,10" coordsize="3645,0" path="m1836,10l5480,10e" filled="false" stroked="true" strokeweight=".95996pt" strokecolor="#000000">
                <v:path arrowok="t"/>
              </v:shape>
            </v:group>
            <v:group style="position:absolute;left:5480;top:10;width:20;height:2" coordorigin="5480,10" coordsize="20,2">
              <v:shape style="position:absolute;left:5480;top:10;width:20;height:2" coordorigin="5480,10" coordsize="20,0" path="m5480,10l5499,10e" filled="false" stroked="true" strokeweight=".95996pt" strokecolor="#000000">
                <v:path arrowok="t"/>
              </v:shape>
            </v:group>
            <v:group style="position:absolute;left:5499;top:10;width:3647;height:2" coordorigin="5499,10" coordsize="3647,2">
              <v:shape style="position:absolute;left:5499;top:10;width:3647;height:2" coordorigin="5499,10" coordsize="3647,0" path="m5499,10l9146,10e" filled="false" stroked="true" strokeweight=".959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66"/>
          <w:pgSz w:w="11900" w:h="16850"/>
          <w:pgMar w:footer="919" w:header="0" w:top="1640" w:bottom="1100" w:left="1140" w:right="940"/>
          <w:pgNumType w:start="151"/>
        </w:sectPr>
      </w:pPr>
    </w:p>
    <w:p>
      <w:pPr>
        <w:spacing w:line="240" w:lineRule="auto" w:before="8"/>
        <w:rPr>
          <w:rFonts w:ascii="宋体" w:hAnsi="宋体" w:cs="宋体" w:eastAsia="宋体" w:hint="default"/>
          <w:sz w:val="16"/>
          <w:szCs w:val="16"/>
        </w:rPr>
      </w:pPr>
      <w:r>
        <w:rPr/>
        <w:pict>
          <v:group style="position:absolute;margin-left:62.664001pt;margin-top:85.93998pt;width:477.25pt;height:.1pt;mso-position-horizontal-relative:page;mso-position-vertical-relative:page;z-index:-764608" coordorigin="1253,1719" coordsize="9545,2">
            <v:shape style="position:absolute;left:1253;top:1719;width:9545;height:2" coordorigin="1253,1719" coordsize="9545,0" path="m1253,1719l10798,1719e" filled="false" stroked="true" strokeweight=".72pt" strokecolor="#000000">
              <v:path arrowok="t"/>
            </v:shape>
            <w10:wrap type="none"/>
          </v:group>
        </w:pict>
      </w:r>
    </w:p>
    <w:p>
      <w:pPr>
        <w:spacing w:before="0"/>
        <w:ind w:left="670" w:right="-19" w:firstLine="0"/>
        <w:jc w:val="left"/>
        <w:rPr>
          <w:rFonts w:ascii="宋体" w:hAnsi="宋体" w:cs="宋体" w:eastAsia="宋体" w:hint="default"/>
          <w:sz w:val="21"/>
          <w:szCs w:val="21"/>
        </w:rPr>
      </w:pPr>
      <w:r>
        <w:rPr/>
        <w:pict>
          <v:shape style="position:absolute;margin-left:85.103996pt;margin-top:12.668671pt;width:456.85pt;height:75.4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79"/>
                    <w:gridCol w:w="2417"/>
                    <w:gridCol w:w="1833"/>
                    <w:gridCol w:w="1880"/>
                    <w:gridCol w:w="1527"/>
                  </w:tblGrid>
                  <w:tr>
                    <w:trPr>
                      <w:trHeight w:val="309" w:hRule="exact"/>
                    </w:trPr>
                    <w:tc>
                      <w:tcPr>
                        <w:tcW w:w="1479" w:type="dxa"/>
                        <w:tcBorders>
                          <w:top w:val="nil" w:sz="6" w:space="0" w:color="auto"/>
                          <w:left w:val="nil" w:sz="6" w:space="0" w:color="auto"/>
                          <w:bottom w:val="single" w:sz="4" w:space="0" w:color="000000"/>
                          <w:right w:val="nil" w:sz="6" w:space="0" w:color="auto"/>
                        </w:tcBorders>
                      </w:tcPr>
                      <w:p>
                        <w:pPr/>
                      </w:p>
                    </w:tc>
                    <w:tc>
                      <w:tcPr>
                        <w:tcW w:w="2417" w:type="dxa"/>
                        <w:tcBorders>
                          <w:top w:val="nil" w:sz="6" w:space="0" w:color="auto"/>
                          <w:left w:val="nil" w:sz="6" w:space="0" w:color="auto"/>
                          <w:bottom w:val="single" w:sz="4" w:space="0" w:color="000000"/>
                          <w:right w:val="nil" w:sz="6" w:space="0" w:color="auto"/>
                        </w:tcBorders>
                      </w:tcPr>
                      <w:p>
                        <w:pPr>
                          <w:pStyle w:val="TableParagraph"/>
                          <w:spacing w:line="211" w:lineRule="exact"/>
                          <w:ind w:right="364"/>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833" w:type="dxa"/>
                        <w:tcBorders>
                          <w:top w:val="nil" w:sz="6" w:space="0" w:color="auto"/>
                          <w:left w:val="nil" w:sz="6" w:space="0" w:color="auto"/>
                          <w:bottom w:val="single" w:sz="4" w:space="0" w:color="000000"/>
                          <w:right w:val="nil" w:sz="6" w:space="0" w:color="auto"/>
                        </w:tcBorders>
                      </w:tcPr>
                      <w:p>
                        <w:pPr>
                          <w:pStyle w:val="TableParagraph"/>
                          <w:spacing w:line="211" w:lineRule="exact"/>
                          <w:ind w:right="363"/>
                          <w:jc w:val="righ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880" w:type="dxa"/>
                        <w:tcBorders>
                          <w:top w:val="nil" w:sz="6" w:space="0" w:color="auto"/>
                          <w:left w:val="nil" w:sz="6" w:space="0" w:color="auto"/>
                          <w:bottom w:val="single" w:sz="4" w:space="0" w:color="000000"/>
                          <w:right w:val="nil" w:sz="6" w:space="0" w:color="auto"/>
                        </w:tcBorders>
                      </w:tcPr>
                      <w:p>
                        <w:pPr>
                          <w:pStyle w:val="TableParagraph"/>
                          <w:spacing w:line="211" w:lineRule="exact"/>
                          <w:ind w:right="411"/>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27" w:type="dxa"/>
                        <w:tcBorders>
                          <w:top w:val="nil" w:sz="6" w:space="0" w:color="auto"/>
                          <w:left w:val="nil" w:sz="6" w:space="0" w:color="auto"/>
                          <w:bottom w:val="single" w:sz="4" w:space="0" w:color="000000"/>
                          <w:right w:val="nil" w:sz="6" w:space="0" w:color="auto"/>
                        </w:tcBorders>
                      </w:tcPr>
                      <w:p>
                        <w:pPr>
                          <w:pStyle w:val="TableParagraph"/>
                          <w:spacing w:line="211" w:lineRule="exact"/>
                          <w:ind w:right="104"/>
                          <w:jc w:val="righ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98" w:hRule="exact"/>
                    </w:trPr>
                    <w:tc>
                      <w:tcPr>
                        <w:tcW w:w="147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41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363"/>
                          <w:jc w:val="right"/>
                          <w:rPr>
                            <w:rFonts w:ascii="Arial Narrow" w:hAnsi="Arial Narrow" w:cs="Arial Narrow" w:eastAsia="Arial Narrow" w:hint="default"/>
                            <w:sz w:val="21"/>
                            <w:szCs w:val="21"/>
                          </w:rPr>
                        </w:pPr>
                        <w:r>
                          <w:rPr>
                            <w:rFonts w:ascii="Arial Narrow"/>
                            <w:spacing w:val="-1"/>
                            <w:sz w:val="21"/>
                          </w:rPr>
                          <w:t>78,047,992.19</w:t>
                        </w:r>
                        <w:r>
                          <w:rPr>
                            <w:rFonts w:ascii="Arial Narrow"/>
                            <w:sz w:val="21"/>
                          </w:rPr>
                        </w:r>
                      </w:p>
                    </w:tc>
                    <w:tc>
                      <w:tcPr>
                        <w:tcW w:w="183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361"/>
                          <w:jc w:val="right"/>
                          <w:rPr>
                            <w:rFonts w:ascii="Arial Narrow" w:hAnsi="Arial Narrow" w:cs="Arial Narrow" w:eastAsia="Arial Narrow" w:hint="default"/>
                            <w:sz w:val="21"/>
                            <w:szCs w:val="21"/>
                          </w:rPr>
                        </w:pPr>
                        <w:r>
                          <w:rPr>
                            <w:rFonts w:ascii="Arial Narrow"/>
                            <w:spacing w:val="-2"/>
                            <w:sz w:val="21"/>
                          </w:rPr>
                          <w:t>11,105,331.92</w:t>
                        </w:r>
                      </w:p>
                    </w:tc>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411"/>
                          <w:jc w:val="right"/>
                          <w:rPr>
                            <w:rFonts w:ascii="Arial Narrow" w:hAnsi="Arial Narrow" w:cs="Arial Narrow" w:eastAsia="Arial Narrow" w:hint="default"/>
                            <w:sz w:val="21"/>
                            <w:szCs w:val="21"/>
                          </w:rPr>
                        </w:pPr>
                        <w:r>
                          <w:rPr>
                            <w:rFonts w:ascii="Arial Narrow"/>
                            <w:spacing w:val="-1"/>
                            <w:sz w:val="21"/>
                          </w:rPr>
                          <w:t>82,582,827.85</w:t>
                        </w:r>
                        <w:r>
                          <w:rPr>
                            <w:rFonts w:ascii="Arial Narrow"/>
                            <w:sz w:val="21"/>
                          </w:rPr>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4"/>
                          <w:jc w:val="right"/>
                          <w:rPr>
                            <w:rFonts w:ascii="Arial Narrow" w:hAnsi="Arial Narrow" w:cs="Arial Narrow" w:eastAsia="Arial Narrow" w:hint="default"/>
                            <w:sz w:val="21"/>
                            <w:szCs w:val="21"/>
                          </w:rPr>
                        </w:pPr>
                        <w:r>
                          <w:rPr>
                            <w:rFonts w:ascii="Arial Narrow"/>
                            <w:spacing w:val="-1"/>
                            <w:sz w:val="21"/>
                          </w:rPr>
                          <w:t>26179342.52</w:t>
                        </w:r>
                        <w:r>
                          <w:rPr>
                            <w:rFonts w:ascii="Arial Narrow"/>
                            <w:sz w:val="21"/>
                          </w:rPr>
                        </w:r>
                      </w:p>
                    </w:tc>
                  </w:tr>
                  <w:tr>
                    <w:trPr>
                      <w:trHeight w:val="394"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63"/>
                          <w:jc w:val="right"/>
                          <w:rPr>
                            <w:rFonts w:ascii="Arial Narrow" w:hAnsi="Arial Narrow" w:cs="Arial Narrow" w:eastAsia="Arial Narrow" w:hint="default"/>
                            <w:sz w:val="21"/>
                            <w:szCs w:val="21"/>
                          </w:rPr>
                        </w:pPr>
                        <w:r>
                          <w:rPr>
                            <w:rFonts w:ascii="Arial Narrow"/>
                            <w:spacing w:val="-1"/>
                            <w:sz w:val="21"/>
                          </w:rPr>
                          <w:t>10,894,280.71</w:t>
                        </w:r>
                        <w:r>
                          <w:rPr>
                            <w:rFonts w:ascii="Arial Narrow"/>
                            <w:sz w:val="21"/>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62"/>
                          <w:jc w:val="right"/>
                          <w:rPr>
                            <w:rFonts w:ascii="Arial Narrow" w:hAnsi="Arial Narrow" w:cs="Arial Narrow" w:eastAsia="Arial Narrow" w:hint="default"/>
                            <w:sz w:val="21"/>
                            <w:szCs w:val="21"/>
                          </w:rPr>
                        </w:pPr>
                        <w:r>
                          <w:rPr>
                            <w:rFonts w:ascii="Arial Narrow"/>
                            <w:spacing w:val="-1"/>
                            <w:sz w:val="21"/>
                          </w:rPr>
                          <w:t>2,288,704.01</w:t>
                        </w:r>
                        <w:r>
                          <w:rPr>
                            <w:rFonts w:ascii="Arial Narrow"/>
                            <w:sz w:val="21"/>
                          </w:rPr>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11"/>
                          <w:jc w:val="right"/>
                          <w:rPr>
                            <w:rFonts w:ascii="Arial Narrow" w:hAnsi="Arial Narrow" w:cs="Arial Narrow" w:eastAsia="Arial Narrow" w:hint="default"/>
                            <w:sz w:val="21"/>
                            <w:szCs w:val="21"/>
                          </w:rPr>
                        </w:pPr>
                        <w:r>
                          <w:rPr>
                            <w:rFonts w:ascii="Arial Narrow"/>
                            <w:spacing w:val="-1"/>
                            <w:sz w:val="21"/>
                          </w:rPr>
                          <w:t>7,207,061.01</w:t>
                        </w:r>
                        <w:r>
                          <w:rPr>
                            <w:rFonts w:ascii="Arial Narrow"/>
                            <w:sz w:val="21"/>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4"/>
                          <w:jc w:val="right"/>
                          <w:rPr>
                            <w:rFonts w:ascii="Arial Narrow" w:hAnsi="Arial Narrow" w:cs="Arial Narrow" w:eastAsia="Arial Narrow" w:hint="default"/>
                            <w:sz w:val="21"/>
                            <w:szCs w:val="21"/>
                          </w:rPr>
                        </w:pPr>
                        <w:r>
                          <w:rPr>
                            <w:rFonts w:ascii="Arial Narrow"/>
                            <w:spacing w:val="-1"/>
                            <w:sz w:val="21"/>
                          </w:rPr>
                          <w:t>2,284,689.49</w:t>
                        </w:r>
                        <w:r>
                          <w:rPr>
                            <w:rFonts w:ascii="Arial Narrow"/>
                            <w:sz w:val="21"/>
                          </w:rPr>
                        </w:r>
                      </w:p>
                    </w:tc>
                  </w:tr>
                  <w:tr>
                    <w:trPr>
                      <w:trHeight w:val="408"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241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3"/>
                          <w:jc w:val="right"/>
                          <w:rPr>
                            <w:rFonts w:ascii="Arial Narrow" w:hAnsi="Arial Narrow" w:cs="Arial Narrow" w:eastAsia="Arial Narrow" w:hint="default"/>
                            <w:sz w:val="21"/>
                            <w:szCs w:val="21"/>
                          </w:rPr>
                        </w:pPr>
                        <w:r>
                          <w:rPr>
                            <w:rFonts w:ascii="Arial Narrow"/>
                            <w:spacing w:val="-1"/>
                            <w:sz w:val="21"/>
                          </w:rPr>
                          <w:t>40,224,986.66</w:t>
                        </w:r>
                        <w:r>
                          <w:rPr>
                            <w:rFonts w:ascii="Arial Narrow"/>
                            <w:sz w:val="21"/>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2"/>
                          <w:jc w:val="right"/>
                          <w:rPr>
                            <w:rFonts w:ascii="Arial Narrow" w:hAnsi="Arial Narrow" w:cs="Arial Narrow" w:eastAsia="Arial Narrow" w:hint="default"/>
                            <w:sz w:val="21"/>
                            <w:szCs w:val="21"/>
                          </w:rPr>
                        </w:pPr>
                        <w:r>
                          <w:rPr>
                            <w:rFonts w:ascii="Arial Narrow"/>
                            <w:spacing w:val="-1"/>
                            <w:sz w:val="21"/>
                          </w:rPr>
                          <w:t>12,543,654.02</w:t>
                        </w:r>
                        <w:r>
                          <w:rPr>
                            <w:rFonts w:ascii="Arial Narrow"/>
                            <w:sz w:val="21"/>
                          </w:rPr>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11"/>
                          <w:jc w:val="right"/>
                          <w:rPr>
                            <w:rFonts w:ascii="Arial Narrow" w:hAnsi="Arial Narrow" w:cs="Arial Narrow" w:eastAsia="Arial Narrow" w:hint="default"/>
                            <w:sz w:val="21"/>
                            <w:szCs w:val="21"/>
                          </w:rPr>
                        </w:pPr>
                        <w:r>
                          <w:rPr>
                            <w:rFonts w:ascii="Arial Narrow"/>
                            <w:spacing w:val="-1"/>
                            <w:sz w:val="21"/>
                          </w:rPr>
                          <w:t>20,894,065.96</w:t>
                        </w:r>
                        <w:r>
                          <w:rPr>
                            <w:rFonts w:ascii="Arial Narrow"/>
                            <w:sz w:val="21"/>
                          </w:rPr>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4"/>
                          <w:jc w:val="right"/>
                          <w:rPr>
                            <w:rFonts w:ascii="Arial Narrow" w:hAnsi="Arial Narrow" w:cs="Arial Narrow" w:eastAsia="Arial Narrow" w:hint="default"/>
                            <w:sz w:val="21"/>
                            <w:szCs w:val="21"/>
                          </w:rPr>
                        </w:pPr>
                        <w:r>
                          <w:rPr>
                            <w:rFonts w:ascii="Arial Narrow"/>
                            <w:spacing w:val="-1"/>
                            <w:sz w:val="21"/>
                          </w:rPr>
                          <w:t>6,623,567.19</w:t>
                        </w:r>
                        <w:r>
                          <w:rPr>
                            <w:rFonts w:ascii="Arial Narrow"/>
                            <w:sz w:val="21"/>
                          </w:rPr>
                        </w:r>
                      </w:p>
                    </w:tc>
                  </w:tr>
                </w:tbl>
                <w:p>
                  <w:pPr/>
                </w:p>
              </w:txbxContent>
            </v:textbox>
            <w10:wrap type="none"/>
          </v:shape>
        </w:pict>
      </w:r>
      <w:r>
        <w:rPr>
          <w:rFonts w:ascii="宋体" w:hAnsi="宋体" w:cs="宋体" w:eastAsia="宋体" w:hint="default"/>
          <w:b/>
          <w:bCs/>
          <w:sz w:val="21"/>
          <w:szCs w:val="21"/>
        </w:rPr>
        <w:t>地区名称</w:t>
      </w:r>
      <w:r>
        <w:rPr>
          <w:rFonts w:ascii="宋体" w:hAnsi="宋体" w:cs="宋体" w:eastAsia="宋体" w:hint="default"/>
          <w:sz w:val="21"/>
          <w:szCs w:val="21"/>
        </w:rPr>
      </w:r>
    </w:p>
    <w:p>
      <w:pPr>
        <w:tabs>
          <w:tab w:pos="4283" w:val="left" w:leader="none"/>
        </w:tabs>
        <w:spacing w:before="20"/>
        <w:ind w:left="670"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本期发生额</w:t>
        <w:tab/>
        <w:t>上期发生额</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50"/>
          <w:pgMar w:top="440" w:bottom="280" w:left="1140" w:right="940"/>
          <w:cols w:num="2" w:equalWidth="0">
            <w:col w:w="1515" w:space="1802"/>
            <w:col w:w="6503"/>
          </w:cols>
        </w:sectPr>
      </w:pPr>
    </w:p>
    <w:p>
      <w:pPr>
        <w:spacing w:line="240" w:lineRule="auto" w:before="1"/>
        <w:rPr>
          <w:rFonts w:ascii="宋体" w:hAnsi="宋体" w:cs="宋体" w:eastAsia="宋体" w:hint="default"/>
          <w:b/>
          <w:bCs/>
          <w:sz w:val="5"/>
          <w:szCs w:val="5"/>
        </w:rPr>
      </w:pPr>
    </w:p>
    <w:tbl>
      <w:tblPr>
        <w:tblW w:w="0" w:type="auto"/>
        <w:jc w:val="left"/>
        <w:tblInd w:w="122" w:type="dxa"/>
        <w:tblLayout w:type="fixed"/>
        <w:tblCellMar>
          <w:top w:w="0" w:type="dxa"/>
          <w:left w:w="0" w:type="dxa"/>
          <w:bottom w:w="0" w:type="dxa"/>
          <w:right w:w="0" w:type="dxa"/>
        </w:tblCellMar>
        <w:tblLook w:val="01E0"/>
      </w:tblPr>
      <w:tblGrid>
        <w:gridCol w:w="400"/>
        <w:gridCol w:w="1536"/>
        <w:gridCol w:w="2359"/>
        <w:gridCol w:w="1784"/>
        <w:gridCol w:w="1882"/>
        <w:gridCol w:w="1534"/>
      </w:tblGrid>
      <w:tr>
        <w:trPr>
          <w:trHeight w:val="494" w:hRule="exact"/>
        </w:trPr>
        <w:tc>
          <w:tcPr>
            <w:tcW w:w="400" w:type="dxa"/>
            <w:tcBorders>
              <w:top w:val="single" w:sz="6" w:space="0" w:color="000000"/>
              <w:left w:val="nil" w:sz="6" w:space="0" w:color="auto"/>
              <w:bottom w:val="nil" w:sz="6" w:space="0" w:color="auto"/>
              <w:right w:val="nil" w:sz="6" w:space="0" w:color="auto"/>
            </w:tcBorders>
          </w:tcPr>
          <w:p>
            <w:pPr/>
          </w:p>
        </w:tc>
        <w:tc>
          <w:tcPr>
            <w:tcW w:w="1536"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2359"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right="363"/>
              <w:jc w:val="right"/>
              <w:rPr>
                <w:rFonts w:ascii="Arial Narrow" w:hAnsi="Arial Narrow" w:cs="Arial Narrow" w:eastAsia="Arial Narrow" w:hint="default"/>
                <w:sz w:val="21"/>
                <w:szCs w:val="21"/>
              </w:rPr>
            </w:pPr>
            <w:r>
              <w:rPr>
                <w:rFonts w:ascii="Arial Narrow"/>
                <w:spacing w:val="-1"/>
                <w:sz w:val="21"/>
              </w:rPr>
              <w:t>33,960,155.53</w:t>
            </w:r>
            <w:r>
              <w:rPr>
                <w:rFonts w:ascii="Arial Narrow"/>
                <w:sz w:val="21"/>
              </w:rPr>
            </w:r>
          </w:p>
        </w:tc>
        <w:tc>
          <w:tcPr>
            <w:tcW w:w="1784"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right="312"/>
              <w:jc w:val="right"/>
              <w:rPr>
                <w:rFonts w:ascii="Arial Narrow" w:hAnsi="Arial Narrow" w:cs="Arial Narrow" w:eastAsia="Arial Narrow" w:hint="default"/>
                <w:sz w:val="21"/>
                <w:szCs w:val="21"/>
              </w:rPr>
            </w:pPr>
            <w:r>
              <w:rPr>
                <w:rFonts w:ascii="Arial Narrow"/>
                <w:spacing w:val="-2"/>
                <w:sz w:val="21"/>
              </w:rPr>
              <w:t>11,346,630.05</w:t>
            </w:r>
          </w:p>
        </w:tc>
        <w:tc>
          <w:tcPr>
            <w:tcW w:w="1882"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right="364"/>
              <w:jc w:val="right"/>
              <w:rPr>
                <w:rFonts w:ascii="Arial Narrow" w:hAnsi="Arial Narrow" w:cs="Arial Narrow" w:eastAsia="Arial Narrow" w:hint="default"/>
                <w:sz w:val="21"/>
                <w:szCs w:val="21"/>
              </w:rPr>
            </w:pPr>
            <w:r>
              <w:rPr>
                <w:rFonts w:ascii="Arial Narrow"/>
                <w:spacing w:val="-1"/>
                <w:sz w:val="21"/>
              </w:rPr>
              <w:t>25,631,562.64</w:t>
            </w:r>
            <w:r>
              <w:rPr>
                <w:rFonts w:ascii="Arial Narrow"/>
                <w:sz w:val="21"/>
              </w:rPr>
            </w:r>
          </w:p>
        </w:tc>
        <w:tc>
          <w:tcPr>
            <w:tcW w:w="1534"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right="63"/>
              <w:jc w:val="right"/>
              <w:rPr>
                <w:rFonts w:ascii="Arial Narrow" w:hAnsi="Arial Narrow" w:cs="Arial Narrow" w:eastAsia="Arial Narrow" w:hint="default"/>
                <w:sz w:val="21"/>
                <w:szCs w:val="21"/>
              </w:rPr>
            </w:pPr>
            <w:r>
              <w:rPr>
                <w:rFonts w:ascii="Arial Narrow"/>
                <w:spacing w:val="-1"/>
                <w:sz w:val="21"/>
              </w:rPr>
              <w:t>8,125,387.26</w:t>
            </w:r>
            <w:r>
              <w:rPr>
                <w:rFonts w:ascii="Arial Narrow"/>
                <w:sz w:val="21"/>
              </w:rPr>
            </w:r>
          </w:p>
        </w:tc>
      </w:tr>
      <w:tr>
        <w:trPr>
          <w:trHeight w:val="398" w:hRule="exact"/>
        </w:trPr>
        <w:tc>
          <w:tcPr>
            <w:tcW w:w="40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3"/>
              <w:jc w:val="right"/>
              <w:rPr>
                <w:rFonts w:ascii="Arial Narrow" w:hAnsi="Arial Narrow" w:cs="Arial Narrow" w:eastAsia="Arial Narrow" w:hint="default"/>
                <w:sz w:val="21"/>
                <w:szCs w:val="21"/>
              </w:rPr>
            </w:pPr>
            <w:r>
              <w:rPr>
                <w:rFonts w:ascii="Arial Narrow"/>
                <w:spacing w:val="-1"/>
                <w:sz w:val="21"/>
              </w:rPr>
              <w:t>57,344,257.53</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11"/>
              <w:jc w:val="right"/>
              <w:rPr>
                <w:rFonts w:ascii="Arial Narrow" w:hAnsi="Arial Narrow" w:cs="Arial Narrow" w:eastAsia="Arial Narrow" w:hint="default"/>
                <w:sz w:val="21"/>
                <w:szCs w:val="21"/>
              </w:rPr>
            </w:pPr>
            <w:r>
              <w:rPr>
                <w:rFonts w:ascii="Arial Narrow"/>
                <w:spacing w:val="-2"/>
                <w:sz w:val="21"/>
              </w:rPr>
              <w:t>4,113,820.62</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4"/>
              <w:jc w:val="right"/>
              <w:rPr>
                <w:rFonts w:ascii="Arial Narrow" w:hAnsi="Arial Narrow" w:cs="Arial Narrow" w:eastAsia="Arial Narrow" w:hint="default"/>
                <w:sz w:val="21"/>
                <w:szCs w:val="21"/>
              </w:rPr>
            </w:pPr>
            <w:r>
              <w:rPr>
                <w:rFonts w:ascii="Arial Narrow"/>
                <w:spacing w:val="-1"/>
                <w:sz w:val="21"/>
              </w:rPr>
              <w:t>23,479,520.13</w:t>
            </w:r>
            <w:r>
              <w:rPr>
                <w:rFonts w:ascii="Arial Narrow"/>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3"/>
              <w:jc w:val="right"/>
              <w:rPr>
                <w:rFonts w:ascii="Arial Narrow" w:hAnsi="Arial Narrow" w:cs="Arial Narrow" w:eastAsia="Arial Narrow" w:hint="default"/>
                <w:sz w:val="21"/>
                <w:szCs w:val="21"/>
              </w:rPr>
            </w:pPr>
            <w:r>
              <w:rPr>
                <w:rFonts w:ascii="Arial Narrow"/>
                <w:spacing w:val="-1"/>
                <w:sz w:val="21"/>
              </w:rPr>
              <w:t>7,443,174.52</w:t>
            </w:r>
            <w:r>
              <w:rPr>
                <w:rFonts w:ascii="Arial Narrow"/>
                <w:sz w:val="21"/>
              </w:rPr>
            </w:r>
          </w:p>
        </w:tc>
      </w:tr>
      <w:tr>
        <w:trPr>
          <w:trHeight w:val="396" w:hRule="exact"/>
        </w:trPr>
        <w:tc>
          <w:tcPr>
            <w:tcW w:w="40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3"/>
              <w:jc w:val="right"/>
              <w:rPr>
                <w:rFonts w:ascii="Arial Narrow" w:hAnsi="Arial Narrow" w:cs="Arial Narrow" w:eastAsia="Arial Narrow" w:hint="default"/>
                <w:sz w:val="21"/>
                <w:szCs w:val="21"/>
              </w:rPr>
            </w:pPr>
            <w:r>
              <w:rPr>
                <w:rFonts w:ascii="Arial Narrow"/>
                <w:spacing w:val="-1"/>
                <w:sz w:val="21"/>
              </w:rPr>
              <w:t>10,401,481.16</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13"/>
              <w:jc w:val="right"/>
              <w:rPr>
                <w:rFonts w:ascii="Arial Narrow" w:hAnsi="Arial Narrow" w:cs="Arial Narrow" w:eastAsia="Arial Narrow" w:hint="default"/>
                <w:sz w:val="21"/>
                <w:szCs w:val="21"/>
              </w:rPr>
            </w:pPr>
            <w:r>
              <w:rPr>
                <w:rFonts w:ascii="Arial Narrow"/>
                <w:spacing w:val="-1"/>
                <w:sz w:val="21"/>
              </w:rPr>
              <w:t>3,842,179.29</w:t>
            </w:r>
            <w:r>
              <w:rPr>
                <w:rFonts w:ascii="Arial Narrow"/>
                <w:sz w:val="21"/>
              </w:rPr>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64"/>
              <w:jc w:val="right"/>
              <w:rPr>
                <w:rFonts w:ascii="Arial Narrow" w:hAnsi="Arial Narrow" w:cs="Arial Narrow" w:eastAsia="Arial Narrow" w:hint="default"/>
                <w:sz w:val="21"/>
                <w:szCs w:val="21"/>
              </w:rPr>
            </w:pPr>
            <w:r>
              <w:rPr>
                <w:rFonts w:ascii="Arial Narrow"/>
                <w:spacing w:val="-1"/>
                <w:sz w:val="21"/>
              </w:rPr>
              <w:t>7,710,903.94</w:t>
            </w:r>
            <w:r>
              <w:rPr>
                <w:rFonts w:ascii="Arial Narrow"/>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63"/>
              <w:jc w:val="right"/>
              <w:rPr>
                <w:rFonts w:ascii="Arial Narrow" w:hAnsi="Arial Narrow" w:cs="Arial Narrow" w:eastAsia="Arial Narrow" w:hint="default"/>
                <w:sz w:val="21"/>
                <w:szCs w:val="21"/>
              </w:rPr>
            </w:pPr>
            <w:r>
              <w:rPr>
                <w:rFonts w:ascii="Arial Narrow"/>
                <w:spacing w:val="-2"/>
                <w:sz w:val="21"/>
              </w:rPr>
              <w:t>2,444,411.27</w:t>
            </w:r>
            <w:r>
              <w:rPr>
                <w:rFonts w:ascii="Arial Narrow"/>
                <w:sz w:val="21"/>
              </w:rPr>
            </w:r>
          </w:p>
        </w:tc>
      </w:tr>
      <w:tr>
        <w:trPr>
          <w:trHeight w:val="397" w:hRule="exact"/>
        </w:trPr>
        <w:tc>
          <w:tcPr>
            <w:tcW w:w="40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3"/>
              <w:jc w:val="right"/>
              <w:rPr>
                <w:rFonts w:ascii="Arial Narrow" w:hAnsi="Arial Narrow" w:cs="Arial Narrow" w:eastAsia="Arial Narrow" w:hint="default"/>
                <w:sz w:val="21"/>
                <w:szCs w:val="21"/>
              </w:rPr>
            </w:pPr>
            <w:r>
              <w:rPr>
                <w:rFonts w:ascii="Arial Narrow"/>
                <w:spacing w:val="-1"/>
                <w:sz w:val="21"/>
              </w:rPr>
              <w:t>38,004,913.92</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13"/>
              <w:jc w:val="right"/>
              <w:rPr>
                <w:rFonts w:ascii="Arial Narrow" w:hAnsi="Arial Narrow" w:cs="Arial Narrow" w:eastAsia="Arial Narrow" w:hint="default"/>
                <w:sz w:val="21"/>
                <w:szCs w:val="21"/>
              </w:rPr>
            </w:pPr>
            <w:r>
              <w:rPr>
                <w:rFonts w:ascii="Arial Narrow"/>
                <w:spacing w:val="-1"/>
                <w:sz w:val="21"/>
              </w:rPr>
              <w:t>21,087,562.58</w:t>
            </w:r>
            <w:r>
              <w:rPr>
                <w:rFonts w:ascii="Arial Narrow"/>
                <w:sz w:val="21"/>
              </w:rPr>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64"/>
              <w:jc w:val="right"/>
              <w:rPr>
                <w:rFonts w:ascii="Arial Narrow" w:hAnsi="Arial Narrow" w:cs="Arial Narrow" w:eastAsia="Arial Narrow" w:hint="default"/>
                <w:sz w:val="21"/>
                <w:szCs w:val="21"/>
              </w:rPr>
            </w:pPr>
            <w:r>
              <w:rPr>
                <w:rFonts w:ascii="Arial Narrow"/>
                <w:spacing w:val="-1"/>
                <w:sz w:val="21"/>
              </w:rPr>
              <w:t>23,336,881.14</w:t>
            </w:r>
            <w:r>
              <w:rPr>
                <w:rFonts w:ascii="Arial Narrow"/>
                <w:sz w:val="21"/>
              </w:rPr>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3"/>
              <w:jc w:val="right"/>
              <w:rPr>
                <w:rFonts w:ascii="Arial Narrow" w:hAnsi="Arial Narrow" w:cs="Arial Narrow" w:eastAsia="Arial Narrow" w:hint="default"/>
                <w:sz w:val="21"/>
                <w:szCs w:val="21"/>
              </w:rPr>
            </w:pPr>
            <w:r>
              <w:rPr>
                <w:rFonts w:ascii="Arial Narrow"/>
                <w:spacing w:val="-1"/>
                <w:sz w:val="21"/>
              </w:rPr>
              <w:t>7,397,956.94</w:t>
            </w:r>
            <w:r>
              <w:rPr>
                <w:rFonts w:ascii="Arial Narrow"/>
                <w:sz w:val="21"/>
              </w:rPr>
            </w:r>
          </w:p>
        </w:tc>
      </w:tr>
      <w:tr>
        <w:trPr>
          <w:trHeight w:val="397" w:hRule="exact"/>
        </w:trPr>
        <w:tc>
          <w:tcPr>
            <w:tcW w:w="40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63"/>
              <w:jc w:val="right"/>
              <w:rPr>
                <w:rFonts w:ascii="Arial Narrow" w:hAnsi="Arial Narrow" w:cs="Arial Narrow" w:eastAsia="Arial Narrow" w:hint="default"/>
                <w:sz w:val="21"/>
                <w:szCs w:val="21"/>
              </w:rPr>
            </w:pPr>
            <w:r>
              <w:rPr>
                <w:rFonts w:ascii="Arial Narrow"/>
                <w:spacing w:val="-1"/>
                <w:sz w:val="21"/>
              </w:rPr>
              <w:t>2,784,018.20</w:t>
            </w:r>
            <w:r>
              <w:rPr>
                <w:rFonts w:ascii="Arial Narrow"/>
                <w:sz w:val="21"/>
              </w:rPr>
            </w: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15"/>
              <w:jc w:val="right"/>
              <w:rPr>
                <w:rFonts w:ascii="Arial Narrow" w:hAnsi="Arial Narrow" w:cs="Arial Narrow" w:eastAsia="Arial Narrow" w:hint="default"/>
                <w:sz w:val="21"/>
                <w:szCs w:val="21"/>
              </w:rPr>
            </w:pPr>
            <w:r>
              <w:rPr>
                <w:rFonts w:ascii="Arial Narrow"/>
                <w:w w:val="100"/>
                <w:sz w:val="21"/>
              </w:rPr>
              <w:t>-</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62"/>
              <w:jc w:val="right"/>
              <w:rPr>
                <w:rFonts w:ascii="Arial Narrow" w:hAnsi="Arial Narrow" w:cs="Arial Narrow" w:eastAsia="Arial Narrow" w:hint="default"/>
                <w:sz w:val="21"/>
                <w:szCs w:val="21"/>
              </w:rPr>
            </w:pPr>
            <w:r>
              <w:rPr>
                <w:rFonts w:ascii="Arial Narrow"/>
                <w:spacing w:val="-2"/>
                <w:sz w:val="21"/>
              </w:rPr>
              <w:t>8,462,031.11</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3"/>
              <w:jc w:val="right"/>
              <w:rPr>
                <w:rFonts w:ascii="Arial Narrow" w:hAnsi="Arial Narrow" w:cs="Arial Narrow" w:eastAsia="Arial Narrow" w:hint="default"/>
                <w:sz w:val="21"/>
                <w:szCs w:val="21"/>
              </w:rPr>
            </w:pPr>
            <w:r>
              <w:rPr>
                <w:rFonts w:ascii="Arial Narrow"/>
                <w:spacing w:val="-1"/>
                <w:sz w:val="21"/>
              </w:rPr>
              <w:t>2,682,523.92</w:t>
            </w:r>
            <w:r>
              <w:rPr>
                <w:rFonts w:ascii="Arial Narrow"/>
                <w:sz w:val="21"/>
              </w:rPr>
            </w:r>
          </w:p>
        </w:tc>
      </w:tr>
      <w:tr>
        <w:trPr>
          <w:trHeight w:val="399" w:hRule="exact"/>
        </w:trPr>
        <w:tc>
          <w:tcPr>
            <w:tcW w:w="40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国际</w:t>
            </w:r>
          </w:p>
        </w:tc>
        <w:tc>
          <w:tcPr>
            <w:tcW w:w="235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363"/>
              <w:jc w:val="right"/>
              <w:rPr>
                <w:rFonts w:ascii="Arial Narrow" w:hAnsi="Arial Narrow" w:cs="Arial Narrow" w:eastAsia="Arial Narrow" w:hint="default"/>
                <w:sz w:val="21"/>
                <w:szCs w:val="21"/>
              </w:rPr>
            </w:pPr>
            <w:r>
              <w:rPr>
                <w:rFonts w:ascii="Arial Narrow"/>
                <w:spacing w:val="-1"/>
                <w:sz w:val="21"/>
              </w:rPr>
              <w:t>20,231,684.18</w:t>
            </w:r>
            <w:r>
              <w:rPr>
                <w:rFonts w:ascii="Arial Narrow"/>
                <w:sz w:val="21"/>
              </w:rPr>
            </w: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313"/>
              <w:jc w:val="right"/>
              <w:rPr>
                <w:rFonts w:ascii="Arial Narrow" w:hAnsi="Arial Narrow" w:cs="Arial Narrow" w:eastAsia="Arial Narrow" w:hint="default"/>
                <w:sz w:val="21"/>
                <w:szCs w:val="21"/>
              </w:rPr>
            </w:pPr>
            <w:r>
              <w:rPr>
                <w:rFonts w:ascii="Arial Narrow"/>
                <w:spacing w:val="-1"/>
                <w:sz w:val="21"/>
              </w:rPr>
              <w:t>12,067,109.02</w:t>
            </w:r>
            <w:r>
              <w:rPr>
                <w:rFonts w:ascii="Arial Narrow"/>
                <w:sz w:val="21"/>
              </w:rPr>
            </w: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364"/>
              <w:jc w:val="right"/>
              <w:rPr>
                <w:rFonts w:ascii="Arial Narrow" w:hAnsi="Arial Narrow" w:cs="Arial Narrow" w:eastAsia="Arial Narrow" w:hint="default"/>
                <w:sz w:val="21"/>
                <w:szCs w:val="21"/>
              </w:rPr>
            </w:pPr>
            <w:r>
              <w:rPr>
                <w:rFonts w:ascii="Arial Narrow"/>
                <w:spacing w:val="-1"/>
                <w:sz w:val="21"/>
              </w:rPr>
              <w:t>3,233,129.12</w:t>
            </w:r>
            <w:r>
              <w:rPr>
                <w:rFonts w:ascii="Arial Narrow"/>
                <w:sz w:val="21"/>
              </w:rPr>
            </w:r>
          </w:p>
        </w:tc>
        <w:tc>
          <w:tcPr>
            <w:tcW w:w="153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63"/>
              <w:jc w:val="right"/>
              <w:rPr>
                <w:rFonts w:ascii="Arial Narrow" w:hAnsi="Arial Narrow" w:cs="Arial Narrow" w:eastAsia="Arial Narrow" w:hint="default"/>
                <w:sz w:val="21"/>
                <w:szCs w:val="21"/>
              </w:rPr>
            </w:pPr>
            <w:r>
              <w:rPr>
                <w:rFonts w:ascii="Arial Narrow"/>
                <w:spacing w:val="-1"/>
                <w:sz w:val="21"/>
              </w:rPr>
              <w:t>1,024,924.88</w:t>
            </w:r>
            <w:r>
              <w:rPr>
                <w:rFonts w:ascii="Arial Narrow"/>
                <w:sz w:val="21"/>
              </w:rPr>
            </w:r>
          </w:p>
        </w:tc>
      </w:tr>
      <w:tr>
        <w:trPr>
          <w:trHeight w:val="403" w:hRule="exact"/>
        </w:trPr>
        <w:tc>
          <w:tcPr>
            <w:tcW w:w="400" w:type="dxa"/>
            <w:tcBorders>
              <w:top w:val="nil" w:sz="6" w:space="0" w:color="auto"/>
              <w:left w:val="nil" w:sz="6" w:space="0" w:color="auto"/>
              <w:bottom w:val="nil" w:sz="6" w:space="0" w:color="auto"/>
              <w:right w:val="nil" w:sz="6" w:space="0" w:color="auto"/>
            </w:tcBorders>
          </w:tcPr>
          <w:p>
            <w:pPr/>
          </w:p>
        </w:tc>
        <w:tc>
          <w:tcPr>
            <w:tcW w:w="1536"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23"/>
              <w:ind w:left="10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359"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363"/>
              <w:jc w:val="right"/>
              <w:rPr>
                <w:rFonts w:ascii="Arial Narrow" w:hAnsi="Arial Narrow" w:cs="Arial Narrow" w:eastAsia="Arial Narrow" w:hint="default"/>
                <w:sz w:val="21"/>
                <w:szCs w:val="21"/>
              </w:rPr>
            </w:pPr>
            <w:r>
              <w:rPr>
                <w:rFonts w:ascii="Arial Narrow"/>
                <w:b/>
                <w:spacing w:val="-1"/>
                <w:sz w:val="21"/>
              </w:rPr>
              <w:t>291,893,770.08</w:t>
            </w:r>
            <w:r>
              <w:rPr>
                <w:rFonts w:ascii="Arial Narrow"/>
                <w:sz w:val="21"/>
              </w:rPr>
            </w:r>
          </w:p>
        </w:tc>
        <w:tc>
          <w:tcPr>
            <w:tcW w:w="1784"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313"/>
              <w:jc w:val="right"/>
              <w:rPr>
                <w:rFonts w:ascii="Arial Narrow" w:hAnsi="Arial Narrow" w:cs="Arial Narrow" w:eastAsia="Arial Narrow" w:hint="default"/>
                <w:sz w:val="21"/>
                <w:szCs w:val="21"/>
              </w:rPr>
            </w:pPr>
            <w:r>
              <w:rPr>
                <w:rFonts w:ascii="Arial Narrow"/>
                <w:b/>
                <w:spacing w:val="-1"/>
                <w:sz w:val="21"/>
              </w:rPr>
              <w:t>78,394,991.50</w:t>
            </w:r>
            <w:r>
              <w:rPr>
                <w:rFonts w:ascii="Arial Narrow"/>
                <w:sz w:val="21"/>
              </w:rPr>
            </w:r>
          </w:p>
        </w:tc>
        <w:tc>
          <w:tcPr>
            <w:tcW w:w="1882"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366"/>
              <w:jc w:val="right"/>
              <w:rPr>
                <w:rFonts w:ascii="Arial Narrow" w:hAnsi="Arial Narrow" w:cs="Arial Narrow" w:eastAsia="Arial Narrow" w:hint="default"/>
                <w:sz w:val="21"/>
                <w:szCs w:val="21"/>
              </w:rPr>
            </w:pPr>
            <w:r>
              <w:rPr>
                <w:rFonts w:ascii="Arial Narrow"/>
                <w:b/>
                <w:spacing w:val="-1"/>
                <w:sz w:val="21"/>
              </w:rPr>
              <w:t>202,537,982.90</w:t>
            </w:r>
            <w:r>
              <w:rPr>
                <w:rFonts w:ascii="Arial Narrow"/>
                <w:sz w:val="21"/>
              </w:rPr>
            </w:r>
          </w:p>
        </w:tc>
        <w:tc>
          <w:tcPr>
            <w:tcW w:w="1534"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63"/>
              <w:jc w:val="right"/>
              <w:rPr>
                <w:rFonts w:ascii="Arial Narrow" w:hAnsi="Arial Narrow" w:cs="Arial Narrow" w:eastAsia="Arial Narrow" w:hint="default"/>
                <w:sz w:val="21"/>
                <w:szCs w:val="21"/>
              </w:rPr>
            </w:pPr>
            <w:r>
              <w:rPr>
                <w:rFonts w:ascii="Arial Narrow"/>
                <w:b/>
                <w:spacing w:val="-1"/>
                <w:sz w:val="21"/>
              </w:rPr>
              <w:t>64,205,977.99</w:t>
            </w:r>
            <w:r>
              <w:rPr>
                <w:rFonts w:ascii="Arial Narrow"/>
                <w:sz w:val="21"/>
              </w:rPr>
            </w:r>
          </w:p>
        </w:tc>
      </w:tr>
    </w:tbl>
    <w:p>
      <w:pPr>
        <w:pStyle w:val="BodyText"/>
        <w:spacing w:line="240" w:lineRule="auto" w:before="80"/>
        <w:ind w:left="462" w:right="0"/>
        <w:jc w:val="left"/>
      </w:pPr>
      <w:r>
        <w:rPr/>
        <w:t>（</w:t>
      </w:r>
      <w:r>
        <w:rPr>
          <w:rFonts w:ascii="Arial Narrow" w:hAnsi="Arial Narrow" w:cs="Arial Narrow" w:eastAsia="Arial Narrow" w:hint="default"/>
        </w:rPr>
        <w:t>5</w:t>
      </w:r>
      <w:r>
        <w:rPr/>
        <w:t>）前五名客户的营业收入情况</w:t>
      </w:r>
    </w:p>
    <w:p>
      <w:pPr>
        <w:spacing w:line="240" w:lineRule="auto" w:before="2"/>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3895"/>
        <w:gridCol w:w="2041"/>
        <w:gridCol w:w="3347"/>
      </w:tblGrid>
      <w:tr>
        <w:trPr>
          <w:trHeight w:val="391" w:hRule="exact"/>
        </w:trPr>
        <w:tc>
          <w:tcPr>
            <w:tcW w:w="3895"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客户名称</w:t>
            </w:r>
            <w:r>
              <w:rPr>
                <w:rFonts w:ascii="宋体" w:hAnsi="宋体" w:cs="宋体" w:eastAsia="宋体" w:hint="default"/>
                <w:sz w:val="24"/>
                <w:szCs w:val="24"/>
              </w:rPr>
            </w:r>
          </w:p>
        </w:tc>
        <w:tc>
          <w:tcPr>
            <w:tcW w:w="2041"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66"/>
              <w:jc w:val="right"/>
              <w:rPr>
                <w:rFonts w:ascii="宋体" w:hAnsi="宋体" w:cs="宋体" w:eastAsia="宋体" w:hint="default"/>
                <w:sz w:val="24"/>
                <w:szCs w:val="24"/>
              </w:rPr>
            </w:pPr>
            <w:r>
              <w:rPr>
                <w:rFonts w:ascii="宋体" w:hAnsi="宋体" w:cs="宋体" w:eastAsia="宋体" w:hint="default"/>
                <w:b/>
                <w:bCs/>
                <w:w w:val="95"/>
                <w:sz w:val="24"/>
                <w:szCs w:val="24"/>
              </w:rPr>
              <w:t>营业收入总额</w:t>
            </w:r>
            <w:r>
              <w:rPr>
                <w:rFonts w:ascii="宋体" w:hAnsi="宋体" w:cs="宋体" w:eastAsia="宋体" w:hint="default"/>
                <w:sz w:val="24"/>
                <w:szCs w:val="24"/>
              </w:rPr>
            </w:r>
          </w:p>
        </w:tc>
        <w:tc>
          <w:tcPr>
            <w:tcW w:w="3347" w:type="dxa"/>
            <w:tcBorders>
              <w:top w:val="single" w:sz="8" w:space="0" w:color="000000"/>
              <w:left w:val="nil" w:sz="6" w:space="0" w:color="auto"/>
              <w:bottom w:val="single" w:sz="4" w:space="0" w:color="000000"/>
              <w:right w:val="nil" w:sz="6" w:space="0" w:color="auto"/>
            </w:tcBorders>
          </w:tcPr>
          <w:p>
            <w:pPr>
              <w:pStyle w:val="TableParagraph"/>
              <w:spacing w:line="324" w:lineRule="exact"/>
              <w:ind w:right="106"/>
              <w:jc w:val="right"/>
              <w:rPr>
                <w:rFonts w:ascii="Arial Narrow" w:hAnsi="Arial Narrow" w:cs="Arial Narrow" w:eastAsia="Arial Narrow" w:hint="default"/>
                <w:sz w:val="24"/>
                <w:szCs w:val="24"/>
              </w:rPr>
            </w:pPr>
            <w:r>
              <w:rPr>
                <w:rFonts w:ascii="宋体" w:hAnsi="宋体" w:cs="宋体" w:eastAsia="宋体" w:hint="default"/>
                <w:b/>
                <w:bCs/>
                <w:sz w:val="24"/>
                <w:szCs w:val="24"/>
              </w:rPr>
              <w:t>占公司全部营业收入的比例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27" w:hRule="exact"/>
        </w:trPr>
        <w:tc>
          <w:tcPr>
            <w:tcW w:w="3895"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24"/>
                <w:szCs w:val="24"/>
              </w:rPr>
            </w:pPr>
            <w:r>
              <w:rPr>
                <w:rFonts w:ascii="宋体" w:hAnsi="宋体" w:cs="宋体" w:eastAsia="宋体" w:hint="default"/>
                <w:sz w:val="24"/>
                <w:szCs w:val="24"/>
              </w:rPr>
              <w:t>西安市城市管理综合行政执法局</w:t>
            </w:r>
          </w:p>
        </w:tc>
        <w:tc>
          <w:tcPr>
            <w:tcW w:w="204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66"/>
              <w:jc w:val="right"/>
              <w:rPr>
                <w:rFonts w:ascii="Arial Narrow" w:hAnsi="Arial Narrow" w:cs="Arial Narrow" w:eastAsia="Arial Narrow" w:hint="default"/>
                <w:sz w:val="24"/>
                <w:szCs w:val="24"/>
              </w:rPr>
            </w:pPr>
            <w:r>
              <w:rPr>
                <w:rFonts w:ascii="Arial Narrow"/>
                <w:spacing w:val="-1"/>
                <w:sz w:val="24"/>
              </w:rPr>
              <w:t>26,258,437.98</w:t>
            </w:r>
          </w:p>
        </w:tc>
        <w:tc>
          <w:tcPr>
            <w:tcW w:w="3347"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07"/>
              <w:jc w:val="right"/>
              <w:rPr>
                <w:rFonts w:ascii="Arial Narrow" w:hAnsi="Arial Narrow" w:cs="Arial Narrow" w:eastAsia="Arial Narrow" w:hint="default"/>
                <w:sz w:val="24"/>
                <w:szCs w:val="24"/>
              </w:rPr>
            </w:pPr>
            <w:r>
              <w:rPr>
                <w:rFonts w:ascii="Arial Narrow"/>
                <w:sz w:val="24"/>
              </w:rPr>
              <w:t>8.96</w:t>
            </w:r>
          </w:p>
        </w:tc>
      </w:tr>
      <w:tr>
        <w:trPr>
          <w:trHeight w:val="403" w:hRule="exact"/>
        </w:trPr>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24"/>
                <w:szCs w:val="24"/>
              </w:rPr>
            </w:pPr>
            <w:r>
              <w:rPr>
                <w:rFonts w:ascii="宋体" w:hAnsi="宋体" w:cs="宋体" w:eastAsia="宋体" w:hint="default"/>
                <w:sz w:val="24"/>
                <w:szCs w:val="24"/>
              </w:rPr>
              <w:t>西安曲江新区土地储备中心</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6"/>
              <w:jc w:val="right"/>
              <w:rPr>
                <w:rFonts w:ascii="Arial Narrow" w:hAnsi="Arial Narrow" w:cs="Arial Narrow" w:eastAsia="Arial Narrow" w:hint="default"/>
                <w:sz w:val="24"/>
                <w:szCs w:val="24"/>
              </w:rPr>
            </w:pPr>
            <w:r>
              <w:rPr>
                <w:rFonts w:ascii="Arial Narrow"/>
                <w:spacing w:val="-1"/>
                <w:sz w:val="24"/>
              </w:rPr>
              <w:t>14,985,854.71</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Arial Narrow" w:hAnsi="Arial Narrow" w:cs="Arial Narrow" w:eastAsia="Arial Narrow" w:hint="default"/>
                <w:sz w:val="24"/>
                <w:szCs w:val="24"/>
              </w:rPr>
            </w:pPr>
            <w:r>
              <w:rPr>
                <w:rFonts w:ascii="Arial Narrow"/>
                <w:spacing w:val="-4"/>
                <w:sz w:val="24"/>
              </w:rPr>
              <w:t>5.11</w:t>
            </w:r>
          </w:p>
        </w:tc>
      </w:tr>
      <w:tr>
        <w:trPr>
          <w:trHeight w:val="398" w:hRule="exact"/>
        </w:trPr>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国家气象中心</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7"/>
              <w:jc w:val="right"/>
              <w:rPr>
                <w:rFonts w:ascii="Arial Narrow" w:hAnsi="Arial Narrow" w:cs="Arial Narrow" w:eastAsia="Arial Narrow" w:hint="default"/>
                <w:sz w:val="24"/>
                <w:szCs w:val="24"/>
              </w:rPr>
            </w:pPr>
            <w:r>
              <w:rPr>
                <w:rFonts w:ascii="Arial Narrow"/>
                <w:spacing w:val="-1"/>
                <w:sz w:val="24"/>
              </w:rPr>
              <w:t>9,065,700.00</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z w:val="24"/>
              </w:rPr>
              <w:t>3.09</w:t>
            </w:r>
          </w:p>
        </w:tc>
      </w:tr>
      <w:tr>
        <w:trPr>
          <w:trHeight w:val="396" w:hRule="exact"/>
        </w:trPr>
        <w:tc>
          <w:tcPr>
            <w:tcW w:w="38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石家庄市国土资源局</w:t>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7"/>
              <w:jc w:val="right"/>
              <w:rPr>
                <w:rFonts w:ascii="Arial Narrow" w:hAnsi="Arial Narrow" w:cs="Arial Narrow" w:eastAsia="Arial Narrow" w:hint="default"/>
                <w:sz w:val="24"/>
                <w:szCs w:val="24"/>
              </w:rPr>
            </w:pPr>
            <w:r>
              <w:rPr>
                <w:rFonts w:ascii="Arial Narrow"/>
                <w:spacing w:val="-1"/>
                <w:sz w:val="24"/>
              </w:rPr>
              <w:t>7,401,261.54</w:t>
            </w:r>
          </w:p>
        </w:tc>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z w:val="24"/>
              </w:rPr>
              <w:t>2.53</w:t>
            </w:r>
          </w:p>
        </w:tc>
      </w:tr>
      <w:tr>
        <w:trPr>
          <w:trHeight w:val="401" w:hRule="exact"/>
        </w:trPr>
        <w:tc>
          <w:tcPr>
            <w:tcW w:w="389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中关村科技园区管理委员会</w:t>
            </w:r>
          </w:p>
        </w:tc>
        <w:tc>
          <w:tcPr>
            <w:tcW w:w="204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67"/>
              <w:jc w:val="right"/>
              <w:rPr>
                <w:rFonts w:ascii="Arial Narrow" w:hAnsi="Arial Narrow" w:cs="Arial Narrow" w:eastAsia="Arial Narrow" w:hint="default"/>
                <w:sz w:val="24"/>
                <w:szCs w:val="24"/>
              </w:rPr>
            </w:pPr>
            <w:r>
              <w:rPr>
                <w:rFonts w:ascii="Arial Narrow"/>
                <w:spacing w:val="-1"/>
                <w:sz w:val="24"/>
              </w:rPr>
              <w:t>7,264,400.00</w:t>
            </w:r>
          </w:p>
        </w:tc>
        <w:tc>
          <w:tcPr>
            <w:tcW w:w="334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z w:val="24"/>
              </w:rPr>
              <w:t>2.48</w:t>
            </w:r>
          </w:p>
        </w:tc>
      </w:tr>
      <w:tr>
        <w:trPr>
          <w:trHeight w:val="401" w:hRule="exact"/>
        </w:trPr>
        <w:tc>
          <w:tcPr>
            <w:tcW w:w="3895"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0"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041"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166"/>
              <w:jc w:val="right"/>
              <w:rPr>
                <w:rFonts w:ascii="Arial Narrow" w:hAnsi="Arial Narrow" w:cs="Arial Narrow" w:eastAsia="Arial Narrow" w:hint="default"/>
                <w:sz w:val="24"/>
                <w:szCs w:val="24"/>
              </w:rPr>
            </w:pPr>
            <w:r>
              <w:rPr>
                <w:rFonts w:ascii="Arial Narrow"/>
                <w:b/>
                <w:spacing w:val="-1"/>
                <w:sz w:val="24"/>
              </w:rPr>
              <w:t>64,975,654.23</w:t>
            </w:r>
            <w:r>
              <w:rPr>
                <w:rFonts w:ascii="Arial Narrow"/>
                <w:spacing w:val="-1"/>
                <w:sz w:val="24"/>
              </w:rPr>
            </w:r>
          </w:p>
        </w:tc>
        <w:tc>
          <w:tcPr>
            <w:tcW w:w="3347"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107"/>
              <w:jc w:val="right"/>
              <w:rPr>
                <w:rFonts w:ascii="Arial Narrow" w:hAnsi="Arial Narrow" w:cs="Arial Narrow" w:eastAsia="Arial Narrow" w:hint="default"/>
                <w:sz w:val="24"/>
                <w:szCs w:val="24"/>
              </w:rPr>
            </w:pPr>
            <w:r>
              <w:rPr>
                <w:rFonts w:ascii="Arial Narrow"/>
                <w:b/>
                <w:spacing w:val="-1"/>
                <w:sz w:val="24"/>
              </w:rPr>
              <w:t>22.17</w:t>
            </w:r>
            <w:r>
              <w:rPr>
                <w:rFonts w:ascii="Arial Narrow"/>
                <w:spacing w:val="-1"/>
                <w:sz w:val="24"/>
              </w:rPr>
            </w:r>
          </w:p>
        </w:tc>
      </w:tr>
    </w:tbl>
    <w:p>
      <w:pPr>
        <w:pStyle w:val="BodyText"/>
        <w:spacing w:line="240" w:lineRule="auto" w:before="79"/>
        <w:ind w:left="102" w:right="0"/>
        <w:jc w:val="left"/>
      </w:pPr>
      <w:r>
        <w:rPr>
          <w:rFonts w:ascii="Arial Narrow" w:hAnsi="Arial Narrow" w:cs="Arial Narrow" w:eastAsia="Arial Narrow" w:hint="default"/>
        </w:rPr>
        <w:t>34</w:t>
      </w:r>
      <w:r>
        <w:rPr/>
        <w:t>、营业税金及附加</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2535"/>
        <w:gridCol w:w="2479"/>
        <w:gridCol w:w="1994"/>
        <w:gridCol w:w="2143"/>
      </w:tblGrid>
      <w:tr>
        <w:trPr>
          <w:trHeight w:val="391" w:hRule="exact"/>
        </w:trPr>
        <w:tc>
          <w:tcPr>
            <w:tcW w:w="2535"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07"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47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538"/>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994"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4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2143"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517" w:right="0"/>
              <w:jc w:val="left"/>
              <w:rPr>
                <w:rFonts w:ascii="宋体" w:hAnsi="宋体" w:cs="宋体" w:eastAsia="宋体" w:hint="default"/>
                <w:sz w:val="24"/>
                <w:szCs w:val="24"/>
              </w:rPr>
            </w:pPr>
            <w:r>
              <w:rPr>
                <w:rFonts w:ascii="宋体" w:hAnsi="宋体" w:cs="宋体" w:eastAsia="宋体" w:hint="default"/>
                <w:b/>
                <w:bCs/>
                <w:sz w:val="24"/>
                <w:szCs w:val="24"/>
              </w:rPr>
              <w:t>计缴标准</w:t>
            </w:r>
            <w:r>
              <w:rPr>
                <w:rFonts w:ascii="宋体" w:hAnsi="宋体" w:cs="宋体" w:eastAsia="宋体" w:hint="default"/>
                <w:sz w:val="24"/>
                <w:szCs w:val="24"/>
              </w:rPr>
            </w:r>
          </w:p>
        </w:tc>
      </w:tr>
      <w:tr>
        <w:trPr>
          <w:trHeight w:val="399" w:hRule="exact"/>
        </w:trPr>
        <w:tc>
          <w:tcPr>
            <w:tcW w:w="2535"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47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37"/>
              <w:jc w:val="right"/>
              <w:rPr>
                <w:rFonts w:ascii="Arial Narrow" w:hAnsi="Arial Narrow" w:cs="Arial Narrow" w:eastAsia="Arial Narrow" w:hint="default"/>
                <w:sz w:val="24"/>
                <w:szCs w:val="24"/>
              </w:rPr>
            </w:pPr>
            <w:r>
              <w:rPr>
                <w:rFonts w:ascii="Arial Narrow"/>
                <w:spacing w:val="-1"/>
                <w:sz w:val="24"/>
              </w:rPr>
              <w:t>5,163,508.79</w:t>
            </w: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6"/>
              <w:jc w:val="right"/>
              <w:rPr>
                <w:rFonts w:ascii="Arial Narrow" w:hAnsi="Arial Narrow" w:cs="Arial Narrow" w:eastAsia="Arial Narrow" w:hint="default"/>
                <w:sz w:val="24"/>
                <w:szCs w:val="24"/>
              </w:rPr>
            </w:pPr>
            <w:r>
              <w:rPr>
                <w:rFonts w:ascii="Arial Narrow"/>
                <w:spacing w:val="-2"/>
                <w:sz w:val="24"/>
              </w:rPr>
              <w:t>3,011,207.71</w:t>
            </w:r>
          </w:p>
        </w:tc>
        <w:tc>
          <w:tcPr>
            <w:tcW w:w="2143" w:type="dxa"/>
            <w:tcBorders>
              <w:top w:val="single" w:sz="4" w:space="0" w:color="000000"/>
              <w:left w:val="nil" w:sz="6" w:space="0" w:color="auto"/>
              <w:bottom w:val="nil" w:sz="6" w:space="0" w:color="auto"/>
              <w:right w:val="nil" w:sz="6" w:space="0" w:color="auto"/>
            </w:tcBorders>
          </w:tcPr>
          <w:p>
            <w:pPr>
              <w:pStyle w:val="TableParagraph"/>
              <w:spacing w:line="329" w:lineRule="exact"/>
              <w:ind w:right="105"/>
              <w:jc w:val="right"/>
              <w:rPr>
                <w:rFonts w:ascii="Arial Narrow" w:hAnsi="Arial Narrow" w:cs="Arial Narrow" w:eastAsia="Arial Narrow" w:hint="default"/>
                <w:sz w:val="24"/>
                <w:szCs w:val="24"/>
              </w:rPr>
            </w:pPr>
            <w:r>
              <w:rPr>
                <w:rFonts w:ascii="宋体" w:hAnsi="宋体" w:cs="宋体" w:eastAsia="宋体" w:hint="default"/>
                <w:sz w:val="24"/>
                <w:szCs w:val="24"/>
              </w:rPr>
              <w:t>应税收入之</w:t>
            </w:r>
            <w:r>
              <w:rPr>
                <w:rFonts w:ascii="宋体" w:hAnsi="宋体" w:cs="宋体" w:eastAsia="宋体" w:hint="default"/>
                <w:spacing w:val="-60"/>
                <w:sz w:val="24"/>
                <w:szCs w:val="24"/>
              </w:rPr>
              <w:t> </w:t>
            </w:r>
            <w:r>
              <w:rPr>
                <w:rFonts w:ascii="Arial Narrow" w:hAnsi="Arial Narrow" w:cs="Arial Narrow" w:eastAsia="Arial Narrow" w:hint="default"/>
                <w:sz w:val="24"/>
                <w:szCs w:val="24"/>
              </w:rPr>
              <w:t>5%</w:t>
            </w:r>
          </w:p>
        </w:tc>
      </w:tr>
      <w:tr>
        <w:trPr>
          <w:trHeight w:val="395"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37"/>
              <w:jc w:val="right"/>
              <w:rPr>
                <w:rFonts w:ascii="Arial Narrow" w:hAnsi="Arial Narrow" w:cs="Arial Narrow" w:eastAsia="Arial Narrow" w:hint="default"/>
                <w:sz w:val="24"/>
                <w:szCs w:val="24"/>
              </w:rPr>
            </w:pPr>
            <w:r>
              <w:rPr>
                <w:rFonts w:ascii="Arial Narrow"/>
                <w:spacing w:val="-3"/>
                <w:sz w:val="24"/>
              </w:rPr>
              <w:t>1,111,918.59</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46"/>
              <w:jc w:val="right"/>
              <w:rPr>
                <w:rFonts w:ascii="Arial Narrow" w:hAnsi="Arial Narrow" w:cs="Arial Narrow" w:eastAsia="Arial Narrow" w:hint="default"/>
                <w:sz w:val="24"/>
                <w:szCs w:val="24"/>
              </w:rPr>
            </w:pPr>
            <w:r>
              <w:rPr>
                <w:rFonts w:ascii="Arial Narrow"/>
                <w:spacing w:val="-1"/>
                <w:sz w:val="24"/>
              </w:rPr>
              <w:t>877,662.95</w:t>
            </w:r>
          </w:p>
        </w:tc>
        <w:tc>
          <w:tcPr>
            <w:tcW w:w="2143" w:type="dxa"/>
            <w:tcBorders>
              <w:top w:val="nil" w:sz="6" w:space="0" w:color="auto"/>
              <w:left w:val="nil" w:sz="6" w:space="0" w:color="auto"/>
              <w:bottom w:val="nil" w:sz="6" w:space="0" w:color="auto"/>
              <w:right w:val="nil" w:sz="6" w:space="0" w:color="auto"/>
            </w:tcBorders>
          </w:tcPr>
          <w:p>
            <w:pPr>
              <w:pStyle w:val="TableParagraph"/>
              <w:spacing w:line="328" w:lineRule="exact"/>
              <w:ind w:right="105"/>
              <w:jc w:val="right"/>
              <w:rPr>
                <w:rFonts w:ascii="Arial Narrow" w:hAnsi="Arial Narrow" w:cs="Arial Narrow" w:eastAsia="Arial Narrow" w:hint="default"/>
                <w:sz w:val="24"/>
                <w:szCs w:val="24"/>
              </w:rPr>
            </w:pPr>
            <w:r>
              <w:rPr>
                <w:rFonts w:ascii="宋体" w:hAnsi="宋体" w:cs="宋体" w:eastAsia="宋体" w:hint="default"/>
                <w:sz w:val="24"/>
                <w:szCs w:val="24"/>
              </w:rPr>
              <w:t>应缴流转税之</w:t>
            </w:r>
            <w:r>
              <w:rPr>
                <w:rFonts w:ascii="宋体" w:hAnsi="宋体" w:cs="宋体" w:eastAsia="宋体" w:hint="default"/>
                <w:spacing w:val="-60"/>
                <w:sz w:val="24"/>
                <w:szCs w:val="24"/>
              </w:rPr>
              <w:t> </w:t>
            </w:r>
            <w:r>
              <w:rPr>
                <w:rFonts w:ascii="Arial Narrow" w:hAnsi="Arial Narrow" w:cs="Arial Narrow" w:eastAsia="Arial Narrow" w:hint="default"/>
                <w:sz w:val="24"/>
                <w:szCs w:val="24"/>
              </w:rPr>
              <w:t>7%</w:t>
            </w:r>
          </w:p>
        </w:tc>
      </w:tr>
      <w:tr>
        <w:trPr>
          <w:trHeight w:val="397"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7"/>
              <w:jc w:val="right"/>
              <w:rPr>
                <w:rFonts w:ascii="Arial Narrow" w:hAnsi="Arial Narrow" w:cs="Arial Narrow" w:eastAsia="Arial Narrow" w:hint="default"/>
                <w:sz w:val="24"/>
                <w:szCs w:val="24"/>
              </w:rPr>
            </w:pPr>
            <w:r>
              <w:rPr>
                <w:rFonts w:ascii="Arial Narrow"/>
                <w:spacing w:val="-1"/>
                <w:sz w:val="24"/>
              </w:rPr>
              <w:t>477,082.60</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6"/>
              <w:jc w:val="right"/>
              <w:rPr>
                <w:rFonts w:ascii="Arial Narrow" w:hAnsi="Arial Narrow" w:cs="Arial Narrow" w:eastAsia="Arial Narrow" w:hint="default"/>
                <w:sz w:val="24"/>
                <w:szCs w:val="24"/>
              </w:rPr>
            </w:pPr>
            <w:r>
              <w:rPr>
                <w:rFonts w:ascii="Arial Narrow"/>
                <w:spacing w:val="-1"/>
                <w:sz w:val="24"/>
              </w:rPr>
              <w:t>376,141.27</w:t>
            </w:r>
          </w:p>
        </w:tc>
        <w:tc>
          <w:tcPr>
            <w:tcW w:w="2143" w:type="dxa"/>
            <w:tcBorders>
              <w:top w:val="nil" w:sz="6" w:space="0" w:color="auto"/>
              <w:left w:val="nil" w:sz="6" w:space="0" w:color="auto"/>
              <w:bottom w:val="nil" w:sz="6" w:space="0" w:color="auto"/>
              <w:right w:val="nil" w:sz="6" w:space="0" w:color="auto"/>
            </w:tcBorders>
          </w:tcPr>
          <w:p>
            <w:pPr>
              <w:pStyle w:val="TableParagraph"/>
              <w:spacing w:line="329" w:lineRule="exact"/>
              <w:ind w:right="105"/>
              <w:jc w:val="right"/>
              <w:rPr>
                <w:rFonts w:ascii="Arial Narrow" w:hAnsi="Arial Narrow" w:cs="Arial Narrow" w:eastAsia="Arial Narrow" w:hint="default"/>
                <w:sz w:val="24"/>
                <w:szCs w:val="24"/>
              </w:rPr>
            </w:pPr>
            <w:r>
              <w:rPr>
                <w:rFonts w:ascii="宋体" w:hAnsi="宋体" w:cs="宋体" w:eastAsia="宋体" w:hint="default"/>
                <w:sz w:val="24"/>
                <w:szCs w:val="24"/>
              </w:rPr>
              <w:t>应缴流转税之</w:t>
            </w:r>
            <w:r>
              <w:rPr>
                <w:rFonts w:ascii="宋体" w:hAnsi="宋体" w:cs="宋体" w:eastAsia="宋体" w:hint="default"/>
                <w:spacing w:val="-60"/>
                <w:sz w:val="24"/>
                <w:szCs w:val="24"/>
              </w:rPr>
              <w:t> </w:t>
            </w:r>
            <w:r>
              <w:rPr>
                <w:rFonts w:ascii="Arial Narrow" w:hAnsi="Arial Narrow" w:cs="Arial Narrow" w:eastAsia="Arial Narrow" w:hint="default"/>
                <w:sz w:val="24"/>
                <w:szCs w:val="24"/>
              </w:rPr>
              <w:t>3%</w:t>
            </w:r>
          </w:p>
        </w:tc>
      </w:tr>
      <w:tr>
        <w:trPr>
          <w:trHeight w:val="395" w:hRule="exact"/>
        </w:trPr>
        <w:tc>
          <w:tcPr>
            <w:tcW w:w="2535" w:type="dxa"/>
            <w:tcBorders>
              <w:top w:val="nil" w:sz="6" w:space="0" w:color="auto"/>
              <w:left w:val="nil" w:sz="6" w:space="0" w:color="auto"/>
              <w:bottom w:val="nil" w:sz="6" w:space="0" w:color="auto"/>
              <w:right w:val="nil" w:sz="6" w:space="0" w:color="auto"/>
            </w:tcBorders>
          </w:tcPr>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围堤防护费</w:t>
            </w:r>
          </w:p>
        </w:tc>
        <w:tc>
          <w:tcPr>
            <w:tcW w:w="24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36"/>
              <w:jc w:val="right"/>
              <w:rPr>
                <w:rFonts w:ascii="Arial Narrow" w:hAnsi="Arial Narrow" w:cs="Arial Narrow" w:eastAsia="Arial Narrow" w:hint="default"/>
                <w:sz w:val="24"/>
                <w:szCs w:val="24"/>
              </w:rPr>
            </w:pPr>
            <w:r>
              <w:rPr>
                <w:rFonts w:ascii="Arial Narrow"/>
                <w:spacing w:val="-1"/>
                <w:sz w:val="24"/>
              </w:rPr>
              <w:t>2,877.95</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5"/>
              <w:jc w:val="right"/>
              <w:rPr>
                <w:rFonts w:ascii="Arial Narrow" w:hAnsi="Arial Narrow" w:cs="Arial Narrow" w:eastAsia="Arial Narrow" w:hint="default"/>
                <w:sz w:val="24"/>
                <w:szCs w:val="24"/>
              </w:rPr>
            </w:pPr>
            <w:r>
              <w:rPr>
                <w:rFonts w:ascii="Arial Narrow"/>
                <w:sz w:val="24"/>
              </w:rPr>
              <w:t>-</w:t>
            </w:r>
          </w:p>
        </w:tc>
        <w:tc>
          <w:tcPr>
            <w:tcW w:w="2143" w:type="dxa"/>
            <w:tcBorders>
              <w:top w:val="nil" w:sz="6" w:space="0" w:color="auto"/>
              <w:left w:val="nil" w:sz="6" w:space="0" w:color="auto"/>
              <w:bottom w:val="nil" w:sz="6" w:space="0" w:color="auto"/>
              <w:right w:val="nil" w:sz="6" w:space="0" w:color="auto"/>
            </w:tcBorders>
          </w:tcPr>
          <w:p>
            <w:pPr/>
          </w:p>
        </w:tc>
      </w:tr>
      <w:tr>
        <w:trPr>
          <w:trHeight w:val="399" w:hRule="exact"/>
        </w:trPr>
        <w:tc>
          <w:tcPr>
            <w:tcW w:w="253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水利建设基金</w:t>
            </w:r>
          </w:p>
        </w:tc>
        <w:tc>
          <w:tcPr>
            <w:tcW w:w="247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536"/>
              <w:jc w:val="right"/>
              <w:rPr>
                <w:rFonts w:ascii="Arial Narrow" w:hAnsi="Arial Narrow" w:cs="Arial Narrow" w:eastAsia="Arial Narrow" w:hint="default"/>
                <w:sz w:val="24"/>
                <w:szCs w:val="24"/>
              </w:rPr>
            </w:pPr>
            <w:r>
              <w:rPr>
                <w:rFonts w:ascii="Arial Narrow"/>
                <w:sz w:val="24"/>
              </w:rPr>
              <w:t>-</w:t>
            </w: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46"/>
              <w:jc w:val="right"/>
              <w:rPr>
                <w:rFonts w:ascii="Arial Narrow" w:hAnsi="Arial Narrow" w:cs="Arial Narrow" w:eastAsia="Arial Narrow" w:hint="default"/>
                <w:sz w:val="24"/>
                <w:szCs w:val="24"/>
              </w:rPr>
            </w:pPr>
            <w:r>
              <w:rPr>
                <w:rFonts w:ascii="Arial Narrow"/>
                <w:spacing w:val="-1"/>
                <w:sz w:val="24"/>
              </w:rPr>
              <w:t>4,316.93</w:t>
            </w:r>
          </w:p>
        </w:tc>
        <w:tc>
          <w:tcPr>
            <w:tcW w:w="2143" w:type="dxa"/>
            <w:tcBorders>
              <w:top w:val="nil" w:sz="6" w:space="0" w:color="auto"/>
              <w:left w:val="nil" w:sz="6" w:space="0" w:color="auto"/>
              <w:bottom w:val="single" w:sz="4" w:space="0" w:color="000000"/>
              <w:right w:val="nil" w:sz="6" w:space="0" w:color="auto"/>
            </w:tcBorders>
          </w:tcPr>
          <w:p>
            <w:pPr/>
          </w:p>
        </w:tc>
      </w:tr>
      <w:tr>
        <w:trPr>
          <w:trHeight w:val="403" w:hRule="exact"/>
        </w:trPr>
        <w:tc>
          <w:tcPr>
            <w:tcW w:w="2535"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47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537"/>
              <w:jc w:val="right"/>
              <w:rPr>
                <w:rFonts w:ascii="Arial Narrow" w:hAnsi="Arial Narrow" w:cs="Arial Narrow" w:eastAsia="Arial Narrow" w:hint="default"/>
                <w:sz w:val="24"/>
                <w:szCs w:val="24"/>
              </w:rPr>
            </w:pPr>
            <w:r>
              <w:rPr>
                <w:rFonts w:ascii="Arial Narrow"/>
                <w:b/>
                <w:spacing w:val="-1"/>
                <w:sz w:val="24"/>
              </w:rPr>
              <w:t>6,755,387.93</w:t>
            </w:r>
            <w:r>
              <w:rPr>
                <w:rFonts w:ascii="Arial Narrow"/>
                <w:spacing w:val="-1"/>
                <w:sz w:val="24"/>
              </w:rPr>
            </w:r>
          </w:p>
        </w:tc>
        <w:tc>
          <w:tcPr>
            <w:tcW w:w="199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46"/>
              <w:jc w:val="right"/>
              <w:rPr>
                <w:rFonts w:ascii="Arial Narrow" w:hAnsi="Arial Narrow" w:cs="Arial Narrow" w:eastAsia="Arial Narrow" w:hint="default"/>
                <w:sz w:val="24"/>
                <w:szCs w:val="24"/>
              </w:rPr>
            </w:pPr>
            <w:r>
              <w:rPr>
                <w:rFonts w:ascii="Arial Narrow"/>
                <w:b/>
                <w:spacing w:val="-1"/>
                <w:sz w:val="24"/>
              </w:rPr>
              <w:t>4,269,328.86</w:t>
            </w:r>
            <w:r>
              <w:rPr>
                <w:rFonts w:ascii="Arial Narrow"/>
                <w:spacing w:val="-1"/>
                <w:sz w:val="24"/>
              </w:rPr>
            </w:r>
          </w:p>
        </w:tc>
        <w:tc>
          <w:tcPr>
            <w:tcW w:w="2143"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left="102" w:right="0"/>
        <w:jc w:val="left"/>
      </w:pPr>
      <w:r>
        <w:rPr>
          <w:rFonts w:ascii="Arial Narrow" w:hAnsi="Arial Narrow" w:cs="Arial Narrow" w:eastAsia="Arial Narrow" w:hint="default"/>
        </w:rPr>
        <w:t>35</w:t>
      </w:r>
      <w:r>
        <w:rPr/>
        <w:t>、销售费用</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921"/>
        <w:gridCol w:w="4020"/>
        <w:gridCol w:w="2275"/>
      </w:tblGrid>
      <w:tr>
        <w:trPr>
          <w:trHeight w:val="391" w:hRule="exact"/>
        </w:trPr>
        <w:tc>
          <w:tcPr>
            <w:tcW w:w="292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402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905"/>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75"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8" w:hRule="exact"/>
        </w:trPr>
        <w:tc>
          <w:tcPr>
            <w:tcW w:w="2921"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工资</w:t>
            </w:r>
          </w:p>
        </w:tc>
        <w:tc>
          <w:tcPr>
            <w:tcW w:w="40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24,028,446.29</w:t>
            </w:r>
          </w:p>
        </w:tc>
        <w:tc>
          <w:tcPr>
            <w:tcW w:w="227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13,519,500.05</w:t>
            </w:r>
          </w:p>
        </w:tc>
      </w:tr>
      <w:tr>
        <w:trPr>
          <w:trHeight w:val="394"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04"/>
              <w:jc w:val="right"/>
              <w:rPr>
                <w:rFonts w:ascii="Arial Narrow" w:hAnsi="Arial Narrow" w:cs="Arial Narrow" w:eastAsia="Arial Narrow" w:hint="default"/>
                <w:sz w:val="24"/>
                <w:szCs w:val="24"/>
              </w:rPr>
            </w:pPr>
            <w:r>
              <w:rPr>
                <w:rFonts w:ascii="Arial Narrow"/>
                <w:spacing w:val="-1"/>
                <w:sz w:val="24"/>
              </w:rPr>
              <w:t>8,355,821.45</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spacing w:val="-1"/>
                <w:sz w:val="24"/>
              </w:rPr>
              <w:t>6,393,839.92</w:t>
            </w:r>
          </w:p>
        </w:tc>
      </w:tr>
      <w:tr>
        <w:trPr>
          <w:trHeight w:val="397"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4"/>
              <w:jc w:val="right"/>
              <w:rPr>
                <w:rFonts w:ascii="Arial Narrow" w:hAnsi="Arial Narrow" w:cs="Arial Narrow" w:eastAsia="Arial Narrow" w:hint="default"/>
                <w:sz w:val="24"/>
                <w:szCs w:val="24"/>
              </w:rPr>
            </w:pPr>
            <w:r>
              <w:rPr>
                <w:rFonts w:ascii="Arial Narrow"/>
                <w:spacing w:val="-1"/>
                <w:sz w:val="24"/>
              </w:rPr>
              <w:t>6,844,405.65</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3,136,243.65</w:t>
            </w:r>
          </w:p>
        </w:tc>
      </w:tr>
      <w:tr>
        <w:trPr>
          <w:trHeight w:val="397"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社会保险</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04"/>
              <w:jc w:val="right"/>
              <w:rPr>
                <w:rFonts w:ascii="Arial Narrow" w:hAnsi="Arial Narrow" w:cs="Arial Narrow" w:eastAsia="Arial Narrow" w:hint="default"/>
                <w:sz w:val="24"/>
                <w:szCs w:val="24"/>
              </w:rPr>
            </w:pPr>
            <w:r>
              <w:rPr>
                <w:rFonts w:ascii="Arial Narrow"/>
                <w:spacing w:val="-1"/>
                <w:sz w:val="24"/>
              </w:rPr>
              <w:t>3,312,803.46</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2,397,574.18</w:t>
            </w:r>
          </w:p>
        </w:tc>
      </w:tr>
      <w:tr>
        <w:trPr>
          <w:trHeight w:val="396"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7,493,741.19</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1,696,148.00</w:t>
            </w:r>
          </w:p>
        </w:tc>
      </w:tr>
      <w:tr>
        <w:trPr>
          <w:trHeight w:val="398"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车费</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4"/>
              <w:jc w:val="right"/>
              <w:rPr>
                <w:rFonts w:ascii="Arial Narrow" w:hAnsi="Arial Narrow" w:cs="Arial Narrow" w:eastAsia="Arial Narrow" w:hint="default"/>
                <w:sz w:val="24"/>
                <w:szCs w:val="24"/>
              </w:rPr>
            </w:pPr>
            <w:r>
              <w:rPr>
                <w:rFonts w:ascii="Arial Narrow"/>
                <w:spacing w:val="-1"/>
                <w:sz w:val="24"/>
              </w:rPr>
              <w:t>1,742,438.49</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2,022,446.15</w:t>
            </w:r>
          </w:p>
        </w:tc>
      </w:tr>
      <w:tr>
        <w:trPr>
          <w:trHeight w:val="321" w:hRule="exact"/>
        </w:trPr>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福利费</w:t>
            </w:r>
          </w:p>
        </w:tc>
        <w:tc>
          <w:tcPr>
            <w:tcW w:w="40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1,296,977.28</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1,206,419.98</w:t>
            </w:r>
          </w:p>
        </w:tc>
      </w:tr>
    </w:tbl>
    <w:p>
      <w:pPr>
        <w:spacing w:after="0" w:line="240" w:lineRule="auto"/>
        <w:jc w:val="right"/>
        <w:rPr>
          <w:rFonts w:ascii="Arial Narrow" w:hAnsi="Arial Narrow" w:cs="Arial Narrow" w:eastAsia="Arial Narrow" w:hint="default"/>
          <w:sz w:val="24"/>
          <w:szCs w:val="24"/>
        </w:rPr>
        <w:sectPr>
          <w:pgSz w:w="11900" w:h="16850"/>
          <w:pgMar w:header="0" w:footer="919" w:top="1640" w:bottom="1100" w:left="1180" w:right="88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400"/>
        <w:gridCol w:w="2802"/>
        <w:gridCol w:w="4139"/>
        <w:gridCol w:w="2167"/>
        <w:gridCol w:w="107"/>
      </w:tblGrid>
      <w:tr>
        <w:trPr>
          <w:trHeight w:val="494" w:hRule="exact"/>
        </w:trPr>
        <w:tc>
          <w:tcPr>
            <w:tcW w:w="400" w:type="dxa"/>
            <w:tcBorders>
              <w:top w:val="single" w:sz="6" w:space="0" w:color="000000"/>
              <w:left w:val="nil" w:sz="6" w:space="0" w:color="auto"/>
              <w:bottom w:val="nil" w:sz="6" w:space="0" w:color="auto"/>
              <w:right w:val="nil" w:sz="6" w:space="0" w:color="auto"/>
            </w:tcBorders>
          </w:tcPr>
          <w:p>
            <w:pPr/>
          </w:p>
        </w:tc>
        <w:tc>
          <w:tcPr>
            <w:tcW w:w="2802"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left="108" w:right="0"/>
              <w:jc w:val="left"/>
              <w:rPr>
                <w:rFonts w:ascii="宋体" w:hAnsi="宋体" w:cs="宋体" w:eastAsia="宋体" w:hint="default"/>
                <w:sz w:val="24"/>
                <w:szCs w:val="24"/>
              </w:rPr>
            </w:pPr>
            <w:r>
              <w:rPr>
                <w:rFonts w:ascii="宋体" w:hAnsi="宋体" w:cs="宋体" w:eastAsia="宋体" w:hint="default"/>
                <w:sz w:val="24"/>
                <w:szCs w:val="24"/>
              </w:rPr>
              <w:t>宣传费</w:t>
            </w:r>
          </w:p>
        </w:tc>
        <w:tc>
          <w:tcPr>
            <w:tcW w:w="4139"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right="904"/>
              <w:jc w:val="right"/>
              <w:rPr>
                <w:rFonts w:ascii="Arial Narrow" w:hAnsi="Arial Narrow" w:cs="Arial Narrow" w:eastAsia="Arial Narrow" w:hint="default"/>
                <w:sz w:val="24"/>
                <w:szCs w:val="24"/>
              </w:rPr>
            </w:pPr>
            <w:r>
              <w:rPr>
                <w:rFonts w:ascii="Arial Narrow"/>
                <w:spacing w:val="-1"/>
                <w:sz w:val="24"/>
              </w:rPr>
              <w:t>1,108,884.26</w:t>
            </w:r>
          </w:p>
        </w:tc>
        <w:tc>
          <w:tcPr>
            <w:tcW w:w="2167"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right="0"/>
              <w:jc w:val="right"/>
              <w:rPr>
                <w:rFonts w:ascii="Arial Narrow" w:hAnsi="Arial Narrow" w:cs="Arial Narrow" w:eastAsia="Arial Narrow" w:hint="default"/>
                <w:sz w:val="24"/>
                <w:szCs w:val="24"/>
              </w:rPr>
            </w:pPr>
            <w:r>
              <w:rPr>
                <w:rFonts w:ascii="Arial Narrow"/>
                <w:spacing w:val="-1"/>
                <w:sz w:val="24"/>
              </w:rPr>
              <w:t>705,867.91</w:t>
            </w:r>
          </w:p>
        </w:tc>
        <w:tc>
          <w:tcPr>
            <w:tcW w:w="107" w:type="dxa"/>
            <w:tcBorders>
              <w:top w:val="nil" w:sz="6" w:space="0" w:color="auto"/>
              <w:left w:val="nil" w:sz="6" w:space="0" w:color="auto"/>
              <w:bottom w:val="nil" w:sz="6" w:space="0" w:color="auto"/>
              <w:right w:val="nil" w:sz="6" w:space="0" w:color="auto"/>
            </w:tcBorders>
          </w:tcPr>
          <w:p>
            <w:pPr/>
          </w:p>
        </w:tc>
      </w:tr>
      <w:tr>
        <w:trPr>
          <w:trHeight w:val="398" w:hRule="exact"/>
        </w:trPr>
        <w:tc>
          <w:tcPr>
            <w:tcW w:w="40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电话费</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4"/>
              <w:jc w:val="right"/>
              <w:rPr>
                <w:rFonts w:ascii="Arial Narrow" w:hAnsi="Arial Narrow" w:cs="Arial Narrow" w:eastAsia="Arial Narrow" w:hint="default"/>
                <w:sz w:val="24"/>
                <w:szCs w:val="24"/>
              </w:rPr>
            </w:pPr>
            <w:r>
              <w:rPr>
                <w:rFonts w:ascii="Arial Narrow"/>
                <w:spacing w:val="-1"/>
                <w:sz w:val="24"/>
              </w:rPr>
              <w:t>1,036,107.20</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pacing w:val="-1"/>
                <w:sz w:val="24"/>
              </w:rPr>
              <w:t>834,697.54</w:t>
            </w:r>
          </w:p>
        </w:tc>
        <w:tc>
          <w:tcPr>
            <w:tcW w:w="107" w:type="dxa"/>
            <w:tcBorders>
              <w:top w:val="nil" w:sz="6" w:space="0" w:color="auto"/>
              <w:left w:val="nil" w:sz="6" w:space="0" w:color="auto"/>
              <w:bottom w:val="nil" w:sz="6" w:space="0" w:color="auto"/>
              <w:right w:val="nil" w:sz="6" w:space="0" w:color="auto"/>
            </w:tcBorders>
          </w:tcPr>
          <w:p>
            <w:pPr/>
          </w:p>
        </w:tc>
      </w:tr>
      <w:tr>
        <w:trPr>
          <w:trHeight w:val="396" w:hRule="exact"/>
        </w:trPr>
        <w:tc>
          <w:tcPr>
            <w:tcW w:w="40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折旧</w:t>
            </w:r>
          </w:p>
        </w:tc>
        <w:tc>
          <w:tcPr>
            <w:tcW w:w="413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500,585.66</w:t>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z w:val="24"/>
              </w:rPr>
              <w:t>-</w:t>
            </w:r>
          </w:p>
        </w:tc>
        <w:tc>
          <w:tcPr>
            <w:tcW w:w="107" w:type="dxa"/>
            <w:tcBorders>
              <w:top w:val="nil" w:sz="6" w:space="0" w:color="auto"/>
              <w:left w:val="nil" w:sz="6" w:space="0" w:color="auto"/>
              <w:bottom w:val="nil" w:sz="6" w:space="0" w:color="auto"/>
              <w:right w:val="nil" w:sz="6" w:space="0" w:color="auto"/>
            </w:tcBorders>
          </w:tcPr>
          <w:p>
            <w:pPr/>
          </w:p>
        </w:tc>
      </w:tr>
      <w:tr>
        <w:trPr>
          <w:trHeight w:val="401" w:hRule="exact"/>
        </w:trPr>
        <w:tc>
          <w:tcPr>
            <w:tcW w:w="400" w:type="dxa"/>
            <w:tcBorders>
              <w:top w:val="nil" w:sz="6" w:space="0" w:color="auto"/>
              <w:left w:val="nil" w:sz="6" w:space="0" w:color="auto"/>
              <w:bottom w:val="nil" w:sz="6" w:space="0" w:color="auto"/>
              <w:right w:val="nil" w:sz="6" w:space="0" w:color="auto"/>
            </w:tcBorders>
          </w:tcPr>
          <w:p>
            <w:pPr/>
          </w:p>
        </w:tc>
        <w:tc>
          <w:tcPr>
            <w:tcW w:w="280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13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1,244,032.14</w:t>
            </w:r>
          </w:p>
        </w:tc>
        <w:tc>
          <w:tcPr>
            <w:tcW w:w="216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spacing w:val="-1"/>
                <w:sz w:val="24"/>
              </w:rPr>
              <w:t>2,910,633.52</w:t>
            </w:r>
          </w:p>
        </w:tc>
        <w:tc>
          <w:tcPr>
            <w:tcW w:w="107" w:type="dxa"/>
            <w:tcBorders>
              <w:top w:val="nil" w:sz="6" w:space="0" w:color="auto"/>
              <w:left w:val="nil" w:sz="6" w:space="0" w:color="auto"/>
              <w:bottom w:val="single" w:sz="4" w:space="0" w:color="000000"/>
              <w:right w:val="nil" w:sz="6" w:space="0" w:color="auto"/>
            </w:tcBorders>
          </w:tcPr>
          <w:p>
            <w:pPr/>
          </w:p>
        </w:tc>
      </w:tr>
      <w:tr>
        <w:trPr>
          <w:trHeight w:val="401" w:hRule="exact"/>
        </w:trPr>
        <w:tc>
          <w:tcPr>
            <w:tcW w:w="400" w:type="dxa"/>
            <w:tcBorders>
              <w:top w:val="nil" w:sz="6" w:space="0" w:color="auto"/>
              <w:left w:val="nil" w:sz="6" w:space="0" w:color="auto"/>
              <w:bottom w:val="nil" w:sz="6" w:space="0" w:color="auto"/>
              <w:right w:val="nil" w:sz="6" w:space="0" w:color="auto"/>
            </w:tcBorders>
          </w:tcPr>
          <w:p>
            <w:pPr/>
          </w:p>
        </w:tc>
        <w:tc>
          <w:tcPr>
            <w:tcW w:w="2802"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0"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413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904"/>
              <w:jc w:val="right"/>
              <w:rPr>
                <w:rFonts w:ascii="Arial Narrow" w:hAnsi="Arial Narrow" w:cs="Arial Narrow" w:eastAsia="Arial Narrow" w:hint="default"/>
                <w:sz w:val="24"/>
                <w:szCs w:val="24"/>
              </w:rPr>
            </w:pPr>
            <w:r>
              <w:rPr>
                <w:rFonts w:ascii="Arial Narrow"/>
                <w:b/>
                <w:spacing w:val="-1"/>
                <w:sz w:val="24"/>
              </w:rPr>
              <w:t>56,964,243.07</w:t>
            </w:r>
            <w:r>
              <w:rPr>
                <w:rFonts w:ascii="Arial Narrow"/>
                <w:spacing w:val="-1"/>
                <w:sz w:val="24"/>
              </w:rPr>
            </w:r>
          </w:p>
        </w:tc>
        <w:tc>
          <w:tcPr>
            <w:tcW w:w="2167"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
              <w:jc w:val="right"/>
              <w:rPr>
                <w:rFonts w:ascii="Arial Narrow" w:hAnsi="Arial Narrow" w:cs="Arial Narrow" w:eastAsia="Arial Narrow" w:hint="default"/>
                <w:sz w:val="24"/>
                <w:szCs w:val="24"/>
              </w:rPr>
            </w:pPr>
            <w:r>
              <w:rPr>
                <w:rFonts w:ascii="Arial Narrow"/>
                <w:b/>
                <w:spacing w:val="-1"/>
                <w:sz w:val="24"/>
              </w:rPr>
              <w:t>34,823,370.90</w:t>
            </w:r>
            <w:r>
              <w:rPr>
                <w:rFonts w:ascii="Arial Narrow"/>
                <w:spacing w:val="-1"/>
                <w:sz w:val="24"/>
              </w:rPr>
            </w:r>
          </w:p>
        </w:tc>
        <w:tc>
          <w:tcPr>
            <w:tcW w:w="107"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left="102" w:right="0"/>
        <w:jc w:val="left"/>
      </w:pPr>
      <w:r>
        <w:rPr>
          <w:rFonts w:ascii="Arial Narrow" w:hAnsi="Arial Narrow" w:cs="Arial Narrow" w:eastAsia="Arial Narrow" w:hint="default"/>
        </w:rPr>
        <w:t>36</w:t>
      </w:r>
      <w:r>
        <w:rPr/>
        <w:t>、管理费用</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2867"/>
        <w:gridCol w:w="4074"/>
        <w:gridCol w:w="2274"/>
      </w:tblGrid>
      <w:tr>
        <w:trPr>
          <w:trHeight w:val="392" w:hRule="exact"/>
        </w:trPr>
        <w:tc>
          <w:tcPr>
            <w:tcW w:w="286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8"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4074"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905"/>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74"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10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8" w:hRule="exact"/>
        </w:trPr>
        <w:tc>
          <w:tcPr>
            <w:tcW w:w="2867"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工资</w:t>
            </w:r>
          </w:p>
        </w:tc>
        <w:tc>
          <w:tcPr>
            <w:tcW w:w="40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64,409,194.41</w:t>
            </w:r>
          </w:p>
        </w:tc>
        <w:tc>
          <w:tcPr>
            <w:tcW w:w="22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46,839,864.45</w:t>
            </w:r>
          </w:p>
        </w:tc>
      </w:tr>
      <w:tr>
        <w:trPr>
          <w:trHeight w:val="394"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04"/>
              <w:jc w:val="right"/>
              <w:rPr>
                <w:rFonts w:ascii="Arial Narrow" w:hAnsi="Arial Narrow" w:cs="Arial Narrow" w:eastAsia="Arial Narrow" w:hint="default"/>
                <w:sz w:val="24"/>
                <w:szCs w:val="24"/>
              </w:rPr>
            </w:pPr>
            <w:r>
              <w:rPr>
                <w:rFonts w:ascii="Arial Narrow"/>
                <w:spacing w:val="-1"/>
                <w:sz w:val="24"/>
              </w:rPr>
              <w:t>12,126,554.91</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spacing w:val="-2"/>
                <w:sz w:val="24"/>
              </w:rPr>
              <w:t>7,211,144.92</w:t>
            </w:r>
          </w:p>
        </w:tc>
      </w:tr>
      <w:tr>
        <w:trPr>
          <w:trHeight w:val="397"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社会保险</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4"/>
              <w:jc w:val="right"/>
              <w:rPr>
                <w:rFonts w:ascii="Arial Narrow" w:hAnsi="Arial Narrow" w:cs="Arial Narrow" w:eastAsia="Arial Narrow" w:hint="default"/>
                <w:sz w:val="24"/>
                <w:szCs w:val="24"/>
              </w:rPr>
            </w:pPr>
            <w:r>
              <w:rPr>
                <w:rFonts w:ascii="Arial Narrow"/>
                <w:spacing w:val="-1"/>
                <w:sz w:val="24"/>
              </w:rPr>
              <w:t>7,870,404.50</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4,689,517.18</w:t>
            </w:r>
          </w:p>
        </w:tc>
      </w:tr>
      <w:tr>
        <w:trPr>
          <w:trHeight w:val="397"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04"/>
              <w:jc w:val="right"/>
              <w:rPr>
                <w:rFonts w:ascii="Arial Narrow" w:hAnsi="Arial Narrow" w:cs="Arial Narrow" w:eastAsia="Arial Narrow" w:hint="default"/>
                <w:sz w:val="24"/>
                <w:szCs w:val="24"/>
              </w:rPr>
            </w:pPr>
            <w:r>
              <w:rPr>
                <w:rFonts w:ascii="Arial Narrow"/>
                <w:spacing w:val="-1"/>
                <w:sz w:val="24"/>
              </w:rPr>
              <w:t>5,210,846.35</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4,105,534.16</w:t>
            </w:r>
          </w:p>
        </w:tc>
      </w:tr>
      <w:tr>
        <w:trPr>
          <w:trHeight w:val="396"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福利费</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4,234,593.72</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1,679,789.95</w:t>
            </w:r>
          </w:p>
        </w:tc>
      </w:tr>
      <w:tr>
        <w:trPr>
          <w:trHeight w:val="398"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折旧</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4"/>
              <w:jc w:val="right"/>
              <w:rPr>
                <w:rFonts w:ascii="Arial Narrow" w:hAnsi="Arial Narrow" w:cs="Arial Narrow" w:eastAsia="Arial Narrow" w:hint="default"/>
                <w:sz w:val="24"/>
                <w:szCs w:val="24"/>
              </w:rPr>
            </w:pPr>
            <w:r>
              <w:rPr>
                <w:rFonts w:ascii="Arial Narrow"/>
                <w:spacing w:val="-1"/>
                <w:sz w:val="24"/>
              </w:rPr>
              <w:t>4,190,664.38</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1,949,484.26</w:t>
            </w:r>
          </w:p>
        </w:tc>
      </w:tr>
      <w:tr>
        <w:trPr>
          <w:trHeight w:val="396"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股权激励</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2,984,678.29</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z w:val="24"/>
              </w:rPr>
              <w:t>-</w:t>
            </w:r>
          </w:p>
        </w:tc>
      </w:tr>
      <w:tr>
        <w:trPr>
          <w:trHeight w:val="399"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4"/>
              <w:jc w:val="right"/>
              <w:rPr>
                <w:rFonts w:ascii="Arial Narrow" w:hAnsi="Arial Narrow" w:cs="Arial Narrow" w:eastAsia="Arial Narrow" w:hint="default"/>
                <w:sz w:val="24"/>
                <w:szCs w:val="24"/>
              </w:rPr>
            </w:pPr>
            <w:r>
              <w:rPr>
                <w:rFonts w:ascii="Arial Narrow"/>
                <w:spacing w:val="-1"/>
                <w:sz w:val="24"/>
              </w:rPr>
              <w:t>1,870,561.86</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1,406,721.16</w:t>
            </w:r>
          </w:p>
        </w:tc>
      </w:tr>
      <w:tr>
        <w:trPr>
          <w:trHeight w:val="396"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车费</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1,396,107.45</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1,266,242.46</w:t>
            </w:r>
          </w:p>
        </w:tc>
      </w:tr>
      <w:tr>
        <w:trPr>
          <w:trHeight w:val="396"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电话费</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2"/>
                <w:sz w:val="24"/>
              </w:rPr>
              <w:t>1,011,655.71</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730,517.91</w:t>
            </w:r>
          </w:p>
        </w:tc>
      </w:tr>
      <w:tr>
        <w:trPr>
          <w:trHeight w:val="398" w:hRule="exact"/>
        </w:trPr>
        <w:tc>
          <w:tcPr>
            <w:tcW w:w="28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中介费</w:t>
            </w:r>
          </w:p>
        </w:tc>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04"/>
              <w:jc w:val="right"/>
              <w:rPr>
                <w:rFonts w:ascii="Arial Narrow" w:hAnsi="Arial Narrow" w:cs="Arial Narrow" w:eastAsia="Arial Narrow" w:hint="default"/>
                <w:sz w:val="24"/>
                <w:szCs w:val="24"/>
              </w:rPr>
            </w:pPr>
            <w:r>
              <w:rPr>
                <w:rFonts w:ascii="Arial Narrow"/>
                <w:spacing w:val="-2"/>
                <w:sz w:val="24"/>
              </w:rPr>
              <w:t>711,033.89</w:t>
            </w:r>
          </w:p>
        </w:tc>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367,724.68</w:t>
            </w:r>
          </w:p>
        </w:tc>
      </w:tr>
      <w:tr>
        <w:trPr>
          <w:trHeight w:val="399" w:hRule="exact"/>
        </w:trPr>
        <w:tc>
          <w:tcPr>
            <w:tcW w:w="286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407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spacing w:val="-1"/>
                <w:sz w:val="24"/>
              </w:rPr>
              <w:t>2,269,901.16</w:t>
            </w:r>
          </w:p>
        </w:tc>
        <w:tc>
          <w:tcPr>
            <w:tcW w:w="227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3,594,173.42</w:t>
            </w:r>
          </w:p>
        </w:tc>
      </w:tr>
      <w:tr>
        <w:trPr>
          <w:trHeight w:val="403" w:hRule="exact"/>
        </w:trPr>
        <w:tc>
          <w:tcPr>
            <w:tcW w:w="2867"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407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904"/>
              <w:jc w:val="right"/>
              <w:rPr>
                <w:rFonts w:ascii="Arial Narrow" w:hAnsi="Arial Narrow" w:cs="Arial Narrow" w:eastAsia="Arial Narrow" w:hint="default"/>
                <w:sz w:val="24"/>
                <w:szCs w:val="24"/>
              </w:rPr>
            </w:pPr>
            <w:r>
              <w:rPr>
                <w:rFonts w:ascii="Arial Narrow"/>
                <w:b/>
                <w:spacing w:val="-1"/>
                <w:sz w:val="24"/>
              </w:rPr>
              <w:t>108,286,196.63</w:t>
            </w:r>
            <w:r>
              <w:rPr>
                <w:rFonts w:ascii="Arial Narrow"/>
                <w:spacing w:val="-1"/>
                <w:sz w:val="24"/>
              </w:rPr>
            </w:r>
          </w:p>
        </w:tc>
        <w:tc>
          <w:tcPr>
            <w:tcW w:w="227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b/>
                <w:spacing w:val="-1"/>
                <w:sz w:val="24"/>
              </w:rPr>
              <w:t>73,840,714.55</w:t>
            </w:r>
            <w:r>
              <w:rPr>
                <w:rFonts w:ascii="Arial Narrow"/>
                <w:spacing w:val="-1"/>
                <w:sz w:val="24"/>
              </w:rPr>
            </w:r>
          </w:p>
        </w:tc>
      </w:tr>
    </w:tbl>
    <w:p>
      <w:pPr>
        <w:pStyle w:val="BodyText"/>
        <w:spacing w:line="240" w:lineRule="auto" w:before="79"/>
        <w:ind w:left="102" w:right="0"/>
        <w:jc w:val="left"/>
      </w:pPr>
      <w:r>
        <w:rPr>
          <w:rFonts w:ascii="Arial Narrow" w:hAnsi="Arial Narrow" w:cs="Arial Narrow" w:eastAsia="Arial Narrow" w:hint="default"/>
        </w:rPr>
        <w:t>37</w:t>
      </w:r>
      <w:r>
        <w:rPr/>
        <w:t>、财务费用</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276"/>
        <w:gridCol w:w="3700"/>
        <w:gridCol w:w="2159"/>
      </w:tblGrid>
      <w:tr>
        <w:trPr>
          <w:trHeight w:val="413" w:hRule="exact"/>
        </w:trPr>
        <w:tc>
          <w:tcPr>
            <w:tcW w:w="3276"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240" w:lineRule="auto" w:before="3"/>
              <w:ind w:left="26"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700"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914"/>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15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27"/>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3" w:hRule="exact"/>
        </w:trPr>
        <w:tc>
          <w:tcPr>
            <w:tcW w:w="3276"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70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913"/>
              <w:jc w:val="right"/>
              <w:rPr>
                <w:rFonts w:ascii="Arial Narrow" w:hAnsi="Arial Narrow" w:cs="Arial Narrow" w:eastAsia="Arial Narrow" w:hint="default"/>
                <w:sz w:val="24"/>
                <w:szCs w:val="24"/>
              </w:rPr>
            </w:pPr>
            <w:r>
              <w:rPr>
                <w:rFonts w:ascii="Arial Narrow"/>
                <w:spacing w:val="-1"/>
                <w:sz w:val="24"/>
              </w:rPr>
              <w:t>358,646.30</w:t>
            </w:r>
          </w:p>
        </w:tc>
        <w:tc>
          <w:tcPr>
            <w:tcW w:w="215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6"/>
              <w:jc w:val="right"/>
              <w:rPr>
                <w:rFonts w:ascii="Arial Narrow" w:hAnsi="Arial Narrow" w:cs="Arial Narrow" w:eastAsia="Arial Narrow" w:hint="default"/>
                <w:sz w:val="24"/>
                <w:szCs w:val="24"/>
              </w:rPr>
            </w:pPr>
            <w:r>
              <w:rPr>
                <w:rFonts w:ascii="Arial Narrow"/>
                <w:spacing w:val="-1"/>
                <w:sz w:val="24"/>
              </w:rPr>
              <w:t>205,694.84</w:t>
            </w:r>
          </w:p>
        </w:tc>
      </w:tr>
      <w:tr>
        <w:trPr>
          <w:trHeight w:val="396"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6"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4"/>
              <w:jc w:val="right"/>
              <w:rPr>
                <w:rFonts w:ascii="Arial Narrow" w:hAnsi="Arial Narrow" w:cs="Arial Narrow" w:eastAsia="Arial Narrow" w:hint="default"/>
                <w:sz w:val="24"/>
                <w:szCs w:val="24"/>
              </w:rPr>
            </w:pPr>
            <w:r>
              <w:rPr>
                <w:rFonts w:ascii="Arial Narrow"/>
                <w:spacing w:val="-1"/>
                <w:sz w:val="24"/>
              </w:rPr>
              <w:t>7,576,564.53</w:t>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6,680,592.18</w:t>
            </w:r>
          </w:p>
        </w:tc>
      </w:tr>
      <w:tr>
        <w:trPr>
          <w:trHeight w:val="398"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汇兑损失</w:t>
            </w:r>
          </w:p>
        </w:tc>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4"/>
              <w:jc w:val="right"/>
              <w:rPr>
                <w:rFonts w:ascii="Arial Narrow" w:hAnsi="Arial Narrow" w:cs="Arial Narrow" w:eastAsia="Arial Narrow" w:hint="default"/>
                <w:sz w:val="24"/>
                <w:szCs w:val="24"/>
              </w:rPr>
            </w:pPr>
            <w:r>
              <w:rPr>
                <w:rFonts w:ascii="Arial Narrow"/>
                <w:spacing w:val="-1"/>
                <w:sz w:val="24"/>
              </w:rPr>
              <w:t>5,907.66</w:t>
            </w:r>
            <w:r>
              <w:rPr>
                <w:rFonts w:ascii="Arial Narrow"/>
                <w:sz w:val="24"/>
              </w:rPr>
            </w: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4"/>
                <w:szCs w:val="24"/>
              </w:rPr>
            </w:pPr>
            <w:r>
              <w:rPr>
                <w:rFonts w:ascii="Arial Narrow"/>
                <w:spacing w:val="-1"/>
                <w:sz w:val="24"/>
              </w:rPr>
              <w:t>1,774.97</w:t>
            </w:r>
          </w:p>
        </w:tc>
      </w:tr>
      <w:tr>
        <w:trPr>
          <w:trHeight w:val="399" w:hRule="exact"/>
        </w:trPr>
        <w:tc>
          <w:tcPr>
            <w:tcW w:w="327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370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13"/>
              <w:jc w:val="right"/>
              <w:rPr>
                <w:rFonts w:ascii="Arial Narrow" w:hAnsi="Arial Narrow" w:cs="Arial Narrow" w:eastAsia="Arial Narrow" w:hint="default"/>
                <w:sz w:val="24"/>
                <w:szCs w:val="24"/>
              </w:rPr>
            </w:pPr>
            <w:r>
              <w:rPr>
                <w:rFonts w:ascii="Arial Narrow"/>
                <w:spacing w:val="-1"/>
                <w:sz w:val="24"/>
              </w:rPr>
              <w:t>90,013.14</w:t>
            </w:r>
          </w:p>
        </w:tc>
        <w:tc>
          <w:tcPr>
            <w:tcW w:w="215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spacing w:val="-1"/>
                <w:sz w:val="24"/>
              </w:rPr>
              <w:t>87,456.09</w:t>
            </w:r>
          </w:p>
        </w:tc>
      </w:tr>
      <w:tr>
        <w:trPr>
          <w:trHeight w:val="413" w:hRule="exact"/>
        </w:trPr>
        <w:tc>
          <w:tcPr>
            <w:tcW w:w="3276"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240" w:lineRule="auto" w:before="3"/>
              <w:ind w:left="26"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70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13"/>
              <w:jc w:val="right"/>
              <w:rPr>
                <w:rFonts w:ascii="Arial Narrow" w:hAnsi="Arial Narrow" w:cs="Arial Narrow" w:eastAsia="Arial Narrow" w:hint="default"/>
                <w:sz w:val="24"/>
                <w:szCs w:val="24"/>
              </w:rPr>
            </w:pPr>
            <w:r>
              <w:rPr>
                <w:rFonts w:ascii="Arial Narrow"/>
                <w:b/>
                <w:spacing w:val="-1"/>
                <w:sz w:val="24"/>
              </w:rPr>
              <w:t>-7,121,997.43</w:t>
            </w:r>
            <w:r>
              <w:rPr>
                <w:rFonts w:ascii="Arial Narrow"/>
                <w:spacing w:val="-1"/>
                <w:sz w:val="24"/>
              </w:rPr>
            </w:r>
          </w:p>
        </w:tc>
        <w:tc>
          <w:tcPr>
            <w:tcW w:w="215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6"/>
              <w:jc w:val="right"/>
              <w:rPr>
                <w:rFonts w:ascii="Arial Narrow" w:hAnsi="Arial Narrow" w:cs="Arial Narrow" w:eastAsia="Arial Narrow" w:hint="default"/>
                <w:sz w:val="24"/>
                <w:szCs w:val="24"/>
              </w:rPr>
            </w:pPr>
            <w:r>
              <w:rPr>
                <w:rFonts w:ascii="Arial Narrow"/>
                <w:b/>
                <w:spacing w:val="-1"/>
                <w:sz w:val="24"/>
              </w:rPr>
              <w:t>-6,385,666.28</w:t>
            </w:r>
            <w:r>
              <w:rPr>
                <w:rFonts w:ascii="Arial Narrow"/>
                <w:spacing w:val="-1"/>
                <w:sz w:val="24"/>
              </w:rPr>
            </w:r>
          </w:p>
        </w:tc>
      </w:tr>
    </w:tbl>
    <w:p>
      <w:pPr>
        <w:pStyle w:val="BodyText"/>
        <w:spacing w:line="240" w:lineRule="auto" w:before="79"/>
        <w:ind w:left="102" w:right="0"/>
        <w:jc w:val="left"/>
      </w:pPr>
      <w:r>
        <w:rPr>
          <w:rFonts w:ascii="Arial Narrow" w:hAnsi="Arial Narrow" w:cs="Arial Narrow" w:eastAsia="Arial Narrow" w:hint="default"/>
        </w:rPr>
        <w:t>38</w:t>
      </w:r>
      <w:r>
        <w:rPr/>
        <w:t>、资产减值损失</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3542"/>
        <w:gridCol w:w="3545"/>
        <w:gridCol w:w="1996"/>
      </w:tblGrid>
      <w:tr>
        <w:trPr>
          <w:trHeight w:val="392" w:hRule="exact"/>
        </w:trPr>
        <w:tc>
          <w:tcPr>
            <w:tcW w:w="3542" w:type="dxa"/>
            <w:tcBorders>
              <w:top w:val="single" w:sz="8" w:space="0" w:color="000000"/>
              <w:left w:val="nil" w:sz="6" w:space="0" w:color="auto"/>
              <w:bottom w:val="single" w:sz="4" w:space="0" w:color="000000"/>
              <w:right w:val="nil" w:sz="6" w:space="0" w:color="auto"/>
            </w:tcBorders>
          </w:tcPr>
          <w:p>
            <w:pPr>
              <w:pStyle w:val="TableParagraph"/>
              <w:spacing w:line="308" w:lineRule="exact"/>
              <w:ind w:left="120"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71"/>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3545"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786"/>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996" w:type="dxa"/>
            <w:tcBorders>
              <w:top w:val="single" w:sz="8" w:space="0" w:color="000000"/>
              <w:left w:val="nil" w:sz="6" w:space="0" w:color="auto"/>
              <w:bottom w:val="single" w:sz="4" w:space="0" w:color="000000"/>
              <w:right w:val="nil" w:sz="6" w:space="0" w:color="auto"/>
            </w:tcBorders>
          </w:tcPr>
          <w:p>
            <w:pPr>
              <w:pStyle w:val="TableParagraph"/>
              <w:spacing w:line="308" w:lineRule="exact"/>
              <w:ind w:right="1"/>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99" w:hRule="exact"/>
        </w:trPr>
        <w:tc>
          <w:tcPr>
            <w:tcW w:w="3542" w:type="dxa"/>
            <w:tcBorders>
              <w:top w:val="single" w:sz="4" w:space="0" w:color="000000"/>
              <w:left w:val="nil" w:sz="6" w:space="0" w:color="auto"/>
              <w:bottom w:val="nil" w:sz="6" w:space="0" w:color="auto"/>
              <w:right w:val="nil" w:sz="6" w:space="0" w:color="auto"/>
            </w:tcBorders>
          </w:tcPr>
          <w:p>
            <w:pPr>
              <w:pStyle w:val="TableParagraph"/>
              <w:spacing w:line="329" w:lineRule="exact"/>
              <w:ind w:left="11"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）坏账损失</w:t>
            </w:r>
          </w:p>
        </w:tc>
        <w:tc>
          <w:tcPr>
            <w:tcW w:w="354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85"/>
              <w:jc w:val="right"/>
              <w:rPr>
                <w:rFonts w:ascii="Arial Narrow" w:hAnsi="Arial Narrow" w:cs="Arial Narrow" w:eastAsia="Arial Narrow" w:hint="default"/>
                <w:sz w:val="24"/>
                <w:szCs w:val="24"/>
              </w:rPr>
            </w:pPr>
            <w:r>
              <w:rPr>
                <w:rFonts w:ascii="Arial Narrow"/>
                <w:spacing w:val="-1"/>
                <w:sz w:val="24"/>
              </w:rPr>
              <w:t>10,106,168.76</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spacing w:val="-1"/>
                <w:sz w:val="24"/>
              </w:rPr>
              <w:t>9,182,275.42</w:t>
            </w:r>
          </w:p>
        </w:tc>
      </w:tr>
      <w:tr>
        <w:trPr>
          <w:trHeight w:val="395" w:hRule="exact"/>
        </w:trPr>
        <w:tc>
          <w:tcPr>
            <w:tcW w:w="3542" w:type="dxa"/>
            <w:tcBorders>
              <w:top w:val="nil" w:sz="6" w:space="0" w:color="auto"/>
              <w:left w:val="nil" w:sz="6" w:space="0" w:color="auto"/>
              <w:bottom w:val="single" w:sz="4" w:space="0" w:color="000000"/>
              <w:right w:val="nil" w:sz="6" w:space="0" w:color="auto"/>
            </w:tcBorders>
          </w:tcPr>
          <w:p>
            <w:pPr>
              <w:pStyle w:val="TableParagraph"/>
              <w:spacing w:line="328" w:lineRule="exact"/>
              <w:ind w:left="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）存货跌价损失</w:t>
            </w:r>
          </w:p>
        </w:tc>
        <w:tc>
          <w:tcPr>
            <w:tcW w:w="3545"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785"/>
              <w:jc w:val="right"/>
              <w:rPr>
                <w:rFonts w:ascii="Arial Narrow" w:hAnsi="Arial Narrow" w:cs="Arial Narrow" w:eastAsia="Arial Narrow" w:hint="default"/>
                <w:sz w:val="24"/>
                <w:szCs w:val="24"/>
              </w:rPr>
            </w:pPr>
            <w:r>
              <w:rPr>
                <w:rFonts w:ascii="Arial Narrow"/>
                <w:spacing w:val="-1"/>
                <w:sz w:val="24"/>
              </w:rPr>
              <w:t>421,542.01</w:t>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0"/>
              <w:jc w:val="right"/>
              <w:rPr>
                <w:rFonts w:ascii="Arial Narrow" w:hAnsi="Arial Narrow" w:cs="Arial Narrow" w:eastAsia="Arial Narrow" w:hint="default"/>
                <w:sz w:val="24"/>
                <w:szCs w:val="24"/>
              </w:rPr>
            </w:pPr>
            <w:r>
              <w:rPr>
                <w:rFonts w:ascii="Arial Narrow"/>
                <w:sz w:val="24"/>
              </w:rPr>
              <w:t>-</w:t>
            </w:r>
          </w:p>
        </w:tc>
      </w:tr>
      <w:tr>
        <w:trPr>
          <w:trHeight w:val="403" w:hRule="exact"/>
        </w:trPr>
        <w:tc>
          <w:tcPr>
            <w:tcW w:w="3542" w:type="dxa"/>
            <w:tcBorders>
              <w:top w:val="single" w:sz="4" w:space="0" w:color="000000"/>
              <w:left w:val="nil" w:sz="6" w:space="0" w:color="auto"/>
              <w:bottom w:val="single" w:sz="8" w:space="0" w:color="000000"/>
              <w:right w:val="nil" w:sz="6" w:space="0" w:color="auto"/>
            </w:tcBorders>
          </w:tcPr>
          <w:p>
            <w:pPr>
              <w:pStyle w:val="TableParagraph"/>
              <w:tabs>
                <w:tab w:pos="602" w:val="left" w:leader="none"/>
              </w:tabs>
              <w:spacing w:line="312" w:lineRule="exact"/>
              <w:ind w:left="120"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54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785"/>
              <w:jc w:val="right"/>
              <w:rPr>
                <w:rFonts w:ascii="Arial Narrow" w:hAnsi="Arial Narrow" w:cs="Arial Narrow" w:eastAsia="Arial Narrow" w:hint="default"/>
                <w:sz w:val="24"/>
                <w:szCs w:val="24"/>
              </w:rPr>
            </w:pPr>
            <w:r>
              <w:rPr>
                <w:rFonts w:ascii="Arial Narrow"/>
                <w:b/>
                <w:spacing w:val="-1"/>
                <w:sz w:val="24"/>
              </w:rPr>
              <w:t>10,527,710.77</w:t>
            </w:r>
            <w:r>
              <w:rPr>
                <w:rFonts w:ascii="Arial Narrow"/>
                <w:spacing w:val="-1"/>
                <w:sz w:val="24"/>
              </w:rPr>
            </w:r>
          </w:p>
        </w:tc>
        <w:tc>
          <w:tcPr>
            <w:tcW w:w="199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b/>
                <w:spacing w:val="-1"/>
                <w:sz w:val="24"/>
              </w:rPr>
              <w:t>9,182,275.42</w:t>
            </w:r>
            <w:r>
              <w:rPr>
                <w:rFonts w:ascii="Arial Narrow"/>
                <w:spacing w:val="-1"/>
                <w:sz w:val="24"/>
              </w:rPr>
            </w:r>
          </w:p>
        </w:tc>
      </w:tr>
    </w:tbl>
    <w:p>
      <w:pPr>
        <w:spacing w:after="0" w:line="240" w:lineRule="auto"/>
        <w:jc w:val="right"/>
        <w:rPr>
          <w:rFonts w:ascii="Arial Narrow" w:hAnsi="Arial Narrow" w:cs="Arial Narrow" w:eastAsia="Arial Narrow" w:hint="default"/>
          <w:sz w:val="24"/>
          <w:szCs w:val="24"/>
        </w:rPr>
        <w:sectPr>
          <w:pgSz w:w="11900" w:h="16850"/>
          <w:pgMar w:header="0" w:footer="919" w:top="1640" w:bottom="1100" w:left="1180" w:right="88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7.95pt;height:.75pt;mso-position-horizontal-relative:char;mso-position-vertical-relative:line" coordorigin="0,0" coordsize="9559,15">
            <v:group style="position:absolute;left:7;top:7;width:9545;height:2" coordorigin="7,7" coordsize="9545,2">
              <v:shape style="position:absolute;left:7;top:7;width:9545;height:2" coordorigin="7,7" coordsize="9545,0" path="m7,7l955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43"/>
        <w:ind w:left="142" w:right="4177"/>
        <w:jc w:val="left"/>
      </w:pPr>
      <w:r>
        <w:rPr>
          <w:rFonts w:ascii="Arial Narrow" w:hAnsi="Arial Narrow" w:cs="Arial Narrow" w:eastAsia="Arial Narrow" w:hint="default"/>
        </w:rPr>
        <w:t>39</w:t>
      </w:r>
      <w:r>
        <w:rPr/>
        <w:t>、投资收益</w:t>
      </w:r>
    </w:p>
    <w:p>
      <w:pPr>
        <w:pStyle w:val="BodyText"/>
        <w:spacing w:line="240" w:lineRule="auto" w:before="197"/>
        <w:ind w:left="502" w:right="4177"/>
        <w:jc w:val="left"/>
      </w:pPr>
      <w:r>
        <w:rPr/>
        <w:t>（</w:t>
      </w:r>
      <w:r>
        <w:rPr>
          <w:rFonts w:ascii="Arial Narrow" w:hAnsi="Arial Narrow" w:cs="Arial Narrow" w:eastAsia="Arial Narrow" w:hint="default"/>
        </w:rPr>
        <w:t>1</w:t>
      </w:r>
      <w:r>
        <w:rPr/>
        <w:t>）投资收益明细情况</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5322"/>
        <w:gridCol w:w="2032"/>
        <w:gridCol w:w="1712"/>
      </w:tblGrid>
      <w:tr>
        <w:trPr>
          <w:trHeight w:val="410" w:hRule="exact"/>
        </w:trPr>
        <w:tc>
          <w:tcPr>
            <w:tcW w:w="5322" w:type="dxa"/>
            <w:tcBorders>
              <w:top w:val="single" w:sz="8" w:space="0" w:color="000000"/>
              <w:left w:val="nil" w:sz="6" w:space="0" w:color="auto"/>
              <w:bottom w:val="single" w:sz="4" w:space="0" w:color="000000"/>
              <w:right w:val="nil" w:sz="6" w:space="0" w:color="auto"/>
            </w:tcBorders>
          </w:tcPr>
          <w:p>
            <w:pPr>
              <w:pStyle w:val="TableParagraph"/>
              <w:tabs>
                <w:tab w:pos="571" w:val="left" w:leader="none"/>
              </w:tabs>
              <w:spacing w:line="240" w:lineRule="auto" w:before="3"/>
              <w:ind w:left="8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032"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416"/>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712"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377"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376" w:hRule="exact"/>
        </w:trPr>
        <w:tc>
          <w:tcPr>
            <w:tcW w:w="5322" w:type="dxa"/>
            <w:tcBorders>
              <w:top w:val="single" w:sz="4" w:space="0" w:color="000000"/>
              <w:left w:val="nil" w:sz="6" w:space="0" w:color="auto"/>
              <w:bottom w:val="nil" w:sz="6" w:space="0" w:color="auto"/>
              <w:right w:val="nil" w:sz="6" w:space="0" w:color="auto"/>
            </w:tcBorders>
          </w:tcPr>
          <w:p>
            <w:pPr>
              <w:pStyle w:val="TableParagraph"/>
              <w:spacing w:line="312" w:lineRule="exact"/>
              <w:ind w:left="88"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03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76"/>
              <w:jc w:val="right"/>
              <w:rPr>
                <w:rFonts w:ascii="Arial Narrow" w:hAnsi="Arial Narrow" w:cs="Arial Narrow" w:eastAsia="Arial Narrow" w:hint="default"/>
                <w:sz w:val="24"/>
                <w:szCs w:val="24"/>
              </w:rPr>
            </w:pPr>
            <w:r>
              <w:rPr>
                <w:rFonts w:ascii="Arial Narrow"/>
                <w:spacing w:val="-1"/>
                <w:sz w:val="24"/>
              </w:rPr>
              <w:t>1,382,565.19</w:t>
            </w:r>
          </w:p>
        </w:tc>
        <w:tc>
          <w:tcPr>
            <w:tcW w:w="171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2,079,789.43</w:t>
            </w:r>
          </w:p>
        </w:tc>
      </w:tr>
      <w:tr>
        <w:trPr>
          <w:trHeight w:val="642" w:hRule="exact"/>
        </w:trPr>
        <w:tc>
          <w:tcPr>
            <w:tcW w:w="5322" w:type="dxa"/>
            <w:tcBorders>
              <w:top w:val="nil" w:sz="6" w:space="0" w:color="auto"/>
              <w:left w:val="nil" w:sz="6" w:space="0" w:color="auto"/>
              <w:bottom w:val="nil" w:sz="6" w:space="0" w:color="auto"/>
              <w:right w:val="nil" w:sz="6" w:space="0" w:color="auto"/>
            </w:tcBorders>
          </w:tcPr>
          <w:p>
            <w:pPr>
              <w:pStyle w:val="TableParagraph"/>
              <w:spacing w:line="310" w:lineRule="exact" w:before="9"/>
              <w:ind w:left="26" w:right="405" w:firstLine="62"/>
              <w:jc w:val="left"/>
              <w:rPr>
                <w:rFonts w:ascii="宋体" w:hAnsi="宋体" w:cs="宋体" w:eastAsia="宋体" w:hint="default"/>
                <w:sz w:val="24"/>
                <w:szCs w:val="24"/>
              </w:rPr>
            </w:pPr>
            <w:r>
              <w:rPr>
                <w:rFonts w:ascii="宋体" w:hAnsi="宋体" w:cs="宋体" w:eastAsia="宋体" w:hint="default"/>
                <w:sz w:val="24"/>
                <w:szCs w:val="24"/>
              </w:rPr>
              <w:t>通过多次交易分步实现非同一控制下企业合并 产生的投资收益</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375"/>
              <w:jc w:val="right"/>
              <w:rPr>
                <w:rFonts w:ascii="Arial Narrow" w:hAnsi="Arial Narrow" w:cs="Arial Narrow" w:eastAsia="Arial Narrow" w:hint="default"/>
                <w:sz w:val="24"/>
                <w:szCs w:val="24"/>
              </w:rPr>
            </w:pPr>
            <w:r>
              <w:rPr>
                <w:rFonts w:ascii="Arial Narrow"/>
                <w:sz w:val="24"/>
              </w:rPr>
              <w:t>-</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6"/>
              <w:jc w:val="right"/>
              <w:rPr>
                <w:rFonts w:ascii="Arial Narrow" w:hAnsi="Arial Narrow" w:cs="Arial Narrow" w:eastAsia="Arial Narrow" w:hint="default"/>
                <w:sz w:val="24"/>
                <w:szCs w:val="24"/>
              </w:rPr>
            </w:pPr>
            <w:r>
              <w:rPr>
                <w:rFonts w:ascii="Arial Narrow"/>
                <w:spacing w:val="-1"/>
                <w:sz w:val="24"/>
              </w:rPr>
              <w:t>35,543.03</w:t>
            </w:r>
          </w:p>
        </w:tc>
      </w:tr>
      <w:tr>
        <w:trPr>
          <w:trHeight w:val="365" w:hRule="exact"/>
        </w:trPr>
        <w:tc>
          <w:tcPr>
            <w:tcW w:w="5322" w:type="dxa"/>
            <w:tcBorders>
              <w:top w:val="nil" w:sz="6" w:space="0" w:color="auto"/>
              <w:left w:val="nil" w:sz="6" w:space="0" w:color="auto"/>
              <w:bottom w:val="single" w:sz="4" w:space="0" w:color="000000"/>
              <w:right w:val="nil" w:sz="6" w:space="0" w:color="auto"/>
            </w:tcBorders>
          </w:tcPr>
          <w:p>
            <w:pPr>
              <w:pStyle w:val="TableParagraph"/>
              <w:spacing w:line="281" w:lineRule="exact"/>
              <w:ind w:left="8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376"/>
              <w:jc w:val="right"/>
              <w:rPr>
                <w:rFonts w:ascii="Arial Narrow" w:hAnsi="Arial Narrow" w:cs="Arial Narrow" w:eastAsia="Arial Narrow" w:hint="default"/>
                <w:sz w:val="24"/>
                <w:szCs w:val="24"/>
              </w:rPr>
            </w:pPr>
            <w:r>
              <w:rPr>
                <w:rFonts w:ascii="Arial Narrow"/>
                <w:spacing w:val="-1"/>
                <w:sz w:val="24"/>
              </w:rPr>
              <w:t>324.93</w:t>
            </w: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27"/>
              <w:jc w:val="right"/>
              <w:rPr>
                <w:rFonts w:ascii="Arial Narrow" w:hAnsi="Arial Narrow" w:cs="Arial Narrow" w:eastAsia="Arial Narrow" w:hint="default"/>
                <w:sz w:val="24"/>
                <w:szCs w:val="24"/>
              </w:rPr>
            </w:pPr>
            <w:r>
              <w:rPr>
                <w:rFonts w:ascii="Arial Narrow"/>
                <w:spacing w:val="-1"/>
                <w:sz w:val="24"/>
              </w:rPr>
              <w:t>3,398,579.68</w:t>
            </w:r>
          </w:p>
        </w:tc>
      </w:tr>
      <w:tr>
        <w:trPr>
          <w:trHeight w:val="403" w:hRule="exact"/>
        </w:trPr>
        <w:tc>
          <w:tcPr>
            <w:tcW w:w="5322" w:type="dxa"/>
            <w:tcBorders>
              <w:top w:val="single" w:sz="4" w:space="0" w:color="000000"/>
              <w:left w:val="nil" w:sz="6" w:space="0" w:color="auto"/>
              <w:bottom w:val="single" w:sz="8" w:space="0" w:color="000000"/>
              <w:right w:val="nil" w:sz="6" w:space="0" w:color="auto"/>
            </w:tcBorders>
          </w:tcPr>
          <w:p>
            <w:pPr>
              <w:pStyle w:val="TableParagraph"/>
              <w:tabs>
                <w:tab w:pos="571" w:val="left" w:leader="none"/>
              </w:tabs>
              <w:spacing w:line="312" w:lineRule="exact"/>
              <w:ind w:left="8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03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76"/>
              <w:jc w:val="right"/>
              <w:rPr>
                <w:rFonts w:ascii="Arial Narrow" w:hAnsi="Arial Narrow" w:cs="Arial Narrow" w:eastAsia="Arial Narrow" w:hint="default"/>
                <w:sz w:val="24"/>
                <w:szCs w:val="24"/>
              </w:rPr>
            </w:pPr>
            <w:r>
              <w:rPr>
                <w:rFonts w:ascii="Arial Narrow"/>
                <w:b/>
                <w:spacing w:val="-1"/>
                <w:sz w:val="24"/>
              </w:rPr>
              <w:t>1,382,890.12</w:t>
            </w:r>
            <w:r>
              <w:rPr>
                <w:rFonts w:ascii="Arial Narrow"/>
                <w:spacing w:val="-1"/>
                <w:sz w:val="24"/>
              </w:rPr>
            </w:r>
          </w:p>
        </w:tc>
        <w:tc>
          <w:tcPr>
            <w:tcW w:w="171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b/>
                <w:spacing w:val="-1"/>
                <w:sz w:val="24"/>
              </w:rPr>
              <w:t>5,513,912.14</w:t>
            </w:r>
            <w:r>
              <w:rPr>
                <w:rFonts w:ascii="Arial Narrow"/>
                <w:spacing w:val="-1"/>
                <w:sz w:val="24"/>
              </w:rPr>
            </w:r>
          </w:p>
        </w:tc>
      </w:tr>
    </w:tbl>
    <w:p>
      <w:pPr>
        <w:pStyle w:val="BodyText"/>
        <w:spacing w:line="240" w:lineRule="auto" w:before="79"/>
        <w:ind w:left="502" w:right="4177"/>
        <w:jc w:val="left"/>
      </w:pPr>
      <w:r>
        <w:rPr/>
        <w:t>（</w:t>
      </w:r>
      <w:r>
        <w:rPr>
          <w:rFonts w:ascii="Arial Narrow" w:hAnsi="Arial Narrow" w:cs="Arial Narrow" w:eastAsia="Arial Narrow" w:hint="default"/>
        </w:rPr>
        <w:t>2</w:t>
      </w:r>
      <w:r>
        <w:rPr/>
        <w:t>）按权益法核算的长期股权投资收益</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2523"/>
        <w:gridCol w:w="1597"/>
        <w:gridCol w:w="1458"/>
        <w:gridCol w:w="3572"/>
      </w:tblGrid>
      <w:tr>
        <w:trPr>
          <w:trHeight w:val="391" w:hRule="exact"/>
        </w:trPr>
        <w:tc>
          <w:tcPr>
            <w:tcW w:w="2523"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59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297"/>
              <w:jc w:val="righ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45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3"/>
              <w:jc w:val="righ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357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b/>
                <w:bCs/>
                <w:sz w:val="21"/>
                <w:szCs w:val="21"/>
              </w:rPr>
              <w:t>本期比上期增减变动的原因</w:t>
            </w:r>
            <w:r>
              <w:rPr>
                <w:rFonts w:ascii="宋体" w:hAnsi="宋体" w:cs="宋体" w:eastAsia="宋体" w:hint="default"/>
                <w:sz w:val="21"/>
                <w:szCs w:val="21"/>
              </w:rPr>
            </w:r>
          </w:p>
        </w:tc>
      </w:tr>
      <w:tr>
        <w:trPr>
          <w:trHeight w:val="639" w:hRule="exact"/>
        </w:trPr>
        <w:tc>
          <w:tcPr>
            <w:tcW w:w="2523" w:type="dxa"/>
            <w:tcBorders>
              <w:top w:val="single" w:sz="4" w:space="0" w:color="000000"/>
              <w:left w:val="nil" w:sz="6" w:space="0" w:color="auto"/>
              <w:bottom w:val="nil" w:sz="6" w:space="0" w:color="auto"/>
              <w:right w:val="nil" w:sz="6" w:space="0" w:color="auto"/>
            </w:tcBorders>
          </w:tcPr>
          <w:p>
            <w:pPr>
              <w:pStyle w:val="TableParagraph"/>
              <w:spacing w:line="272" w:lineRule="exact" w:before="46"/>
              <w:ind w:left="122" w:right="346"/>
              <w:jc w:val="left"/>
              <w:rPr>
                <w:rFonts w:ascii="宋体" w:hAnsi="宋体" w:cs="宋体" w:eastAsia="宋体" w:hint="default"/>
                <w:sz w:val="21"/>
                <w:szCs w:val="21"/>
              </w:rPr>
            </w:pPr>
            <w:r>
              <w:rPr>
                <w:rFonts w:ascii="宋体" w:hAnsi="宋体" w:cs="宋体" w:eastAsia="宋体" w:hint="default"/>
                <w:spacing w:val="15"/>
                <w:sz w:val="21"/>
                <w:szCs w:val="21"/>
              </w:rPr>
              <w:t>浙江中科数城软件有</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限公司</w:t>
            </w:r>
          </w:p>
        </w:tc>
        <w:tc>
          <w:tcPr>
            <w:tcW w:w="159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95"/>
              <w:jc w:val="right"/>
              <w:rPr>
                <w:rFonts w:ascii="Arial Narrow" w:hAnsi="Arial Narrow" w:cs="Arial Narrow" w:eastAsia="Arial Narrow" w:hint="default"/>
                <w:sz w:val="21"/>
                <w:szCs w:val="21"/>
              </w:rPr>
            </w:pPr>
            <w:r>
              <w:rPr>
                <w:rFonts w:ascii="Arial Narrow"/>
                <w:spacing w:val="-1"/>
                <w:sz w:val="21"/>
              </w:rPr>
              <w:t>-327,418.55</w:t>
            </w:r>
            <w:r>
              <w:rPr>
                <w:rFonts w:ascii="Arial Narrow"/>
                <w:sz w:val="21"/>
              </w:rPr>
            </w:r>
          </w:p>
        </w:tc>
        <w:tc>
          <w:tcPr>
            <w:tcW w:w="145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-143,499.29</w:t>
            </w:r>
            <w:r>
              <w:rPr>
                <w:rFonts w:ascii="Arial Narrow"/>
                <w:sz w:val="21"/>
              </w:rPr>
            </w:r>
          </w:p>
        </w:tc>
        <w:tc>
          <w:tcPr>
            <w:tcW w:w="3572" w:type="dxa"/>
            <w:tcBorders>
              <w:top w:val="single" w:sz="4" w:space="0" w:color="000000"/>
              <w:left w:val="nil" w:sz="6" w:space="0" w:color="auto"/>
              <w:bottom w:val="nil" w:sz="6" w:space="0" w:color="auto"/>
              <w:right w:val="nil" w:sz="6" w:space="0" w:color="auto"/>
            </w:tcBorders>
          </w:tcPr>
          <w:p>
            <w:pPr>
              <w:pStyle w:val="TableParagraph"/>
              <w:spacing w:line="240" w:lineRule="auto" w:before="155"/>
              <w:ind w:left="105"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624" w:hRule="exact"/>
        </w:trPr>
        <w:tc>
          <w:tcPr>
            <w:tcW w:w="2523" w:type="dxa"/>
            <w:tcBorders>
              <w:top w:val="nil" w:sz="6" w:space="0" w:color="auto"/>
              <w:left w:val="nil" w:sz="6" w:space="0" w:color="auto"/>
              <w:bottom w:val="nil" w:sz="6" w:space="0" w:color="auto"/>
              <w:right w:val="nil" w:sz="6" w:space="0" w:color="auto"/>
            </w:tcBorders>
          </w:tcPr>
          <w:p>
            <w:pPr>
              <w:pStyle w:val="TableParagraph"/>
              <w:spacing w:line="272" w:lineRule="exact" w:before="33"/>
              <w:ind w:left="122" w:right="240"/>
              <w:jc w:val="left"/>
              <w:rPr>
                <w:rFonts w:ascii="宋体" w:hAnsi="宋体" w:cs="宋体" w:eastAsia="宋体" w:hint="default"/>
                <w:sz w:val="21"/>
                <w:szCs w:val="21"/>
              </w:rPr>
            </w:pPr>
            <w:r>
              <w:rPr>
                <w:rFonts w:ascii="宋体" w:hAnsi="宋体" w:cs="宋体" w:eastAsia="宋体" w:hint="default"/>
                <w:spacing w:val="3"/>
                <w:sz w:val="21"/>
                <w:szCs w:val="21"/>
              </w:rPr>
              <w:t>北京国遥新天地信息技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术有限公司</w:t>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94"/>
              <w:jc w:val="right"/>
              <w:rPr>
                <w:rFonts w:ascii="Arial Narrow" w:hAnsi="Arial Narrow" w:cs="Arial Narrow" w:eastAsia="Arial Narrow" w:hint="default"/>
                <w:sz w:val="21"/>
                <w:szCs w:val="21"/>
              </w:rPr>
            </w:pPr>
            <w:r>
              <w:rPr>
                <w:rFonts w:ascii="Arial Narrow"/>
                <w:spacing w:val="-2"/>
                <w:sz w:val="21"/>
              </w:rPr>
              <w:t>1,709,983.74</w:t>
            </w:r>
            <w:r>
              <w:rPr>
                <w:rFonts w:ascii="Arial Narrow"/>
                <w:sz w:val="21"/>
              </w:rPr>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2,210,803.45</w:t>
            </w:r>
            <w:r>
              <w:rPr>
                <w:rFonts w:ascii="Arial Narrow"/>
                <w:sz w:val="21"/>
              </w:rPr>
            </w:r>
          </w:p>
        </w:tc>
        <w:tc>
          <w:tcPr>
            <w:tcW w:w="357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5"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1195" w:hRule="exact"/>
        </w:trPr>
        <w:tc>
          <w:tcPr>
            <w:tcW w:w="252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122"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59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97"/>
              <w:jc w:val="right"/>
              <w:rPr>
                <w:rFonts w:ascii="Arial Narrow" w:hAnsi="Arial Narrow" w:cs="Arial Narrow" w:eastAsia="Arial Narrow" w:hint="default"/>
                <w:sz w:val="21"/>
                <w:szCs w:val="21"/>
              </w:rPr>
            </w:pPr>
            <w:r>
              <w:rPr>
                <w:rFonts w:ascii="Arial Narrow"/>
                <w:w w:val="100"/>
                <w:sz w:val="21"/>
              </w:rPr>
              <w:t>-</w:t>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12,485.27</w:t>
            </w:r>
            <w:r>
              <w:rPr>
                <w:rFonts w:ascii="Arial Narrow"/>
                <w:sz w:val="21"/>
              </w:rPr>
            </w:r>
          </w:p>
        </w:tc>
        <w:tc>
          <w:tcPr>
            <w:tcW w:w="3572" w:type="dxa"/>
            <w:tcBorders>
              <w:top w:val="nil" w:sz="6" w:space="0" w:color="auto"/>
              <w:left w:val="nil" w:sz="6" w:space="0" w:color="auto"/>
              <w:bottom w:val="single" w:sz="4" w:space="0" w:color="000000"/>
              <w:right w:val="nil" w:sz="6" w:space="0" w:color="auto"/>
            </w:tcBorders>
          </w:tcPr>
          <w:p>
            <w:pPr>
              <w:pStyle w:val="TableParagraph"/>
              <w:spacing w:line="235" w:lineRule="auto" w:before="13"/>
              <w:ind w:left="105" w:right="104"/>
              <w:jc w:val="both"/>
              <w:rPr>
                <w:rFonts w:ascii="宋体" w:hAnsi="宋体" w:cs="宋体" w:eastAsia="宋体" w:hint="default"/>
                <w:sz w:val="21"/>
                <w:szCs w:val="21"/>
              </w:rPr>
            </w:pPr>
            <w:r>
              <w:rPr>
                <w:rFonts w:ascii="宋体" w:hAnsi="宋体" w:cs="宋体" w:eastAsia="宋体" w:hint="default"/>
                <w:spacing w:val="11"/>
                <w:sz w:val="21"/>
                <w:szCs w:val="21"/>
              </w:rPr>
              <w:t>上期本公司取得了日本超图株式会</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1"/>
                <w:szCs w:val="21"/>
              </w:rPr>
              <w:t>社</w:t>
            </w:r>
            <w:r>
              <w:rPr>
                <w:rFonts w:ascii="Arial Narrow" w:hAnsi="Arial Narrow" w:cs="Arial Narrow" w:eastAsia="Arial Narrow" w:hint="default"/>
                <w:spacing w:val="-5"/>
                <w:sz w:val="21"/>
                <w:szCs w:val="21"/>
              </w:rPr>
              <w:t>36.6%</w:t>
            </w:r>
            <w:r>
              <w:rPr>
                <w:rFonts w:ascii="宋体" w:hAnsi="宋体" w:cs="宋体" w:eastAsia="宋体" w:hint="default"/>
                <w:spacing w:val="-5"/>
                <w:sz w:val="21"/>
                <w:szCs w:val="21"/>
              </w:rPr>
              <w:t>股权，与本公司之子公司超图</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1"/>
                <w:sz w:val="21"/>
                <w:szCs w:val="21"/>
              </w:rPr>
              <w:t>国际有限公司原持有的股份合计持</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股</w:t>
            </w:r>
            <w:r>
              <w:rPr>
                <w:rFonts w:ascii="Arial Narrow" w:hAnsi="Arial Narrow" w:cs="Arial Narrow" w:eastAsia="Arial Narrow" w:hint="default"/>
                <w:sz w:val="21"/>
                <w:szCs w:val="21"/>
              </w:rPr>
              <w:t>51.69%</w:t>
            </w:r>
            <w:r>
              <w:rPr>
                <w:rFonts w:ascii="宋体" w:hAnsi="宋体" w:cs="宋体" w:eastAsia="宋体" w:hint="default"/>
                <w:sz w:val="21"/>
                <w:szCs w:val="21"/>
              </w:rPr>
              <w:t>，改按成本法核算。</w:t>
            </w:r>
          </w:p>
        </w:tc>
      </w:tr>
      <w:tr>
        <w:trPr>
          <w:trHeight w:val="403" w:hRule="exact"/>
        </w:trPr>
        <w:tc>
          <w:tcPr>
            <w:tcW w:w="2523"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240" w:lineRule="auto" w:before="23"/>
              <w:ind w:left="12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597"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295"/>
              <w:jc w:val="right"/>
              <w:rPr>
                <w:rFonts w:ascii="Arial Narrow" w:hAnsi="Arial Narrow" w:cs="Arial Narrow" w:eastAsia="Arial Narrow" w:hint="default"/>
                <w:sz w:val="21"/>
                <w:szCs w:val="21"/>
              </w:rPr>
            </w:pPr>
            <w:r>
              <w:rPr>
                <w:rFonts w:ascii="Arial Narrow"/>
                <w:b/>
                <w:spacing w:val="-1"/>
                <w:sz w:val="21"/>
              </w:rPr>
              <w:t>1,382,565.19</w:t>
            </w:r>
            <w:r>
              <w:rPr>
                <w:rFonts w:ascii="Arial Narrow"/>
                <w:sz w:val="21"/>
              </w:rPr>
            </w:r>
          </w:p>
        </w:tc>
        <w:tc>
          <w:tcPr>
            <w:tcW w:w="1458"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04"/>
              <w:jc w:val="right"/>
              <w:rPr>
                <w:rFonts w:ascii="Arial Narrow" w:hAnsi="Arial Narrow" w:cs="Arial Narrow" w:eastAsia="Arial Narrow" w:hint="default"/>
                <w:sz w:val="21"/>
                <w:szCs w:val="21"/>
              </w:rPr>
            </w:pPr>
            <w:r>
              <w:rPr>
                <w:rFonts w:ascii="Arial Narrow"/>
                <w:b/>
                <w:spacing w:val="-1"/>
                <w:sz w:val="21"/>
              </w:rPr>
              <w:t>2,079,789.43</w:t>
            </w:r>
            <w:r>
              <w:rPr>
                <w:rFonts w:ascii="Arial Narrow"/>
                <w:sz w:val="21"/>
              </w:rPr>
            </w:r>
          </w:p>
        </w:tc>
        <w:tc>
          <w:tcPr>
            <w:tcW w:w="3572"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left="142" w:right="4177"/>
        <w:jc w:val="left"/>
      </w:pPr>
      <w:r>
        <w:rPr>
          <w:rFonts w:ascii="Arial Narrow" w:hAnsi="Arial Narrow" w:cs="Arial Narrow" w:eastAsia="Arial Narrow" w:hint="default"/>
        </w:rPr>
        <w:t>40</w:t>
      </w:r>
      <w:r>
        <w:rPr/>
        <w:t>、营业外收入</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329"/>
        <w:gridCol w:w="2101"/>
        <w:gridCol w:w="1676"/>
        <w:gridCol w:w="1969"/>
      </w:tblGrid>
      <w:tr>
        <w:trPr>
          <w:trHeight w:val="833" w:hRule="exact"/>
        </w:trPr>
        <w:tc>
          <w:tcPr>
            <w:tcW w:w="3329"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left="117"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61"/>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2101"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376"/>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676"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right="39"/>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c>
          <w:tcPr>
            <w:tcW w:w="1969" w:type="dxa"/>
            <w:tcBorders>
              <w:top w:val="single" w:sz="8" w:space="0" w:color="000000"/>
              <w:left w:val="nil" w:sz="6" w:space="0" w:color="auto"/>
              <w:bottom w:val="single" w:sz="4" w:space="0" w:color="000000"/>
              <w:right w:val="nil" w:sz="6" w:space="0" w:color="auto"/>
            </w:tcBorders>
          </w:tcPr>
          <w:p>
            <w:pPr>
              <w:pStyle w:val="TableParagraph"/>
              <w:spacing w:line="313" w:lineRule="exact" w:before="58"/>
              <w:ind w:left="40" w:right="0"/>
              <w:jc w:val="left"/>
              <w:rPr>
                <w:rFonts w:ascii="宋体" w:hAnsi="宋体" w:cs="宋体" w:eastAsia="宋体" w:hint="default"/>
                <w:sz w:val="24"/>
                <w:szCs w:val="24"/>
              </w:rPr>
            </w:pPr>
            <w:r>
              <w:rPr>
                <w:rFonts w:ascii="宋体" w:hAnsi="宋体" w:cs="宋体" w:eastAsia="宋体" w:hint="default"/>
                <w:b/>
                <w:bCs/>
                <w:sz w:val="24"/>
                <w:szCs w:val="24"/>
              </w:rPr>
              <w:t>计入当期非经常性</w:t>
            </w:r>
            <w:r>
              <w:rPr>
                <w:rFonts w:ascii="宋体" w:hAnsi="宋体" w:cs="宋体" w:eastAsia="宋体" w:hint="default"/>
                <w:sz w:val="24"/>
                <w:szCs w:val="24"/>
              </w:rPr>
            </w:r>
          </w:p>
          <w:p>
            <w:pPr>
              <w:pStyle w:val="TableParagraph"/>
              <w:spacing w:line="313" w:lineRule="exact"/>
              <w:ind w:left="763" w:right="0"/>
              <w:jc w:val="left"/>
              <w:rPr>
                <w:rFonts w:ascii="宋体" w:hAnsi="宋体" w:cs="宋体" w:eastAsia="宋体" w:hint="default"/>
                <w:sz w:val="24"/>
                <w:szCs w:val="24"/>
              </w:rPr>
            </w:pPr>
            <w:r>
              <w:rPr>
                <w:rFonts w:ascii="宋体" w:hAnsi="宋体" w:cs="宋体" w:eastAsia="宋体" w:hint="default"/>
                <w:b/>
                <w:bCs/>
                <w:sz w:val="24"/>
                <w:szCs w:val="24"/>
              </w:rPr>
              <w:t>损益的金额</w:t>
            </w:r>
            <w:r>
              <w:rPr>
                <w:rFonts w:ascii="宋体" w:hAnsi="宋体" w:cs="宋体" w:eastAsia="宋体" w:hint="default"/>
                <w:sz w:val="24"/>
                <w:szCs w:val="24"/>
              </w:rPr>
            </w:r>
          </w:p>
        </w:tc>
      </w:tr>
      <w:tr>
        <w:trPr>
          <w:trHeight w:val="371" w:hRule="exact"/>
        </w:trPr>
        <w:tc>
          <w:tcPr>
            <w:tcW w:w="3329" w:type="dxa"/>
            <w:tcBorders>
              <w:top w:val="single" w:sz="4" w:space="0" w:color="000000"/>
              <w:left w:val="nil" w:sz="6" w:space="0" w:color="auto"/>
              <w:bottom w:val="nil" w:sz="6" w:space="0" w:color="auto"/>
              <w:right w:val="nil" w:sz="6" w:space="0" w:color="auto"/>
            </w:tcBorders>
          </w:tcPr>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非流动资产处置利得合计</w:t>
            </w:r>
          </w:p>
        </w:tc>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72"/>
              <w:jc w:val="right"/>
              <w:rPr>
                <w:rFonts w:ascii="Arial Narrow" w:hAnsi="Arial Narrow" w:cs="Arial Narrow" w:eastAsia="Arial Narrow" w:hint="default"/>
                <w:sz w:val="24"/>
                <w:szCs w:val="24"/>
              </w:rPr>
            </w:pPr>
            <w:r>
              <w:rPr>
                <w:rFonts w:ascii="Arial Narrow"/>
                <w:sz w:val="24"/>
              </w:rPr>
              <w:t>-</w:t>
            </w: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9"/>
              <w:jc w:val="right"/>
              <w:rPr>
                <w:rFonts w:ascii="Arial Narrow" w:hAnsi="Arial Narrow" w:cs="Arial Narrow" w:eastAsia="Arial Narrow" w:hint="default"/>
                <w:sz w:val="24"/>
                <w:szCs w:val="24"/>
              </w:rPr>
            </w:pPr>
            <w:r>
              <w:rPr>
                <w:rFonts w:ascii="Arial Narrow"/>
                <w:spacing w:val="-1"/>
                <w:sz w:val="24"/>
              </w:rPr>
              <w:t>63,328.58</w:t>
            </w:r>
          </w:p>
        </w:tc>
        <w:tc>
          <w:tcPr>
            <w:tcW w:w="19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z w:val="24"/>
              </w:rPr>
              <w:t>-</w:t>
            </w:r>
          </w:p>
        </w:tc>
      </w:tr>
      <w:tr>
        <w:trPr>
          <w:trHeight w:val="421" w:hRule="exact"/>
        </w:trPr>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23" w:right="0"/>
              <w:jc w:val="left"/>
              <w:rPr>
                <w:rFonts w:ascii="宋体" w:hAnsi="宋体" w:cs="宋体" w:eastAsia="宋体" w:hint="default"/>
                <w:sz w:val="24"/>
                <w:szCs w:val="24"/>
              </w:rPr>
            </w:pPr>
            <w:r>
              <w:rPr>
                <w:rFonts w:ascii="宋体" w:hAnsi="宋体" w:cs="宋体" w:eastAsia="宋体" w:hint="default"/>
                <w:sz w:val="24"/>
                <w:szCs w:val="24"/>
              </w:rPr>
              <w:t>其中：固定资产处置利得</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2"/>
              <w:jc w:val="right"/>
              <w:rPr>
                <w:rFonts w:ascii="Arial Narrow" w:hAnsi="Arial Narrow" w:cs="Arial Narrow" w:eastAsia="Arial Narrow" w:hint="default"/>
                <w:sz w:val="24"/>
                <w:szCs w:val="24"/>
              </w:rPr>
            </w:pPr>
            <w:r>
              <w:rPr>
                <w:rFonts w:ascii="Arial Narrow"/>
                <w:sz w:val="24"/>
              </w:rPr>
              <w:t>-</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
              <w:jc w:val="right"/>
              <w:rPr>
                <w:rFonts w:ascii="Arial Narrow" w:hAnsi="Arial Narrow" w:cs="Arial Narrow" w:eastAsia="Arial Narrow" w:hint="default"/>
                <w:sz w:val="24"/>
                <w:szCs w:val="24"/>
              </w:rPr>
            </w:pPr>
            <w:r>
              <w:rPr>
                <w:rFonts w:ascii="Arial Narrow"/>
                <w:spacing w:val="-1"/>
                <w:sz w:val="24"/>
              </w:rPr>
              <w:t>63,328.58</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right"/>
              <w:rPr>
                <w:rFonts w:ascii="Arial Narrow" w:hAnsi="Arial Narrow" w:cs="Arial Narrow" w:eastAsia="Arial Narrow" w:hint="default"/>
                <w:sz w:val="24"/>
                <w:szCs w:val="24"/>
              </w:rPr>
            </w:pPr>
            <w:r>
              <w:rPr>
                <w:rFonts w:ascii="Arial Narrow"/>
                <w:sz w:val="24"/>
              </w:rPr>
              <w:t>-</w:t>
            </w:r>
          </w:p>
        </w:tc>
      </w:tr>
      <w:tr>
        <w:trPr>
          <w:trHeight w:val="428" w:hRule="exact"/>
        </w:trPr>
        <w:tc>
          <w:tcPr>
            <w:tcW w:w="33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73"/>
              <w:jc w:val="right"/>
              <w:rPr>
                <w:rFonts w:ascii="Arial Narrow" w:hAnsi="Arial Narrow" w:cs="Arial Narrow" w:eastAsia="Arial Narrow" w:hint="default"/>
                <w:sz w:val="24"/>
                <w:szCs w:val="24"/>
              </w:rPr>
            </w:pPr>
            <w:r>
              <w:rPr>
                <w:rFonts w:ascii="Arial Narrow"/>
                <w:spacing w:val="-1"/>
                <w:sz w:val="24"/>
              </w:rPr>
              <w:t>13,615,056.18</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9"/>
              <w:jc w:val="right"/>
              <w:rPr>
                <w:rFonts w:ascii="Arial Narrow" w:hAnsi="Arial Narrow" w:cs="Arial Narrow" w:eastAsia="Arial Narrow" w:hint="default"/>
                <w:sz w:val="24"/>
                <w:szCs w:val="24"/>
              </w:rPr>
            </w:pPr>
            <w:r>
              <w:rPr>
                <w:rFonts w:ascii="Arial Narrow"/>
                <w:spacing w:val="-1"/>
                <w:sz w:val="24"/>
              </w:rPr>
              <w:t>20,437,615.29</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
              <w:jc w:val="right"/>
              <w:rPr>
                <w:rFonts w:ascii="Arial Narrow" w:hAnsi="Arial Narrow" w:cs="Arial Narrow" w:eastAsia="Arial Narrow" w:hint="default"/>
                <w:sz w:val="24"/>
                <w:szCs w:val="24"/>
              </w:rPr>
            </w:pPr>
            <w:r>
              <w:rPr>
                <w:rFonts w:ascii="Arial Narrow"/>
                <w:spacing w:val="-1"/>
                <w:sz w:val="24"/>
              </w:rPr>
              <w:t>4,782,726.00</w:t>
            </w:r>
          </w:p>
        </w:tc>
      </w:tr>
      <w:tr>
        <w:trPr>
          <w:trHeight w:val="369" w:hRule="exact"/>
        </w:trPr>
        <w:tc>
          <w:tcPr>
            <w:tcW w:w="3329" w:type="dxa"/>
            <w:tcBorders>
              <w:top w:val="nil" w:sz="6" w:space="0" w:color="auto"/>
              <w:left w:val="nil" w:sz="6" w:space="0" w:color="auto"/>
              <w:bottom w:val="single" w:sz="4" w:space="0" w:color="000000"/>
              <w:right w:val="nil" w:sz="6" w:space="0" w:color="auto"/>
            </w:tcBorders>
          </w:tcPr>
          <w:p>
            <w:pPr>
              <w:pStyle w:val="TableParagraph"/>
              <w:spacing w:line="285" w:lineRule="exact"/>
              <w:ind w:left="10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372"/>
              <w:jc w:val="right"/>
              <w:rPr>
                <w:rFonts w:ascii="Arial Narrow" w:hAnsi="Arial Narrow" w:cs="Arial Narrow" w:eastAsia="Arial Narrow" w:hint="default"/>
                <w:sz w:val="24"/>
                <w:szCs w:val="24"/>
              </w:rPr>
            </w:pPr>
            <w:r>
              <w:rPr>
                <w:rFonts w:ascii="Arial Narrow"/>
                <w:spacing w:val="-1"/>
                <w:sz w:val="24"/>
              </w:rPr>
              <w:t>27,700.93</w:t>
            </w:r>
          </w:p>
        </w:tc>
        <w:tc>
          <w:tcPr>
            <w:tcW w:w="1676" w:type="dxa"/>
            <w:tcBorders>
              <w:top w:val="nil" w:sz="6" w:space="0" w:color="auto"/>
              <w:left w:val="nil" w:sz="6" w:space="0" w:color="auto"/>
              <w:bottom w:val="single" w:sz="4" w:space="0" w:color="000000"/>
              <w:right w:val="nil" w:sz="6" w:space="0" w:color="auto"/>
            </w:tcBorders>
          </w:tcPr>
          <w:p>
            <w:pPr>
              <w:pStyle w:val="TableParagraph"/>
              <w:spacing w:line="240" w:lineRule="auto" w:before="21"/>
              <w:ind w:right="38"/>
              <w:jc w:val="right"/>
              <w:rPr>
                <w:rFonts w:ascii="Arial Narrow" w:hAnsi="Arial Narrow" w:cs="Arial Narrow" w:eastAsia="Arial Narrow" w:hint="default"/>
                <w:sz w:val="24"/>
                <w:szCs w:val="24"/>
              </w:rPr>
            </w:pPr>
            <w:r>
              <w:rPr>
                <w:rFonts w:ascii="Arial Narrow"/>
                <w:spacing w:val="-1"/>
                <w:sz w:val="24"/>
              </w:rPr>
              <w:t>3,007.71</w:t>
            </w:r>
          </w:p>
        </w:tc>
        <w:tc>
          <w:tcPr>
            <w:tcW w:w="196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0"/>
              <w:jc w:val="right"/>
              <w:rPr>
                <w:rFonts w:ascii="Arial Narrow" w:hAnsi="Arial Narrow" w:cs="Arial Narrow" w:eastAsia="Arial Narrow" w:hint="default"/>
                <w:sz w:val="24"/>
                <w:szCs w:val="24"/>
              </w:rPr>
            </w:pPr>
            <w:r>
              <w:rPr>
                <w:rFonts w:ascii="Arial Narrow"/>
                <w:spacing w:val="-1"/>
                <w:sz w:val="24"/>
              </w:rPr>
              <w:t>27,700.93</w:t>
            </w:r>
          </w:p>
        </w:tc>
      </w:tr>
      <w:tr>
        <w:trPr>
          <w:trHeight w:val="403" w:hRule="exact"/>
        </w:trPr>
        <w:tc>
          <w:tcPr>
            <w:tcW w:w="3329" w:type="dxa"/>
            <w:tcBorders>
              <w:top w:val="single" w:sz="4" w:space="0" w:color="000000"/>
              <w:left w:val="nil" w:sz="6" w:space="0" w:color="auto"/>
              <w:bottom w:val="single" w:sz="8" w:space="0" w:color="000000"/>
              <w:right w:val="nil" w:sz="6" w:space="0" w:color="auto"/>
            </w:tcBorders>
          </w:tcPr>
          <w:p>
            <w:pPr>
              <w:pStyle w:val="TableParagraph"/>
              <w:tabs>
                <w:tab w:pos="599" w:val="left" w:leader="none"/>
              </w:tabs>
              <w:spacing w:line="312" w:lineRule="exact"/>
              <w:ind w:left="117"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10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73"/>
              <w:jc w:val="right"/>
              <w:rPr>
                <w:rFonts w:ascii="Arial Narrow" w:hAnsi="Arial Narrow" w:cs="Arial Narrow" w:eastAsia="Arial Narrow" w:hint="default"/>
                <w:sz w:val="24"/>
                <w:szCs w:val="24"/>
              </w:rPr>
            </w:pPr>
            <w:r>
              <w:rPr>
                <w:rFonts w:ascii="Arial Narrow"/>
                <w:b/>
                <w:spacing w:val="-2"/>
                <w:sz w:val="24"/>
              </w:rPr>
              <w:t>13,642,757.11</w:t>
            </w:r>
            <w:r>
              <w:rPr>
                <w:rFonts w:ascii="Arial Narrow"/>
                <w:spacing w:val="-2"/>
                <w:sz w:val="24"/>
              </w:rPr>
            </w:r>
          </w:p>
        </w:tc>
        <w:tc>
          <w:tcPr>
            <w:tcW w:w="167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9"/>
              <w:jc w:val="right"/>
              <w:rPr>
                <w:rFonts w:ascii="Arial Narrow" w:hAnsi="Arial Narrow" w:cs="Arial Narrow" w:eastAsia="Arial Narrow" w:hint="default"/>
                <w:sz w:val="24"/>
                <w:szCs w:val="24"/>
              </w:rPr>
            </w:pPr>
            <w:r>
              <w:rPr>
                <w:rFonts w:ascii="Arial Narrow"/>
                <w:b/>
                <w:spacing w:val="-1"/>
                <w:sz w:val="24"/>
              </w:rPr>
              <w:t>20,503,951.58</w:t>
            </w:r>
            <w:r>
              <w:rPr>
                <w:rFonts w:ascii="Arial Narrow"/>
                <w:spacing w:val="-1"/>
                <w:sz w:val="24"/>
              </w:rPr>
            </w:r>
          </w:p>
        </w:tc>
        <w:tc>
          <w:tcPr>
            <w:tcW w:w="1969" w:type="dxa"/>
            <w:tcBorders>
              <w:top w:val="single" w:sz="4" w:space="0" w:color="000000"/>
              <w:left w:val="nil" w:sz="6" w:space="0" w:color="auto"/>
              <w:bottom w:val="single" w:sz="8" w:space="0" w:color="000000"/>
              <w:right w:val="nil" w:sz="6" w:space="0" w:color="auto"/>
            </w:tcBorders>
          </w:tcPr>
          <w:p>
            <w:pPr>
              <w:pStyle w:val="TableParagraph"/>
              <w:spacing w:line="240" w:lineRule="auto" w:before="106"/>
              <w:ind w:right="1"/>
              <w:jc w:val="right"/>
              <w:rPr>
                <w:rFonts w:ascii="Arial Narrow" w:hAnsi="Arial Narrow" w:cs="Arial Narrow" w:eastAsia="Arial Narrow" w:hint="default"/>
                <w:sz w:val="24"/>
                <w:szCs w:val="24"/>
              </w:rPr>
            </w:pPr>
            <w:r>
              <w:rPr>
                <w:rFonts w:ascii="Arial Narrow"/>
                <w:b/>
                <w:spacing w:val="-1"/>
                <w:sz w:val="24"/>
              </w:rPr>
              <w:t>4,810,426.93</w:t>
            </w:r>
            <w:r>
              <w:rPr>
                <w:rFonts w:ascii="Arial Narrow"/>
                <w:spacing w:val="-1"/>
                <w:sz w:val="24"/>
              </w:rPr>
            </w:r>
          </w:p>
        </w:tc>
      </w:tr>
    </w:tbl>
    <w:p>
      <w:pPr>
        <w:pStyle w:val="BodyText"/>
        <w:spacing w:line="240" w:lineRule="auto" w:before="79"/>
        <w:ind w:left="605" w:right="4177"/>
        <w:jc w:val="left"/>
      </w:pPr>
      <w:r>
        <w:rPr/>
        <w:t>其中，政府补助明细如下：</w:t>
      </w:r>
    </w:p>
    <w:p>
      <w:pPr>
        <w:spacing w:line="240" w:lineRule="auto" w:before="6"/>
        <w:rPr>
          <w:rFonts w:ascii="宋体" w:hAnsi="宋体" w:cs="宋体" w:eastAsia="宋体" w:hint="default"/>
          <w:sz w:val="19"/>
          <w:szCs w:val="19"/>
        </w:rPr>
      </w:pPr>
    </w:p>
    <w:tbl>
      <w:tblPr>
        <w:tblW w:w="0" w:type="auto"/>
        <w:jc w:val="left"/>
        <w:tblInd w:w="562" w:type="dxa"/>
        <w:tblLayout w:type="fixed"/>
        <w:tblCellMar>
          <w:top w:w="0" w:type="dxa"/>
          <w:left w:w="0" w:type="dxa"/>
          <w:bottom w:w="0" w:type="dxa"/>
          <w:right w:w="0" w:type="dxa"/>
        </w:tblCellMar>
        <w:tblLook w:val="01E0"/>
      </w:tblPr>
      <w:tblGrid>
        <w:gridCol w:w="4987"/>
        <w:gridCol w:w="2419"/>
        <w:gridCol w:w="1662"/>
      </w:tblGrid>
      <w:tr>
        <w:trPr>
          <w:trHeight w:val="386" w:hRule="exact"/>
        </w:trPr>
        <w:tc>
          <w:tcPr>
            <w:tcW w:w="4987" w:type="dxa"/>
            <w:tcBorders>
              <w:top w:val="single" w:sz="8" w:space="0" w:color="000000"/>
              <w:left w:val="nil" w:sz="6" w:space="0" w:color="auto"/>
              <w:bottom w:val="single" w:sz="4" w:space="0" w:color="000000"/>
              <w:right w:val="nil" w:sz="6" w:space="0" w:color="auto"/>
            </w:tcBorders>
          </w:tcPr>
          <w:p>
            <w:pPr>
              <w:pStyle w:val="TableParagraph"/>
              <w:spacing w:line="305" w:lineRule="exact"/>
              <w:ind w:left="117"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59"/>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2419"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454"/>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662" w:type="dxa"/>
            <w:tcBorders>
              <w:top w:val="single" w:sz="8" w:space="0" w:color="000000"/>
              <w:left w:val="nil" w:sz="6" w:space="0" w:color="auto"/>
              <w:bottom w:val="single" w:sz="4" w:space="0" w:color="000000"/>
              <w:right w:val="nil" w:sz="6" w:space="0" w:color="auto"/>
            </w:tcBorders>
          </w:tcPr>
          <w:p>
            <w:pPr>
              <w:pStyle w:val="TableParagraph"/>
              <w:spacing w:line="305" w:lineRule="exact"/>
              <w:ind w:right="1"/>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451" w:hRule="exact"/>
        </w:trPr>
        <w:tc>
          <w:tcPr>
            <w:tcW w:w="4987" w:type="dxa"/>
            <w:tcBorders>
              <w:top w:val="single" w:sz="4" w:space="0" w:color="000000"/>
              <w:left w:val="nil" w:sz="6" w:space="0" w:color="auto"/>
              <w:bottom w:val="nil" w:sz="6" w:space="0" w:color="auto"/>
              <w:right w:val="nil" w:sz="6" w:space="0" w:color="auto"/>
            </w:tcBorders>
          </w:tcPr>
          <w:p>
            <w:pPr>
              <w:pStyle w:val="TableParagraph"/>
              <w:spacing w:line="310" w:lineRule="exact"/>
              <w:ind w:right="0"/>
              <w:jc w:val="left"/>
              <w:rPr>
                <w:rFonts w:ascii="宋体" w:hAnsi="宋体" w:cs="宋体" w:eastAsia="宋体" w:hint="default"/>
                <w:sz w:val="24"/>
                <w:szCs w:val="24"/>
              </w:rPr>
            </w:pPr>
            <w:r>
              <w:rPr>
                <w:rFonts w:ascii="宋体" w:hAnsi="宋体" w:cs="宋体" w:eastAsia="宋体" w:hint="default"/>
                <w:sz w:val="24"/>
                <w:szCs w:val="24"/>
              </w:rPr>
              <w:t>增值税退税</w:t>
            </w:r>
          </w:p>
        </w:tc>
        <w:tc>
          <w:tcPr>
            <w:tcW w:w="241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454"/>
              <w:jc w:val="right"/>
              <w:rPr>
                <w:rFonts w:ascii="Arial Narrow" w:hAnsi="Arial Narrow" w:cs="Arial Narrow" w:eastAsia="Arial Narrow" w:hint="default"/>
                <w:sz w:val="24"/>
                <w:szCs w:val="24"/>
              </w:rPr>
            </w:pPr>
            <w:r>
              <w:rPr>
                <w:rFonts w:ascii="Arial Narrow"/>
                <w:spacing w:val="-1"/>
                <w:sz w:val="24"/>
              </w:rPr>
              <w:t>8,832,330.18</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
              <w:jc w:val="right"/>
              <w:rPr>
                <w:rFonts w:ascii="Arial Narrow" w:hAnsi="Arial Narrow" w:cs="Arial Narrow" w:eastAsia="Arial Narrow" w:hint="default"/>
                <w:sz w:val="24"/>
                <w:szCs w:val="24"/>
              </w:rPr>
            </w:pPr>
            <w:r>
              <w:rPr>
                <w:rFonts w:ascii="Arial Narrow"/>
                <w:spacing w:val="-1"/>
                <w:sz w:val="24"/>
              </w:rPr>
              <w:t>9,748,498.48</w:t>
            </w:r>
          </w:p>
        </w:tc>
      </w:tr>
      <w:tr>
        <w:trPr>
          <w:trHeight w:val="840" w:hRule="exact"/>
        </w:trPr>
        <w:tc>
          <w:tcPr>
            <w:tcW w:w="4987" w:type="dxa"/>
            <w:tcBorders>
              <w:top w:val="nil" w:sz="6" w:space="0" w:color="auto"/>
              <w:left w:val="nil" w:sz="6" w:space="0" w:color="auto"/>
              <w:bottom w:val="nil" w:sz="6" w:space="0" w:color="auto"/>
              <w:right w:val="nil" w:sz="6" w:space="0" w:color="auto"/>
            </w:tcBorders>
          </w:tcPr>
          <w:p>
            <w:pPr>
              <w:pStyle w:val="TableParagraph"/>
              <w:spacing w:line="312" w:lineRule="exact" w:before="87"/>
              <w:ind w:right="760"/>
              <w:jc w:val="left"/>
              <w:rPr>
                <w:rFonts w:ascii="宋体" w:hAnsi="宋体" w:cs="宋体" w:eastAsia="宋体" w:hint="default"/>
                <w:sz w:val="24"/>
                <w:szCs w:val="24"/>
              </w:rPr>
            </w:pPr>
            <w:r>
              <w:rPr>
                <w:rFonts w:ascii="宋体" w:hAnsi="宋体" w:cs="宋体" w:eastAsia="宋体" w:hint="default"/>
                <w:sz w:val="24"/>
                <w:szCs w:val="24"/>
              </w:rPr>
              <w:t>基于二维 </w:t>
            </w:r>
            <w:r>
              <w:rPr>
                <w:rFonts w:ascii="Arial Narrow" w:hAnsi="Arial Narrow" w:cs="Arial Narrow" w:eastAsia="Arial Narrow" w:hint="default"/>
                <w:sz w:val="24"/>
                <w:szCs w:val="24"/>
              </w:rPr>
              <w:t>GIS</w:t>
            </w:r>
            <w:r>
              <w:rPr>
                <w:rFonts w:ascii="Arial Narrow" w:hAnsi="Arial Narrow" w:cs="Arial Narrow" w:eastAsia="Arial Narrow" w:hint="default"/>
                <w:spacing w:val="27"/>
                <w:sz w:val="24"/>
                <w:szCs w:val="24"/>
              </w:rPr>
              <w:t> </w:t>
            </w:r>
            <w:r>
              <w:rPr>
                <w:rFonts w:ascii="宋体" w:hAnsi="宋体" w:cs="宋体" w:eastAsia="宋体" w:hint="default"/>
                <w:spacing w:val="2"/>
                <w:sz w:val="24"/>
                <w:szCs w:val="24"/>
              </w:rPr>
              <w:t>软件平台的二三维一体化</w:t>
            </w:r>
            <w:r>
              <w:rPr>
                <w:rFonts w:ascii="宋体" w:hAnsi="宋体" w:cs="宋体" w:eastAsia="宋体" w:hint="default"/>
                <w:sz w:val="24"/>
                <w:szCs w:val="24"/>
              </w:rPr>
              <w:t> 技术升级改造及产业化项目</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454"/>
              <w:jc w:val="right"/>
              <w:rPr>
                <w:rFonts w:ascii="Arial Narrow" w:hAnsi="Arial Narrow" w:cs="Arial Narrow" w:eastAsia="Arial Narrow" w:hint="default"/>
                <w:sz w:val="24"/>
                <w:szCs w:val="24"/>
              </w:rPr>
            </w:pPr>
            <w:r>
              <w:rPr>
                <w:rFonts w:ascii="Arial Narrow"/>
                <w:spacing w:val="-1"/>
                <w:sz w:val="24"/>
              </w:rPr>
              <w:t>1,690,000.00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right"/>
              <w:rPr>
                <w:rFonts w:ascii="Arial Narrow" w:hAnsi="Arial Narrow" w:cs="Arial Narrow" w:eastAsia="Arial Narrow" w:hint="default"/>
                <w:sz w:val="24"/>
                <w:szCs w:val="24"/>
              </w:rPr>
            </w:pPr>
            <w:r>
              <w:rPr>
                <w:rFonts w:ascii="Arial Narrow"/>
                <w:sz w:val="24"/>
              </w:rPr>
              <w:t>-</w:t>
            </w:r>
          </w:p>
        </w:tc>
      </w:tr>
      <w:tr>
        <w:trPr>
          <w:trHeight w:val="707" w:hRule="exact"/>
        </w:trPr>
        <w:tc>
          <w:tcPr>
            <w:tcW w:w="4987" w:type="dxa"/>
            <w:tcBorders>
              <w:top w:val="nil" w:sz="6" w:space="0" w:color="auto"/>
              <w:left w:val="nil" w:sz="6" w:space="0" w:color="auto"/>
              <w:bottom w:val="nil" w:sz="6" w:space="0" w:color="auto"/>
              <w:right w:val="nil" w:sz="6" w:space="0" w:color="auto"/>
            </w:tcBorders>
          </w:tcPr>
          <w:p>
            <w:pPr>
              <w:pStyle w:val="TableParagraph"/>
              <w:spacing w:line="310" w:lineRule="exact" w:before="115"/>
              <w:ind w:right="755"/>
              <w:jc w:val="left"/>
              <w:rPr>
                <w:rFonts w:ascii="宋体" w:hAnsi="宋体" w:cs="宋体" w:eastAsia="宋体" w:hint="default"/>
                <w:sz w:val="24"/>
                <w:szCs w:val="24"/>
              </w:rPr>
            </w:pPr>
            <w:r>
              <w:rPr>
                <w:rFonts w:ascii="宋体" w:hAnsi="宋体" w:cs="宋体" w:eastAsia="宋体" w:hint="default"/>
                <w:spacing w:val="2"/>
                <w:sz w:val="24"/>
                <w:szCs w:val="24"/>
              </w:rPr>
              <w:t>面向服务支持多类型移动终端的 </w:t>
            </w:r>
            <w:r>
              <w:rPr>
                <w:rFonts w:ascii="Arial Narrow" w:hAnsi="Arial Narrow" w:cs="Arial Narrow" w:eastAsia="Arial Narrow" w:hint="default"/>
                <w:sz w:val="24"/>
                <w:szCs w:val="24"/>
              </w:rPr>
              <w:t>GIS</w:t>
            </w:r>
            <w:r>
              <w:rPr>
                <w:rFonts w:ascii="Arial Narrow" w:hAnsi="Arial Narrow" w:cs="Arial Narrow" w:eastAsia="Arial Narrow" w:hint="default"/>
                <w:spacing w:val="24"/>
                <w:sz w:val="24"/>
                <w:szCs w:val="24"/>
              </w:rPr>
              <w:t> </w:t>
            </w:r>
            <w:r>
              <w:rPr>
                <w:rFonts w:ascii="宋体" w:hAnsi="宋体" w:cs="宋体" w:eastAsia="宋体" w:hint="default"/>
                <w:sz w:val="24"/>
                <w:szCs w:val="24"/>
              </w:rPr>
              <w:t>关 键技术研发</w:t>
            </w:r>
          </w:p>
        </w:tc>
        <w:tc>
          <w:tcPr>
            <w:tcW w:w="241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454"/>
              <w:jc w:val="right"/>
              <w:rPr>
                <w:rFonts w:ascii="Arial Narrow" w:hAnsi="Arial Narrow" w:cs="Arial Narrow" w:eastAsia="Arial Narrow" w:hint="default"/>
                <w:sz w:val="24"/>
                <w:szCs w:val="24"/>
              </w:rPr>
            </w:pPr>
            <w:r>
              <w:rPr>
                <w:rFonts w:ascii="Arial Narrow"/>
                <w:spacing w:val="-1"/>
                <w:sz w:val="24"/>
              </w:rPr>
              <w:t>625,000.00</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00" w:h="16850"/>
          <w:pgMar w:header="0" w:footer="919" w:top="1640" w:bottom="1100" w:left="1140" w:right="96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4979"/>
        <w:gridCol w:w="2414"/>
        <w:gridCol w:w="1716"/>
      </w:tblGrid>
      <w:tr>
        <w:trPr>
          <w:trHeight w:val="760" w:hRule="exact"/>
        </w:trPr>
        <w:tc>
          <w:tcPr>
            <w:tcW w:w="386" w:type="dxa"/>
            <w:tcBorders>
              <w:top w:val="single" w:sz="6" w:space="0" w:color="000000"/>
              <w:left w:val="nil" w:sz="6" w:space="0" w:color="auto"/>
              <w:bottom w:val="nil" w:sz="6" w:space="0" w:color="auto"/>
              <w:right w:val="nil" w:sz="6" w:space="0" w:color="auto"/>
            </w:tcBorders>
          </w:tcPr>
          <w:p>
            <w:pPr/>
          </w:p>
        </w:tc>
        <w:tc>
          <w:tcPr>
            <w:tcW w:w="4979" w:type="dxa"/>
            <w:tcBorders>
              <w:top w:val="single" w:sz="6" w:space="0" w:color="000000"/>
              <w:left w:val="nil" w:sz="6" w:space="0" w:color="auto"/>
              <w:bottom w:val="nil" w:sz="6" w:space="0" w:color="auto"/>
              <w:right w:val="nil" w:sz="6" w:space="0" w:color="auto"/>
            </w:tcBorders>
          </w:tcPr>
          <w:p>
            <w:pPr>
              <w:pStyle w:val="TableParagraph"/>
              <w:spacing w:line="310" w:lineRule="exact" w:before="85"/>
              <w:ind w:left="14" w:right="722"/>
              <w:jc w:val="left"/>
              <w:rPr>
                <w:rFonts w:ascii="宋体" w:hAnsi="宋体" w:cs="宋体" w:eastAsia="宋体" w:hint="default"/>
                <w:sz w:val="24"/>
                <w:szCs w:val="24"/>
              </w:rPr>
            </w:pPr>
            <w:r>
              <w:rPr>
                <w:rFonts w:ascii="宋体" w:hAnsi="宋体" w:cs="宋体" w:eastAsia="宋体" w:hint="default"/>
                <w:spacing w:val="8"/>
                <w:sz w:val="24"/>
                <w:szCs w:val="24"/>
              </w:rPr>
              <w:t>朝阳区高技术产业与现代制造业发展专</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项资金支持项目</w:t>
            </w:r>
          </w:p>
        </w:tc>
        <w:tc>
          <w:tcPr>
            <w:tcW w:w="241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427"/>
              <w:jc w:val="right"/>
              <w:rPr>
                <w:rFonts w:ascii="Arial Narrow" w:hAnsi="Arial Narrow" w:cs="Arial Narrow" w:eastAsia="Arial Narrow" w:hint="default"/>
                <w:sz w:val="24"/>
                <w:szCs w:val="24"/>
              </w:rPr>
            </w:pPr>
            <w:r>
              <w:rPr>
                <w:rFonts w:ascii="Arial Narrow"/>
                <w:spacing w:val="-1"/>
                <w:sz w:val="24"/>
              </w:rPr>
              <w:t>500,000.00</w:t>
            </w:r>
          </w:p>
        </w:tc>
        <w:tc>
          <w:tcPr>
            <w:tcW w:w="1716"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6"/>
              <w:jc w:val="right"/>
              <w:rPr>
                <w:rFonts w:ascii="Arial Narrow" w:hAnsi="Arial Narrow" w:cs="Arial Narrow" w:eastAsia="Arial Narrow" w:hint="default"/>
                <w:sz w:val="24"/>
                <w:szCs w:val="24"/>
              </w:rPr>
            </w:pPr>
            <w:r>
              <w:rPr>
                <w:rFonts w:ascii="Arial Narrow"/>
                <w:sz w:val="24"/>
              </w:rPr>
              <w:t>-</w:t>
            </w:r>
          </w:p>
        </w:tc>
      </w:tr>
      <w:tr>
        <w:trPr>
          <w:trHeight w:val="775"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310" w:lineRule="exact" w:before="34"/>
              <w:ind w:left="14" w:right="733"/>
              <w:jc w:val="left"/>
              <w:rPr>
                <w:rFonts w:ascii="宋体" w:hAnsi="宋体" w:cs="宋体" w:eastAsia="宋体" w:hint="default"/>
                <w:sz w:val="24"/>
                <w:szCs w:val="24"/>
              </w:rPr>
            </w:pPr>
            <w:r>
              <w:rPr>
                <w:rFonts w:ascii="宋体" w:hAnsi="宋体" w:cs="宋体" w:eastAsia="宋体" w:hint="default"/>
                <w:spacing w:val="2"/>
                <w:sz w:val="24"/>
                <w:szCs w:val="24"/>
              </w:rPr>
              <w:t>面向服务支持多类型移动终端的 </w:t>
            </w:r>
            <w:r>
              <w:rPr>
                <w:rFonts w:ascii="Arial Narrow" w:hAnsi="Arial Narrow" w:cs="Arial Narrow" w:eastAsia="Arial Narrow" w:hint="default"/>
                <w:sz w:val="24"/>
                <w:szCs w:val="24"/>
              </w:rPr>
              <w:t>GIS</w:t>
            </w:r>
            <w:r>
              <w:rPr>
                <w:rFonts w:ascii="Arial Narrow" w:hAnsi="Arial Narrow" w:cs="Arial Narrow" w:eastAsia="Arial Narrow" w:hint="default"/>
                <w:spacing w:val="24"/>
                <w:sz w:val="24"/>
                <w:szCs w:val="24"/>
              </w:rPr>
              <w:t> </w:t>
            </w:r>
            <w:r>
              <w:rPr>
                <w:rFonts w:ascii="宋体" w:hAnsi="宋体" w:cs="宋体" w:eastAsia="宋体" w:hint="default"/>
                <w:sz w:val="24"/>
                <w:szCs w:val="24"/>
              </w:rPr>
              <w:t>关 键技术与系统平台</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208"/>
              <w:ind w:right="427"/>
              <w:jc w:val="right"/>
              <w:rPr>
                <w:rFonts w:ascii="Arial Narrow" w:hAnsi="Arial Narrow" w:cs="Arial Narrow" w:eastAsia="Arial Narrow" w:hint="default"/>
                <w:sz w:val="24"/>
                <w:szCs w:val="24"/>
              </w:rPr>
            </w:pPr>
            <w:r>
              <w:rPr>
                <w:rFonts w:ascii="Arial Narrow"/>
                <w:spacing w:val="-1"/>
                <w:sz w:val="24"/>
              </w:rPr>
              <w:t>388,888.89</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08"/>
              <w:ind w:right="26"/>
              <w:jc w:val="right"/>
              <w:rPr>
                <w:rFonts w:ascii="Arial Narrow" w:hAnsi="Arial Narrow" w:cs="Arial Narrow" w:eastAsia="Arial Narrow" w:hint="default"/>
                <w:sz w:val="24"/>
                <w:szCs w:val="24"/>
              </w:rPr>
            </w:pPr>
            <w:r>
              <w:rPr>
                <w:rFonts w:ascii="Arial Narrow"/>
                <w:sz w:val="24"/>
              </w:rPr>
              <w:t>-</w:t>
            </w:r>
          </w:p>
        </w:tc>
      </w:tr>
      <w:tr>
        <w:trPr>
          <w:trHeight w:val="508"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4" w:right="0"/>
              <w:jc w:val="left"/>
              <w:rPr>
                <w:rFonts w:ascii="宋体" w:hAnsi="宋体" w:cs="宋体" w:eastAsia="宋体" w:hint="default"/>
                <w:sz w:val="24"/>
                <w:szCs w:val="24"/>
              </w:rPr>
            </w:pPr>
            <w:r>
              <w:rPr>
                <w:rFonts w:ascii="宋体" w:hAnsi="宋体" w:cs="宋体" w:eastAsia="宋体" w:hint="default"/>
                <w:sz w:val="24"/>
                <w:szCs w:val="24"/>
              </w:rPr>
              <w:t>中国巨灾应急救援信息集成系统与示范</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427"/>
              <w:jc w:val="right"/>
              <w:rPr>
                <w:rFonts w:ascii="Arial Narrow" w:hAnsi="Arial Narrow" w:cs="Arial Narrow" w:eastAsia="Arial Narrow" w:hint="default"/>
                <w:sz w:val="24"/>
                <w:szCs w:val="24"/>
              </w:rPr>
            </w:pPr>
            <w:r>
              <w:rPr>
                <w:rFonts w:ascii="Arial Narrow"/>
                <w:spacing w:val="-1"/>
                <w:sz w:val="24"/>
              </w:rPr>
              <w:t>355,555.56</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7"/>
              <w:jc w:val="right"/>
              <w:rPr>
                <w:rFonts w:ascii="Arial Narrow" w:hAnsi="Arial Narrow" w:cs="Arial Narrow" w:eastAsia="Arial Narrow" w:hint="default"/>
                <w:sz w:val="24"/>
                <w:szCs w:val="24"/>
              </w:rPr>
            </w:pPr>
            <w:r>
              <w:rPr>
                <w:rFonts w:ascii="Arial Narrow"/>
                <w:spacing w:val="-1"/>
                <w:sz w:val="24"/>
              </w:rPr>
              <w:t>644,444.44</w:t>
            </w:r>
          </w:p>
        </w:tc>
      </w:tr>
      <w:tr>
        <w:trPr>
          <w:trHeight w:val="782"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310" w:lineRule="exact" w:before="70"/>
              <w:ind w:left="14" w:right="722"/>
              <w:jc w:val="left"/>
              <w:rPr>
                <w:rFonts w:ascii="宋体" w:hAnsi="宋体" w:cs="宋体" w:eastAsia="宋体" w:hint="default"/>
                <w:sz w:val="24"/>
                <w:szCs w:val="24"/>
              </w:rPr>
            </w:pPr>
            <w:r>
              <w:rPr>
                <w:rFonts w:ascii="宋体" w:hAnsi="宋体" w:cs="宋体" w:eastAsia="宋体" w:hint="default"/>
                <w:spacing w:val="8"/>
                <w:sz w:val="24"/>
                <w:szCs w:val="24"/>
              </w:rPr>
              <w:t>新一代空间数据在线更新管理关键技术</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的研发</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27"/>
              <w:jc w:val="right"/>
              <w:rPr>
                <w:rFonts w:ascii="Arial Narrow" w:hAnsi="Arial Narrow" w:cs="Arial Narrow" w:eastAsia="Arial Narrow" w:hint="default"/>
                <w:sz w:val="24"/>
                <w:szCs w:val="24"/>
              </w:rPr>
            </w:pPr>
            <w:r>
              <w:rPr>
                <w:rFonts w:ascii="Arial Narrow"/>
                <w:spacing w:val="-1"/>
                <w:sz w:val="24"/>
              </w:rPr>
              <w:t>325,000.00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7"/>
              <w:jc w:val="right"/>
              <w:rPr>
                <w:rFonts w:ascii="Arial Narrow" w:hAnsi="Arial Narrow" w:cs="Arial Narrow" w:eastAsia="Arial Narrow" w:hint="default"/>
                <w:sz w:val="24"/>
                <w:szCs w:val="24"/>
              </w:rPr>
            </w:pPr>
            <w:r>
              <w:rPr>
                <w:rFonts w:ascii="Arial Narrow"/>
                <w:spacing w:val="-1"/>
                <w:sz w:val="24"/>
              </w:rPr>
              <w:t>975,000.00</w:t>
            </w:r>
          </w:p>
        </w:tc>
      </w:tr>
      <w:tr>
        <w:trPr>
          <w:trHeight w:val="558"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 w:right="0"/>
              <w:jc w:val="left"/>
              <w:rPr>
                <w:rFonts w:ascii="宋体" w:hAnsi="宋体" w:cs="宋体" w:eastAsia="宋体" w:hint="default"/>
                <w:sz w:val="24"/>
                <w:szCs w:val="24"/>
              </w:rPr>
            </w:pPr>
            <w:r>
              <w:rPr>
                <w:rFonts w:ascii="宋体" w:hAnsi="宋体" w:cs="宋体" w:eastAsia="宋体" w:hint="default"/>
                <w:sz w:val="24"/>
                <w:szCs w:val="24"/>
              </w:rPr>
              <w:t>财政部拨付国家新产品项目补助</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27"/>
              <w:jc w:val="right"/>
              <w:rPr>
                <w:rFonts w:ascii="Arial Narrow" w:hAnsi="Arial Narrow" w:cs="Arial Narrow" w:eastAsia="Arial Narrow" w:hint="default"/>
                <w:sz w:val="24"/>
                <w:szCs w:val="24"/>
              </w:rPr>
            </w:pPr>
            <w:r>
              <w:rPr>
                <w:rFonts w:ascii="Arial Narrow"/>
                <w:spacing w:val="-1"/>
                <w:sz w:val="24"/>
              </w:rPr>
              <w:t>300,000.00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6"/>
              <w:jc w:val="right"/>
              <w:rPr>
                <w:rFonts w:ascii="Arial Narrow" w:hAnsi="Arial Narrow" w:cs="Arial Narrow" w:eastAsia="Arial Narrow" w:hint="default"/>
                <w:sz w:val="24"/>
                <w:szCs w:val="24"/>
              </w:rPr>
            </w:pPr>
            <w:r>
              <w:rPr>
                <w:rFonts w:ascii="Arial Narrow"/>
                <w:sz w:val="24"/>
              </w:rPr>
              <w:t>-</w:t>
            </w:r>
          </w:p>
        </w:tc>
      </w:tr>
      <w:tr>
        <w:trPr>
          <w:trHeight w:val="546"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4" w:right="0"/>
              <w:jc w:val="left"/>
              <w:rPr>
                <w:rFonts w:ascii="宋体" w:hAnsi="宋体" w:cs="宋体" w:eastAsia="宋体" w:hint="default"/>
                <w:sz w:val="24"/>
                <w:szCs w:val="24"/>
              </w:rPr>
            </w:pPr>
            <w:r>
              <w:rPr>
                <w:rFonts w:ascii="宋体" w:hAnsi="宋体" w:cs="宋体" w:eastAsia="宋体" w:hint="default"/>
                <w:sz w:val="24"/>
                <w:szCs w:val="24"/>
              </w:rPr>
              <w:t>农村住宅规划设计与建设标准研究</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427"/>
              <w:jc w:val="right"/>
              <w:rPr>
                <w:rFonts w:ascii="Arial Narrow" w:hAnsi="Arial Narrow" w:cs="Arial Narrow" w:eastAsia="Arial Narrow" w:hint="default"/>
                <w:sz w:val="24"/>
                <w:szCs w:val="24"/>
              </w:rPr>
            </w:pPr>
            <w:r>
              <w:rPr>
                <w:rFonts w:ascii="Arial Narrow"/>
                <w:spacing w:val="-1"/>
                <w:sz w:val="24"/>
              </w:rPr>
              <w:t>169,780.00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7"/>
              <w:jc w:val="right"/>
              <w:rPr>
                <w:rFonts w:ascii="Arial Narrow" w:hAnsi="Arial Narrow" w:cs="Arial Narrow" w:eastAsia="Arial Narrow" w:hint="default"/>
                <w:sz w:val="24"/>
                <w:szCs w:val="24"/>
              </w:rPr>
            </w:pPr>
            <w:r>
              <w:rPr>
                <w:rFonts w:ascii="Arial Narrow"/>
                <w:spacing w:val="-1"/>
                <w:sz w:val="24"/>
              </w:rPr>
              <w:t>230,220.00</w:t>
            </w:r>
          </w:p>
        </w:tc>
      </w:tr>
      <w:tr>
        <w:trPr>
          <w:trHeight w:val="696"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321" w:lineRule="exact" w:before="34"/>
              <w:ind w:left="14" w:right="0"/>
              <w:jc w:val="left"/>
              <w:rPr>
                <w:rFonts w:ascii="Arial Narrow" w:hAnsi="Arial Narrow" w:cs="Arial Narrow" w:eastAsia="Arial Narrow" w:hint="default"/>
                <w:sz w:val="24"/>
                <w:szCs w:val="24"/>
              </w:rPr>
            </w:pPr>
            <w:r>
              <w:rPr>
                <w:rFonts w:ascii="宋体" w:hAnsi="宋体" w:cs="宋体" w:eastAsia="宋体" w:hint="default"/>
                <w:spacing w:val="3"/>
                <w:sz w:val="24"/>
                <w:szCs w:val="24"/>
              </w:rPr>
              <w:t>北京市朝阳区财政局国库集中收付</w:t>
            </w:r>
            <w:r>
              <w:rPr>
                <w:rFonts w:ascii="宋体" w:hAnsi="宋体" w:cs="宋体" w:eastAsia="宋体" w:hint="default"/>
                <w:spacing w:val="13"/>
                <w:sz w:val="24"/>
                <w:szCs w:val="24"/>
              </w:rPr>
              <w:t> </w:t>
            </w:r>
            <w:r>
              <w:rPr>
                <w:rFonts w:ascii="Arial Narrow" w:hAnsi="Arial Narrow" w:cs="Arial Narrow" w:eastAsia="Arial Narrow" w:hint="default"/>
                <w:sz w:val="24"/>
                <w:szCs w:val="24"/>
              </w:rPr>
              <w:t>2010</w:t>
            </w:r>
          </w:p>
          <w:p>
            <w:pPr>
              <w:pStyle w:val="TableParagraph"/>
              <w:spacing w:line="305" w:lineRule="exact"/>
              <w:ind w:left="14" w:right="0"/>
              <w:jc w:val="left"/>
              <w:rPr>
                <w:rFonts w:ascii="宋体" w:hAnsi="宋体" w:cs="宋体" w:eastAsia="宋体" w:hint="default"/>
                <w:sz w:val="24"/>
                <w:szCs w:val="24"/>
              </w:rPr>
            </w:pPr>
            <w:r>
              <w:rPr>
                <w:rFonts w:ascii="宋体" w:hAnsi="宋体" w:cs="宋体" w:eastAsia="宋体" w:hint="default"/>
                <w:sz w:val="24"/>
                <w:szCs w:val="24"/>
              </w:rPr>
              <w:t>年度第二批中小企业开拓国际市场资金</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27"/>
              <w:jc w:val="right"/>
              <w:rPr>
                <w:rFonts w:ascii="Arial Narrow" w:hAnsi="Arial Narrow" w:cs="Arial Narrow" w:eastAsia="Arial Narrow" w:hint="default"/>
                <w:sz w:val="24"/>
                <w:szCs w:val="24"/>
              </w:rPr>
            </w:pPr>
            <w:r>
              <w:rPr>
                <w:rFonts w:ascii="Arial Narrow"/>
                <w:spacing w:val="-2"/>
                <w:sz w:val="24"/>
              </w:rPr>
              <w:t>118,307.00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6"/>
              <w:jc w:val="right"/>
              <w:rPr>
                <w:rFonts w:ascii="Arial Narrow" w:hAnsi="Arial Narrow" w:cs="Arial Narrow" w:eastAsia="Arial Narrow" w:hint="default"/>
                <w:sz w:val="24"/>
                <w:szCs w:val="24"/>
              </w:rPr>
            </w:pPr>
            <w:r>
              <w:rPr>
                <w:rFonts w:ascii="Arial Narrow"/>
                <w:sz w:val="24"/>
              </w:rPr>
              <w:t>-</w:t>
            </w:r>
          </w:p>
        </w:tc>
      </w:tr>
      <w:tr>
        <w:trPr>
          <w:trHeight w:val="624"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74" w:lineRule="exact"/>
              <w:ind w:left="14" w:right="0"/>
              <w:jc w:val="left"/>
              <w:rPr>
                <w:rFonts w:ascii="宋体" w:hAnsi="宋体" w:cs="宋体" w:eastAsia="宋体" w:hint="default"/>
                <w:sz w:val="24"/>
                <w:szCs w:val="24"/>
              </w:rPr>
            </w:pPr>
            <w:r>
              <w:rPr>
                <w:rFonts w:ascii="宋体" w:hAnsi="宋体" w:cs="宋体" w:eastAsia="宋体" w:hint="default"/>
                <w:spacing w:val="8"/>
                <w:sz w:val="24"/>
                <w:szCs w:val="24"/>
              </w:rPr>
              <w:t>收到北京市科学技术委员会拨付科技新</w:t>
            </w:r>
            <w:r>
              <w:rPr>
                <w:rFonts w:ascii="宋体" w:hAnsi="宋体" w:cs="宋体" w:eastAsia="宋体" w:hint="default"/>
                <w:sz w:val="24"/>
                <w:szCs w:val="24"/>
              </w:rPr>
            </w:r>
          </w:p>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星合同经费</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427"/>
              <w:jc w:val="right"/>
              <w:rPr>
                <w:rFonts w:ascii="Arial Narrow" w:hAnsi="Arial Narrow" w:cs="Arial Narrow" w:eastAsia="Arial Narrow" w:hint="default"/>
                <w:sz w:val="24"/>
                <w:szCs w:val="24"/>
              </w:rPr>
            </w:pPr>
            <w:r>
              <w:rPr>
                <w:rFonts w:ascii="Arial Narrow"/>
                <w:spacing w:val="-1"/>
                <w:sz w:val="24"/>
              </w:rPr>
              <w:t>20,000.00</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6"/>
              <w:jc w:val="right"/>
              <w:rPr>
                <w:rFonts w:ascii="Arial Narrow" w:hAnsi="Arial Narrow" w:cs="Arial Narrow" w:eastAsia="Arial Narrow" w:hint="default"/>
                <w:sz w:val="24"/>
                <w:szCs w:val="24"/>
              </w:rPr>
            </w:pPr>
            <w:r>
              <w:rPr>
                <w:rFonts w:ascii="Arial Narrow"/>
                <w:sz w:val="24"/>
              </w:rPr>
              <w:t>-</w:t>
            </w:r>
          </w:p>
        </w:tc>
      </w:tr>
      <w:tr>
        <w:trPr>
          <w:trHeight w:val="628"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85" w:lineRule="exact"/>
              <w:ind w:left="14" w:right="0"/>
              <w:jc w:val="left"/>
              <w:rPr>
                <w:rFonts w:ascii="宋体" w:hAnsi="宋体" w:cs="宋体" w:eastAsia="宋体" w:hint="default"/>
                <w:sz w:val="24"/>
                <w:szCs w:val="24"/>
              </w:rPr>
            </w:pPr>
            <w:r>
              <w:rPr>
                <w:rFonts w:ascii="宋体" w:hAnsi="宋体" w:cs="宋体" w:eastAsia="宋体" w:hint="default"/>
                <w:sz w:val="24"/>
                <w:szCs w:val="24"/>
              </w:rPr>
              <w:t>北京市朝阳区财政局国库集中收付 </w:t>
            </w:r>
            <w:r>
              <w:rPr>
                <w:rFonts w:ascii="Arial Narrow" w:hAnsi="Arial Narrow" w:cs="Arial Narrow" w:eastAsia="Arial Narrow" w:hint="default"/>
                <w:sz w:val="24"/>
                <w:szCs w:val="24"/>
              </w:rPr>
              <w:t>09</w:t>
            </w:r>
            <w:r>
              <w:rPr>
                <w:rFonts w:ascii="Arial Narrow" w:hAnsi="Arial Narrow" w:cs="Arial Narrow" w:eastAsia="Arial Narrow" w:hint="default"/>
                <w:spacing w:val="-7"/>
                <w:sz w:val="24"/>
                <w:szCs w:val="24"/>
              </w:rPr>
              <w:t> </w:t>
            </w:r>
            <w:r>
              <w:rPr>
                <w:rFonts w:ascii="宋体" w:hAnsi="宋体" w:cs="宋体" w:eastAsia="宋体" w:hint="default"/>
                <w:sz w:val="24"/>
                <w:szCs w:val="24"/>
              </w:rPr>
              <w:t>年</w:t>
            </w:r>
          </w:p>
          <w:p>
            <w:pPr>
              <w:pStyle w:val="TableParagraph"/>
              <w:spacing w:line="305" w:lineRule="exact"/>
              <w:ind w:left="14" w:right="0"/>
              <w:jc w:val="left"/>
              <w:rPr>
                <w:rFonts w:ascii="宋体" w:hAnsi="宋体" w:cs="宋体" w:eastAsia="宋体" w:hint="default"/>
                <w:sz w:val="24"/>
                <w:szCs w:val="24"/>
              </w:rPr>
            </w:pPr>
            <w:r>
              <w:rPr>
                <w:rFonts w:ascii="宋体" w:hAnsi="宋体" w:cs="宋体" w:eastAsia="宋体" w:hint="default"/>
                <w:sz w:val="24"/>
                <w:szCs w:val="24"/>
              </w:rPr>
              <w:t>第二批非公中小企业发展资金</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72"/>
              <w:ind w:right="27"/>
              <w:jc w:val="right"/>
              <w:rPr>
                <w:rFonts w:ascii="Arial Narrow" w:hAnsi="Arial Narrow" w:cs="Arial Narrow" w:eastAsia="Arial Narrow" w:hint="default"/>
                <w:sz w:val="24"/>
                <w:szCs w:val="24"/>
              </w:rPr>
            </w:pPr>
            <w:r>
              <w:rPr>
                <w:rFonts w:ascii="Arial Narrow"/>
                <w:spacing w:val="-1"/>
                <w:sz w:val="24"/>
              </w:rPr>
              <w:t>1,530,000.00</w:t>
            </w:r>
          </w:p>
        </w:tc>
      </w:tr>
      <w:tr>
        <w:trPr>
          <w:trHeight w:val="648"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78" w:lineRule="exact"/>
              <w:ind w:left="14" w:right="0"/>
              <w:jc w:val="left"/>
              <w:rPr>
                <w:rFonts w:ascii="宋体" w:hAnsi="宋体" w:cs="宋体" w:eastAsia="宋体" w:hint="default"/>
                <w:sz w:val="24"/>
                <w:szCs w:val="24"/>
              </w:rPr>
            </w:pPr>
            <w:r>
              <w:rPr>
                <w:rFonts w:ascii="宋体" w:hAnsi="宋体" w:cs="宋体" w:eastAsia="宋体" w:hint="default"/>
                <w:spacing w:val="8"/>
                <w:sz w:val="24"/>
                <w:szCs w:val="24"/>
              </w:rPr>
              <w:t>高性能高可用性服务器地理信息系统关</w:t>
            </w:r>
            <w:r>
              <w:rPr>
                <w:rFonts w:ascii="宋体" w:hAnsi="宋体" w:cs="宋体" w:eastAsia="宋体" w:hint="default"/>
                <w:sz w:val="24"/>
                <w:szCs w:val="24"/>
              </w:rPr>
            </w:r>
          </w:p>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键技术及应用产品产业化</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27"/>
              <w:jc w:val="right"/>
              <w:rPr>
                <w:rFonts w:ascii="Arial Narrow" w:hAnsi="Arial Narrow" w:cs="Arial Narrow" w:eastAsia="Arial Narrow" w:hint="default"/>
                <w:sz w:val="24"/>
                <w:szCs w:val="24"/>
              </w:rPr>
            </w:pPr>
            <w:r>
              <w:rPr>
                <w:rFonts w:ascii="Arial Narrow"/>
                <w:spacing w:val="-1"/>
                <w:sz w:val="24"/>
              </w:rPr>
              <w:t>1,354,166.67</w:t>
            </w:r>
          </w:p>
        </w:tc>
      </w:tr>
      <w:tr>
        <w:trPr>
          <w:trHeight w:val="378"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98" w:lineRule="exact"/>
              <w:ind w:left="14" w:right="0"/>
              <w:jc w:val="left"/>
              <w:rPr>
                <w:rFonts w:ascii="宋体" w:hAnsi="宋体" w:cs="宋体" w:eastAsia="宋体" w:hint="default"/>
                <w:sz w:val="24"/>
                <w:szCs w:val="24"/>
              </w:rPr>
            </w:pPr>
            <w:r>
              <w:rPr>
                <w:rFonts w:ascii="宋体" w:hAnsi="宋体" w:cs="宋体" w:eastAsia="宋体" w:hint="default"/>
                <w:sz w:val="24"/>
                <w:szCs w:val="24"/>
              </w:rPr>
              <w:t>中关村科技园区管理委员会上市补贴</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7"/>
              <w:jc w:val="right"/>
              <w:rPr>
                <w:rFonts w:ascii="Arial Narrow" w:hAnsi="Arial Narrow" w:cs="Arial Narrow" w:eastAsia="Arial Narrow" w:hint="default"/>
                <w:sz w:val="24"/>
                <w:szCs w:val="24"/>
              </w:rPr>
            </w:pPr>
            <w:r>
              <w:rPr>
                <w:rFonts w:ascii="Arial Narrow"/>
                <w:spacing w:val="-1"/>
                <w:sz w:val="24"/>
              </w:rPr>
              <w:t>2,000,000.00</w:t>
            </w:r>
          </w:p>
        </w:tc>
      </w:tr>
      <w:tr>
        <w:trPr>
          <w:trHeight w:val="373"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329" w:lineRule="exact"/>
              <w:ind w:left="14" w:right="0"/>
              <w:jc w:val="left"/>
              <w:rPr>
                <w:rFonts w:ascii="宋体" w:hAnsi="宋体" w:cs="宋体" w:eastAsia="宋体" w:hint="default"/>
                <w:sz w:val="24"/>
                <w:szCs w:val="24"/>
              </w:rPr>
            </w:pPr>
            <w:r>
              <w:rPr>
                <w:rFonts w:ascii="宋体" w:hAnsi="宋体" w:cs="宋体" w:eastAsia="宋体" w:hint="default"/>
                <w:sz w:val="24"/>
                <w:szCs w:val="24"/>
              </w:rPr>
              <w:t>高精度无缝导航定位技术（</w:t>
            </w:r>
            <w:r>
              <w:rPr>
                <w:rFonts w:ascii="Arial Narrow" w:hAnsi="Arial Narrow" w:cs="Arial Narrow" w:eastAsia="Arial Narrow" w:hint="default"/>
                <w:sz w:val="24"/>
                <w:szCs w:val="24"/>
              </w:rPr>
              <w:t>863</w:t>
            </w:r>
            <w:r>
              <w:rPr>
                <w:rFonts w:ascii="Arial Narrow" w:hAnsi="Arial Narrow" w:cs="Arial Narrow" w:eastAsia="Arial Narrow" w:hint="default"/>
                <w:spacing w:val="6"/>
                <w:sz w:val="24"/>
                <w:szCs w:val="24"/>
              </w:rPr>
              <w:t> </w:t>
            </w:r>
            <w:r>
              <w:rPr>
                <w:rFonts w:ascii="宋体" w:hAnsi="宋体" w:cs="宋体" w:eastAsia="宋体" w:hint="default"/>
                <w:sz w:val="24"/>
                <w:szCs w:val="24"/>
              </w:rPr>
              <w:t>计划）</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Narrow" w:hAnsi="Arial Narrow" w:cs="Arial Narrow" w:eastAsia="Arial Narrow" w:hint="default"/>
                <w:sz w:val="24"/>
                <w:szCs w:val="24"/>
              </w:rPr>
            </w:pPr>
            <w:r>
              <w:rPr>
                <w:rFonts w:ascii="Arial Narrow"/>
                <w:spacing w:val="-1"/>
                <w:sz w:val="24"/>
              </w:rPr>
              <w:t>867,500.00</w:t>
            </w:r>
          </w:p>
        </w:tc>
      </w:tr>
      <w:tr>
        <w:trPr>
          <w:trHeight w:val="640"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312" w:lineRule="exact" w:before="6"/>
              <w:ind w:left="14" w:right="731"/>
              <w:jc w:val="left"/>
              <w:rPr>
                <w:rFonts w:ascii="宋体" w:hAnsi="宋体" w:cs="宋体" w:eastAsia="宋体" w:hint="default"/>
                <w:sz w:val="24"/>
                <w:szCs w:val="24"/>
              </w:rPr>
            </w:pPr>
            <w:r>
              <w:rPr>
                <w:rFonts w:ascii="宋体" w:hAnsi="宋体" w:cs="宋体" w:eastAsia="宋体" w:hint="default"/>
                <w:sz w:val="24"/>
                <w:szCs w:val="24"/>
              </w:rPr>
              <w:t>北京高技术创业服务中心 </w:t>
            </w:r>
            <w:r>
              <w:rPr>
                <w:rFonts w:ascii="Arial Narrow" w:hAnsi="Arial Narrow" w:cs="Arial Narrow" w:eastAsia="Arial Narrow" w:hint="default"/>
                <w:sz w:val="24"/>
                <w:szCs w:val="24"/>
              </w:rPr>
              <w:t>2009</w:t>
            </w:r>
            <w:r>
              <w:rPr>
                <w:rFonts w:ascii="Arial Narrow" w:hAnsi="Arial Narrow" w:cs="Arial Narrow" w:eastAsia="Arial Narrow" w:hint="default"/>
                <w:spacing w:val="15"/>
                <w:sz w:val="24"/>
                <w:szCs w:val="24"/>
              </w:rPr>
              <w:t> </w:t>
            </w:r>
            <w:r>
              <w:rPr>
                <w:rFonts w:ascii="宋体" w:hAnsi="宋体" w:cs="宋体" w:eastAsia="宋体" w:hint="default"/>
                <w:sz w:val="24"/>
                <w:szCs w:val="24"/>
              </w:rPr>
              <w:t>年度北京 科技奖企业创新专线</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7"/>
              <w:jc w:val="right"/>
              <w:rPr>
                <w:rFonts w:ascii="Arial Narrow" w:hAnsi="Arial Narrow" w:cs="Arial Narrow" w:eastAsia="Arial Narrow" w:hint="default"/>
                <w:sz w:val="24"/>
                <w:szCs w:val="24"/>
              </w:rPr>
            </w:pPr>
            <w:r>
              <w:rPr>
                <w:rFonts w:ascii="Arial Narrow"/>
                <w:spacing w:val="-1"/>
                <w:sz w:val="24"/>
              </w:rPr>
              <w:t>600,000.00</w:t>
            </w:r>
          </w:p>
        </w:tc>
      </w:tr>
      <w:tr>
        <w:trPr>
          <w:trHeight w:val="336"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78" w:lineRule="exact"/>
              <w:ind w:left="14" w:right="0"/>
              <w:jc w:val="left"/>
              <w:rPr>
                <w:rFonts w:ascii="宋体" w:hAnsi="宋体" w:cs="宋体" w:eastAsia="宋体" w:hint="default"/>
                <w:sz w:val="24"/>
                <w:szCs w:val="24"/>
              </w:rPr>
            </w:pPr>
            <w:r>
              <w:rPr>
                <w:rFonts w:ascii="宋体" w:hAnsi="宋体" w:cs="宋体" w:eastAsia="宋体" w:hint="default"/>
                <w:sz w:val="24"/>
                <w:szCs w:val="24"/>
              </w:rPr>
              <w:t>森林资源综合检测技术体系研究</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Arial Narrow" w:hAnsi="Arial Narrow" w:cs="Arial Narrow" w:eastAsia="Arial Narrow" w:hint="default"/>
                <w:sz w:val="24"/>
                <w:szCs w:val="24"/>
              </w:rPr>
            </w:pPr>
            <w:r>
              <w:rPr>
                <w:rFonts w:ascii="Arial Narrow"/>
                <w:spacing w:val="-1"/>
                <w:sz w:val="24"/>
              </w:rPr>
              <w:t>550,000.00</w:t>
            </w:r>
          </w:p>
        </w:tc>
      </w:tr>
      <w:tr>
        <w:trPr>
          <w:trHeight w:val="621"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312" w:lineRule="exact" w:before="9"/>
              <w:ind w:left="14" w:right="734"/>
              <w:jc w:val="left"/>
              <w:rPr>
                <w:rFonts w:ascii="宋体" w:hAnsi="宋体" w:cs="宋体" w:eastAsia="宋体" w:hint="default"/>
                <w:sz w:val="24"/>
                <w:szCs w:val="24"/>
              </w:rPr>
            </w:pPr>
            <w:r>
              <w:rPr>
                <w:rFonts w:ascii="宋体" w:hAnsi="宋体" w:cs="宋体" w:eastAsia="宋体" w:hint="default"/>
                <w:spacing w:val="-6"/>
                <w:sz w:val="24"/>
                <w:szCs w:val="24"/>
              </w:rPr>
              <w:t>新一代国土资源调查、管理与监测系统研</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发与产业化</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7"/>
              <w:jc w:val="right"/>
              <w:rPr>
                <w:rFonts w:ascii="Arial Narrow" w:hAnsi="Arial Narrow" w:cs="Arial Narrow" w:eastAsia="Arial Narrow" w:hint="default"/>
                <w:sz w:val="24"/>
                <w:szCs w:val="24"/>
              </w:rPr>
            </w:pPr>
            <w:r>
              <w:rPr>
                <w:rFonts w:ascii="Arial Narrow"/>
                <w:spacing w:val="-1"/>
                <w:sz w:val="24"/>
              </w:rPr>
              <w:t>498,000.00</w:t>
            </w:r>
          </w:p>
        </w:tc>
      </w:tr>
      <w:tr>
        <w:trPr>
          <w:trHeight w:val="332"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74" w:lineRule="exact"/>
              <w:ind w:left="14" w:right="0"/>
              <w:jc w:val="left"/>
              <w:rPr>
                <w:rFonts w:ascii="宋体" w:hAnsi="宋体" w:cs="宋体" w:eastAsia="宋体" w:hint="default"/>
                <w:sz w:val="24"/>
                <w:szCs w:val="24"/>
              </w:rPr>
            </w:pPr>
            <w:r>
              <w:rPr>
                <w:rFonts w:ascii="宋体" w:hAnsi="宋体" w:cs="宋体" w:eastAsia="宋体" w:hint="default"/>
                <w:sz w:val="24"/>
                <w:szCs w:val="24"/>
              </w:rPr>
              <w:t>古巴</w:t>
            </w:r>
            <w:r>
              <w:rPr>
                <w:rFonts w:ascii="宋体" w:hAnsi="宋体" w:cs="宋体" w:eastAsia="宋体" w:hint="default"/>
                <w:spacing w:val="-63"/>
                <w:sz w:val="24"/>
                <w:szCs w:val="24"/>
              </w:rPr>
              <w:t> </w:t>
            </w:r>
            <w:r>
              <w:rPr>
                <w:rFonts w:ascii="Arial Narrow" w:hAnsi="Arial Narrow" w:cs="Arial Narrow" w:eastAsia="Arial Narrow" w:hint="default"/>
                <w:sz w:val="24"/>
                <w:szCs w:val="24"/>
              </w:rPr>
              <w:t>GIS</w:t>
            </w:r>
            <w:r>
              <w:rPr>
                <w:rFonts w:ascii="Arial Narrow" w:hAnsi="Arial Narrow" w:cs="Arial Narrow" w:eastAsia="Arial Narrow" w:hint="default"/>
                <w:spacing w:val="4"/>
                <w:sz w:val="24"/>
                <w:szCs w:val="24"/>
              </w:rPr>
              <w:t> </w:t>
            </w:r>
            <w:r>
              <w:rPr>
                <w:rFonts w:ascii="宋体" w:hAnsi="宋体" w:cs="宋体" w:eastAsia="宋体" w:hint="default"/>
                <w:sz w:val="24"/>
                <w:szCs w:val="24"/>
              </w:rPr>
              <w:t>技术与山地资源研究</w:t>
            </w:r>
          </w:p>
        </w:tc>
        <w:tc>
          <w:tcPr>
            <w:tcW w:w="2414" w:type="dxa"/>
            <w:tcBorders>
              <w:top w:val="nil" w:sz="6" w:space="0" w:color="auto"/>
              <w:left w:val="nil" w:sz="6" w:space="0" w:color="auto"/>
              <w:bottom w:val="nil" w:sz="6" w:space="0" w:color="auto"/>
              <w:right w:val="nil" w:sz="6" w:space="0" w:color="auto"/>
            </w:tcBorders>
          </w:tcPr>
          <w:p>
            <w:pPr>
              <w:pStyle w:val="TableParagraph"/>
              <w:spacing w:line="269" w:lineRule="exact"/>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69" w:lineRule="exact"/>
              <w:ind w:right="27"/>
              <w:jc w:val="right"/>
              <w:rPr>
                <w:rFonts w:ascii="Arial Narrow" w:hAnsi="Arial Narrow" w:cs="Arial Narrow" w:eastAsia="Arial Narrow" w:hint="default"/>
                <w:sz w:val="24"/>
                <w:szCs w:val="24"/>
              </w:rPr>
            </w:pPr>
            <w:r>
              <w:rPr>
                <w:rFonts w:ascii="Arial Narrow"/>
                <w:spacing w:val="-1"/>
                <w:sz w:val="24"/>
              </w:rPr>
              <w:t>487,500.00</w:t>
            </w:r>
          </w:p>
        </w:tc>
      </w:tr>
      <w:tr>
        <w:trPr>
          <w:trHeight w:val="687"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312" w:lineRule="exact" w:before="21"/>
              <w:ind w:left="14" w:right="737"/>
              <w:jc w:val="left"/>
              <w:rPr>
                <w:rFonts w:ascii="宋体" w:hAnsi="宋体" w:cs="宋体" w:eastAsia="宋体" w:hint="default"/>
                <w:sz w:val="24"/>
                <w:szCs w:val="24"/>
              </w:rPr>
            </w:pPr>
            <w:r>
              <w:rPr>
                <w:rFonts w:ascii="宋体" w:hAnsi="宋体" w:cs="宋体" w:eastAsia="宋体" w:hint="default"/>
                <w:spacing w:val="2"/>
                <w:sz w:val="24"/>
                <w:szCs w:val="24"/>
              </w:rPr>
              <w:t>网格环境下异构 </w:t>
            </w:r>
            <w:r>
              <w:rPr>
                <w:rFonts w:ascii="Arial Narrow" w:hAnsi="Arial Narrow" w:cs="Arial Narrow" w:eastAsia="Arial Narrow" w:hint="default"/>
                <w:sz w:val="24"/>
                <w:szCs w:val="24"/>
              </w:rPr>
              <w:t>GIS</w:t>
            </w:r>
            <w:r>
              <w:rPr>
                <w:rFonts w:ascii="Arial Narrow" w:hAnsi="Arial Narrow" w:cs="Arial Narrow" w:eastAsia="Arial Narrow" w:hint="default"/>
                <w:spacing w:val="18"/>
                <w:sz w:val="24"/>
                <w:szCs w:val="24"/>
              </w:rPr>
              <w:t> </w:t>
            </w:r>
            <w:r>
              <w:rPr>
                <w:rFonts w:ascii="宋体" w:hAnsi="宋体" w:cs="宋体" w:eastAsia="宋体" w:hint="default"/>
                <w:spacing w:val="2"/>
                <w:sz w:val="24"/>
                <w:szCs w:val="24"/>
              </w:rPr>
              <w:t>数据互操作技术研</w:t>
            </w:r>
            <w:r>
              <w:rPr>
                <w:rFonts w:ascii="宋体" w:hAnsi="宋体" w:cs="宋体" w:eastAsia="宋体" w:hint="default"/>
                <w:sz w:val="24"/>
                <w:szCs w:val="24"/>
              </w:rPr>
              <w:t> 究与组件开发</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27"/>
              <w:jc w:val="right"/>
              <w:rPr>
                <w:rFonts w:ascii="Arial Narrow" w:hAnsi="Arial Narrow" w:cs="Arial Narrow" w:eastAsia="Arial Narrow" w:hint="default"/>
                <w:sz w:val="24"/>
                <w:szCs w:val="24"/>
              </w:rPr>
            </w:pPr>
            <w:r>
              <w:rPr>
                <w:rFonts w:ascii="Arial Narrow"/>
                <w:spacing w:val="-1"/>
                <w:sz w:val="24"/>
              </w:rPr>
              <w:t>423,000.00</w:t>
            </w:r>
          </w:p>
        </w:tc>
      </w:tr>
      <w:tr>
        <w:trPr>
          <w:trHeight w:val="369"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311" w:lineRule="exact"/>
              <w:ind w:left="14" w:right="0"/>
              <w:jc w:val="left"/>
              <w:rPr>
                <w:rFonts w:ascii="宋体" w:hAnsi="宋体" w:cs="宋体" w:eastAsia="宋体" w:hint="default"/>
                <w:sz w:val="24"/>
                <w:szCs w:val="24"/>
              </w:rPr>
            </w:pPr>
            <w:r>
              <w:rPr>
                <w:rFonts w:ascii="宋体" w:hAnsi="宋体" w:cs="宋体" w:eastAsia="宋体" w:hint="default"/>
                <w:sz w:val="24"/>
                <w:szCs w:val="24"/>
              </w:rPr>
              <w:t>中关村科技园区管理委员会专项补助</w:t>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426"/>
              <w:jc w:val="right"/>
              <w:rPr>
                <w:rFonts w:ascii="Arial Narrow" w:hAnsi="Arial Narrow" w:cs="Arial Narrow" w:eastAsia="Arial Narrow" w:hint="default"/>
                <w:sz w:val="24"/>
                <w:szCs w:val="24"/>
              </w:rPr>
            </w:pPr>
            <w:r>
              <w:rPr>
                <w:rFonts w:ascii="Arial Narrow"/>
                <w:sz w:val="24"/>
              </w:rPr>
              <w:t>-</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4"/>
                <w:szCs w:val="24"/>
              </w:rPr>
            </w:pPr>
            <w:r>
              <w:rPr>
                <w:rFonts w:ascii="Arial Narrow"/>
                <w:spacing w:val="-1"/>
                <w:sz w:val="24"/>
              </w:rPr>
              <w:t>125,000.00</w:t>
            </w:r>
          </w:p>
        </w:tc>
      </w:tr>
      <w:tr>
        <w:trPr>
          <w:trHeight w:val="627"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nil" w:sz="6" w:space="0" w:color="auto"/>
              <w:right w:val="nil" w:sz="6" w:space="0" w:color="auto"/>
            </w:tcBorders>
          </w:tcPr>
          <w:p>
            <w:pPr>
              <w:pStyle w:val="TableParagraph"/>
              <w:spacing w:line="291" w:lineRule="exact"/>
              <w:ind w:left="14" w:right="0"/>
              <w:jc w:val="left"/>
              <w:rPr>
                <w:rFonts w:ascii="宋体" w:hAnsi="宋体" w:cs="宋体" w:eastAsia="宋体" w:hint="default"/>
                <w:sz w:val="24"/>
                <w:szCs w:val="24"/>
              </w:rPr>
            </w:pPr>
            <w:r>
              <w:rPr>
                <w:rFonts w:ascii="宋体" w:hAnsi="宋体" w:cs="宋体" w:eastAsia="宋体" w:hint="default"/>
                <w:spacing w:val="-6"/>
                <w:sz w:val="24"/>
                <w:szCs w:val="24"/>
              </w:rPr>
              <w:t>其他一次性计入当期损益的各种补贴、奖</w:t>
            </w:r>
          </w:p>
          <w:p>
            <w:pPr>
              <w:pStyle w:val="TableParagraph"/>
              <w:tabs>
                <w:tab w:pos="9081" w:val="left" w:leader="none"/>
              </w:tabs>
              <w:spacing w:line="313" w:lineRule="exact"/>
              <w:ind w:left="14" w:right="-4102"/>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0"/>
                <w:sz w:val="24"/>
                <w:szCs w:val="24"/>
                <w:u w:val="single" w:color="000000"/>
              </w:rPr>
              <w:t> </w:t>
            </w:r>
            <w:r>
              <w:rPr>
                <w:rFonts w:ascii="宋体" w:hAnsi="宋体" w:cs="宋体" w:eastAsia="宋体" w:hint="default"/>
                <w:sz w:val="24"/>
                <w:szCs w:val="24"/>
                <w:u w:val="single" w:color="000000"/>
              </w:rPr>
              <w:t>励、扶持资金</w:t>
              <w:tab/>
            </w:r>
            <w:r>
              <w:rPr>
                <w:rFonts w:ascii="宋体" w:hAnsi="宋体" w:cs="宋体" w:eastAsia="宋体" w:hint="default"/>
                <w:sz w:val="24"/>
                <w:szCs w:val="24"/>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427"/>
              <w:jc w:val="right"/>
              <w:rPr>
                <w:rFonts w:ascii="Arial Narrow" w:hAnsi="Arial Narrow" w:cs="Arial Narrow" w:eastAsia="Arial Narrow" w:hint="default"/>
                <w:sz w:val="24"/>
                <w:szCs w:val="24"/>
              </w:rPr>
            </w:pPr>
            <w:r>
              <w:rPr>
                <w:rFonts w:ascii="Arial Narrow"/>
                <w:spacing w:val="-1"/>
                <w:sz w:val="24"/>
              </w:rPr>
              <w:t>290,194.55</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7"/>
              <w:jc w:val="right"/>
              <w:rPr>
                <w:rFonts w:ascii="Arial Narrow" w:hAnsi="Arial Narrow" w:cs="Arial Narrow" w:eastAsia="Arial Narrow" w:hint="default"/>
                <w:sz w:val="24"/>
                <w:szCs w:val="24"/>
              </w:rPr>
            </w:pPr>
            <w:r>
              <w:rPr>
                <w:rFonts w:ascii="Arial Narrow"/>
                <w:spacing w:val="-1"/>
                <w:sz w:val="24"/>
              </w:rPr>
              <w:t>404,285.70</w:t>
            </w:r>
          </w:p>
        </w:tc>
      </w:tr>
      <w:tr>
        <w:trPr>
          <w:trHeight w:val="347" w:hRule="exact"/>
        </w:trPr>
        <w:tc>
          <w:tcPr>
            <w:tcW w:w="386" w:type="dxa"/>
            <w:tcBorders>
              <w:top w:val="nil" w:sz="6" w:space="0" w:color="auto"/>
              <w:left w:val="nil" w:sz="6" w:space="0" w:color="auto"/>
              <w:bottom w:val="nil" w:sz="6" w:space="0" w:color="auto"/>
              <w:right w:val="nil" w:sz="6" w:space="0" w:color="auto"/>
            </w:tcBorders>
          </w:tcPr>
          <w:p>
            <w:pPr/>
          </w:p>
        </w:tc>
        <w:tc>
          <w:tcPr>
            <w:tcW w:w="4979" w:type="dxa"/>
            <w:tcBorders>
              <w:top w:val="nil" w:sz="6" w:space="0" w:color="auto"/>
              <w:left w:val="nil" w:sz="6" w:space="0" w:color="auto"/>
              <w:bottom w:val="single" w:sz="8" w:space="0" w:color="000000"/>
              <w:right w:val="nil" w:sz="6" w:space="0" w:color="auto"/>
            </w:tcBorders>
          </w:tcPr>
          <w:p>
            <w:pPr>
              <w:pStyle w:val="TableParagraph"/>
              <w:spacing w:line="263" w:lineRule="exact"/>
              <w:ind w:left="14"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41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425"/>
              <w:jc w:val="right"/>
              <w:rPr>
                <w:rFonts w:ascii="Arial Narrow" w:hAnsi="Arial Narrow" w:cs="Arial Narrow" w:eastAsia="Arial Narrow" w:hint="default"/>
                <w:sz w:val="24"/>
                <w:szCs w:val="24"/>
              </w:rPr>
            </w:pPr>
            <w:r>
              <w:rPr>
                <w:rFonts w:ascii="Arial Narrow"/>
                <w:b/>
                <w:spacing w:val="-1"/>
                <w:sz w:val="24"/>
              </w:rPr>
              <w:t>13,615,056.18</w:t>
            </w:r>
            <w:r>
              <w:rPr>
                <w:rFonts w:ascii="Arial Narrow"/>
                <w:spacing w:val="-1"/>
                <w:sz w:val="24"/>
              </w:rPr>
            </w:r>
          </w:p>
        </w:tc>
        <w:tc>
          <w:tcPr>
            <w:tcW w:w="1716"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27"/>
              <w:jc w:val="right"/>
              <w:rPr>
                <w:rFonts w:ascii="Arial Narrow" w:hAnsi="Arial Narrow" w:cs="Arial Narrow" w:eastAsia="Arial Narrow" w:hint="default"/>
                <w:sz w:val="24"/>
                <w:szCs w:val="24"/>
              </w:rPr>
            </w:pPr>
            <w:r>
              <w:rPr>
                <w:rFonts w:ascii="Arial Narrow"/>
                <w:b/>
                <w:spacing w:val="-1"/>
                <w:sz w:val="24"/>
              </w:rPr>
              <w:t>20,437,615.29</w:t>
            </w:r>
            <w:r>
              <w:rPr>
                <w:rFonts w:ascii="Arial Narrow"/>
                <w:spacing w:val="-1"/>
                <w:sz w:val="24"/>
              </w:rPr>
            </w:r>
          </w:p>
        </w:tc>
      </w:tr>
    </w:tbl>
    <w:p>
      <w:pPr>
        <w:pStyle w:val="BodyText"/>
        <w:spacing w:line="240" w:lineRule="auto" w:before="79"/>
        <w:ind w:left="102" w:right="0"/>
        <w:jc w:val="left"/>
      </w:pPr>
      <w:r>
        <w:rPr>
          <w:rFonts w:ascii="Arial Narrow" w:hAnsi="Arial Narrow" w:cs="Arial Narrow" w:eastAsia="Arial Narrow" w:hint="default"/>
        </w:rPr>
        <w:t>41</w:t>
      </w:r>
      <w:r>
        <w:rPr/>
        <w:t>、营业外支出</w:t>
      </w:r>
    </w:p>
    <w:p>
      <w:pPr>
        <w:spacing w:line="240" w:lineRule="auto" w:before="2"/>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3383"/>
        <w:gridCol w:w="2144"/>
        <w:gridCol w:w="1672"/>
        <w:gridCol w:w="1981"/>
      </w:tblGrid>
      <w:tr>
        <w:trPr>
          <w:trHeight w:val="737" w:hRule="exact"/>
        </w:trPr>
        <w:tc>
          <w:tcPr>
            <w:tcW w:w="3383" w:type="dxa"/>
            <w:tcBorders>
              <w:top w:val="single" w:sz="8" w:space="0" w:color="000000"/>
              <w:left w:val="nil" w:sz="6" w:space="0" w:color="auto"/>
              <w:bottom w:val="single" w:sz="4" w:space="0" w:color="000000"/>
              <w:right w:val="nil" w:sz="6" w:space="0" w:color="auto"/>
            </w:tcBorders>
          </w:tcPr>
          <w:p>
            <w:pPr>
              <w:pStyle w:val="TableParagraph"/>
              <w:tabs>
                <w:tab w:pos="585" w:val="left" w:leader="none"/>
              </w:tabs>
              <w:spacing w:line="240" w:lineRule="auto" w:before="166"/>
              <w:ind w:left="103"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144" w:type="dxa"/>
            <w:tcBorders>
              <w:top w:val="single" w:sz="8" w:space="0" w:color="000000"/>
              <w:left w:val="nil" w:sz="6" w:space="0" w:color="auto"/>
              <w:bottom w:val="single" w:sz="4" w:space="0" w:color="000000"/>
              <w:right w:val="nil" w:sz="6" w:space="0" w:color="auto"/>
            </w:tcBorders>
          </w:tcPr>
          <w:p>
            <w:pPr>
              <w:pStyle w:val="TableParagraph"/>
              <w:spacing w:line="240" w:lineRule="auto" w:before="166"/>
              <w:ind w:right="415"/>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672" w:type="dxa"/>
            <w:tcBorders>
              <w:top w:val="single" w:sz="8" w:space="0" w:color="000000"/>
              <w:left w:val="nil" w:sz="6" w:space="0" w:color="auto"/>
              <w:bottom w:val="single" w:sz="4" w:space="0" w:color="000000"/>
              <w:right w:val="nil" w:sz="6" w:space="0" w:color="auto"/>
            </w:tcBorders>
          </w:tcPr>
          <w:p>
            <w:pPr>
              <w:pStyle w:val="TableParagraph"/>
              <w:spacing w:line="240" w:lineRule="auto" w:before="166"/>
              <w:ind w:right="51"/>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c>
          <w:tcPr>
            <w:tcW w:w="1981" w:type="dxa"/>
            <w:tcBorders>
              <w:top w:val="single" w:sz="8" w:space="0" w:color="000000"/>
              <w:left w:val="nil" w:sz="6" w:space="0" w:color="auto"/>
              <w:bottom w:val="single" w:sz="4" w:space="0" w:color="000000"/>
              <w:right w:val="nil" w:sz="6" w:space="0" w:color="auto"/>
            </w:tcBorders>
          </w:tcPr>
          <w:p>
            <w:pPr>
              <w:pStyle w:val="TableParagraph"/>
              <w:spacing w:line="312" w:lineRule="exact" w:before="10"/>
              <w:ind w:left="52" w:right="0"/>
              <w:jc w:val="left"/>
              <w:rPr>
                <w:rFonts w:ascii="宋体" w:hAnsi="宋体" w:cs="宋体" w:eastAsia="宋体" w:hint="default"/>
                <w:sz w:val="24"/>
                <w:szCs w:val="24"/>
              </w:rPr>
            </w:pPr>
            <w:r>
              <w:rPr>
                <w:rFonts w:ascii="宋体" w:hAnsi="宋体" w:cs="宋体" w:eastAsia="宋体" w:hint="default"/>
                <w:b/>
                <w:bCs/>
                <w:sz w:val="24"/>
                <w:szCs w:val="24"/>
              </w:rPr>
              <w:t>计入当期非经常性</w:t>
            </w:r>
            <w:r>
              <w:rPr>
                <w:rFonts w:ascii="宋体" w:hAnsi="宋体" w:cs="宋体" w:eastAsia="宋体" w:hint="default"/>
                <w:sz w:val="24"/>
                <w:szCs w:val="24"/>
              </w:rPr>
            </w:r>
          </w:p>
          <w:p>
            <w:pPr>
              <w:pStyle w:val="TableParagraph"/>
              <w:spacing w:line="312" w:lineRule="exact"/>
              <w:ind w:left="775" w:right="0"/>
              <w:jc w:val="left"/>
              <w:rPr>
                <w:rFonts w:ascii="宋体" w:hAnsi="宋体" w:cs="宋体" w:eastAsia="宋体" w:hint="default"/>
                <w:sz w:val="24"/>
                <w:szCs w:val="24"/>
              </w:rPr>
            </w:pPr>
            <w:r>
              <w:rPr>
                <w:rFonts w:ascii="宋体" w:hAnsi="宋体" w:cs="宋体" w:eastAsia="宋体" w:hint="default"/>
                <w:b/>
                <w:bCs/>
                <w:sz w:val="24"/>
                <w:szCs w:val="24"/>
              </w:rPr>
              <w:t>损益的金额</w:t>
            </w:r>
            <w:r>
              <w:rPr>
                <w:rFonts w:ascii="宋体" w:hAnsi="宋体" w:cs="宋体" w:eastAsia="宋体" w:hint="default"/>
                <w:sz w:val="24"/>
                <w:szCs w:val="24"/>
              </w:rPr>
            </w:r>
          </w:p>
        </w:tc>
      </w:tr>
      <w:tr>
        <w:trPr>
          <w:trHeight w:val="411" w:hRule="exact"/>
        </w:trPr>
        <w:tc>
          <w:tcPr>
            <w:tcW w:w="3383" w:type="dxa"/>
            <w:tcBorders>
              <w:top w:val="single" w:sz="4" w:space="0" w:color="000000"/>
              <w:left w:val="nil" w:sz="6" w:space="0" w:color="auto"/>
              <w:bottom w:val="nil" w:sz="6" w:space="0" w:color="auto"/>
              <w:right w:val="nil" w:sz="6" w:space="0" w:color="auto"/>
            </w:tcBorders>
          </w:tcPr>
          <w:p>
            <w:pPr>
              <w:pStyle w:val="TableParagraph"/>
              <w:spacing w:line="240" w:lineRule="auto" w:before="5"/>
              <w:ind w:left="103" w:right="0"/>
              <w:jc w:val="left"/>
              <w:rPr>
                <w:rFonts w:ascii="宋体" w:hAnsi="宋体" w:cs="宋体" w:eastAsia="宋体" w:hint="default"/>
                <w:sz w:val="24"/>
                <w:szCs w:val="24"/>
              </w:rPr>
            </w:pPr>
            <w:r>
              <w:rPr>
                <w:rFonts w:ascii="宋体" w:hAnsi="宋体" w:cs="宋体" w:eastAsia="宋体" w:hint="default"/>
                <w:sz w:val="24"/>
                <w:szCs w:val="24"/>
              </w:rPr>
              <w:t>非流动资产处置损失合计</w:t>
            </w:r>
          </w:p>
        </w:tc>
        <w:tc>
          <w:tcPr>
            <w:tcW w:w="2144"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412"/>
              <w:jc w:val="right"/>
              <w:rPr>
                <w:rFonts w:ascii="Arial Narrow" w:hAnsi="Arial Narrow" w:cs="Arial Narrow" w:eastAsia="Arial Narrow" w:hint="default"/>
                <w:sz w:val="24"/>
                <w:szCs w:val="24"/>
              </w:rPr>
            </w:pPr>
            <w:r>
              <w:rPr>
                <w:rFonts w:ascii="Arial Narrow"/>
                <w:spacing w:val="-1"/>
                <w:sz w:val="24"/>
              </w:rPr>
              <w:t>423,261.20</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51"/>
              <w:jc w:val="right"/>
              <w:rPr>
                <w:rFonts w:ascii="Arial Narrow" w:hAnsi="Arial Narrow" w:cs="Arial Narrow" w:eastAsia="Arial Narrow" w:hint="default"/>
                <w:sz w:val="24"/>
                <w:szCs w:val="24"/>
              </w:rPr>
            </w:pPr>
            <w:r>
              <w:rPr>
                <w:rFonts w:ascii="Arial Narrow"/>
                <w:spacing w:val="-1"/>
                <w:sz w:val="24"/>
              </w:rPr>
              <w:t>56,644.32</w:t>
            </w:r>
          </w:p>
        </w:tc>
        <w:tc>
          <w:tcPr>
            <w:tcW w:w="1981"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right="0"/>
              <w:jc w:val="right"/>
              <w:rPr>
                <w:rFonts w:ascii="Arial Narrow" w:hAnsi="Arial Narrow" w:cs="Arial Narrow" w:eastAsia="Arial Narrow" w:hint="default"/>
                <w:sz w:val="24"/>
                <w:szCs w:val="24"/>
              </w:rPr>
            </w:pPr>
            <w:r>
              <w:rPr>
                <w:rFonts w:ascii="Arial Narrow"/>
                <w:spacing w:val="-1"/>
                <w:sz w:val="24"/>
              </w:rPr>
              <w:t>423,261.20</w:t>
            </w:r>
          </w:p>
        </w:tc>
      </w:tr>
      <w:tr>
        <w:trPr>
          <w:trHeight w:val="406" w:hRule="exact"/>
        </w:trPr>
        <w:tc>
          <w:tcPr>
            <w:tcW w:w="33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220" w:right="0"/>
              <w:jc w:val="left"/>
              <w:rPr>
                <w:rFonts w:ascii="宋体" w:hAnsi="宋体" w:cs="宋体" w:eastAsia="宋体" w:hint="default"/>
                <w:sz w:val="24"/>
                <w:szCs w:val="24"/>
              </w:rPr>
            </w:pPr>
            <w:r>
              <w:rPr>
                <w:rFonts w:ascii="宋体" w:hAnsi="宋体" w:cs="宋体" w:eastAsia="宋体" w:hint="default"/>
                <w:sz w:val="24"/>
                <w:szCs w:val="24"/>
              </w:rPr>
              <w:t>其中：固定资产处置损失</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2"/>
              <w:jc w:val="right"/>
              <w:rPr>
                <w:rFonts w:ascii="Arial Narrow" w:hAnsi="Arial Narrow" w:cs="Arial Narrow" w:eastAsia="Arial Narrow" w:hint="default"/>
                <w:sz w:val="24"/>
                <w:szCs w:val="24"/>
              </w:rPr>
            </w:pPr>
            <w:r>
              <w:rPr>
                <w:rFonts w:ascii="Arial Narrow"/>
                <w:spacing w:val="-1"/>
                <w:sz w:val="24"/>
              </w:rPr>
              <w:t>423,261.20</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1"/>
              <w:jc w:val="right"/>
              <w:rPr>
                <w:rFonts w:ascii="Arial Narrow" w:hAnsi="Arial Narrow" w:cs="Arial Narrow" w:eastAsia="Arial Narrow" w:hint="default"/>
                <w:sz w:val="24"/>
                <w:szCs w:val="24"/>
              </w:rPr>
            </w:pPr>
            <w:r>
              <w:rPr>
                <w:rFonts w:ascii="Arial Narrow"/>
                <w:spacing w:val="-1"/>
                <w:sz w:val="24"/>
              </w:rPr>
              <w:t>56,644.32</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Arial Narrow" w:hAnsi="Arial Narrow" w:cs="Arial Narrow" w:eastAsia="Arial Narrow" w:hint="default"/>
                <w:sz w:val="24"/>
                <w:szCs w:val="24"/>
              </w:rPr>
            </w:pPr>
            <w:r>
              <w:rPr>
                <w:rFonts w:ascii="Arial Narrow"/>
                <w:spacing w:val="-1"/>
                <w:sz w:val="24"/>
              </w:rPr>
              <w:t>423,261.20</w:t>
            </w:r>
          </w:p>
        </w:tc>
      </w:tr>
      <w:tr>
        <w:trPr>
          <w:trHeight w:val="407" w:hRule="exact"/>
        </w:trPr>
        <w:tc>
          <w:tcPr>
            <w:tcW w:w="338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14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11"/>
              <w:jc w:val="right"/>
              <w:rPr>
                <w:rFonts w:ascii="Arial Narrow" w:hAnsi="Arial Narrow" w:cs="Arial Narrow" w:eastAsia="Arial Narrow" w:hint="default"/>
                <w:sz w:val="24"/>
                <w:szCs w:val="24"/>
              </w:rPr>
            </w:pPr>
            <w:r>
              <w:rPr>
                <w:rFonts w:ascii="Arial Narrow"/>
                <w:spacing w:val="-1"/>
                <w:sz w:val="24"/>
              </w:rPr>
              <w:t>9,827.37</w:t>
            </w:r>
          </w:p>
        </w:tc>
        <w:tc>
          <w:tcPr>
            <w:tcW w:w="167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0"/>
              <w:jc w:val="right"/>
              <w:rPr>
                <w:rFonts w:ascii="Arial Narrow" w:hAnsi="Arial Narrow" w:cs="Arial Narrow" w:eastAsia="Arial Narrow" w:hint="default"/>
                <w:sz w:val="24"/>
                <w:szCs w:val="24"/>
              </w:rPr>
            </w:pPr>
            <w:r>
              <w:rPr>
                <w:rFonts w:ascii="Arial Narrow"/>
                <w:spacing w:val="-1"/>
                <w:sz w:val="24"/>
              </w:rPr>
              <w:t>5,506.97</w:t>
            </w:r>
          </w:p>
        </w:tc>
        <w:tc>
          <w:tcPr>
            <w:tcW w:w="198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9,827.37</w:t>
            </w:r>
          </w:p>
        </w:tc>
      </w:tr>
    </w:tbl>
    <w:p>
      <w:pPr>
        <w:spacing w:after="0" w:line="240" w:lineRule="auto"/>
        <w:jc w:val="right"/>
        <w:rPr>
          <w:rFonts w:ascii="Arial Narrow" w:hAnsi="Arial Narrow" w:cs="Arial Narrow" w:eastAsia="Arial Narrow" w:hint="default"/>
          <w:sz w:val="24"/>
          <w:szCs w:val="24"/>
        </w:rPr>
        <w:sectPr>
          <w:pgSz w:w="11900" w:h="16850"/>
          <w:pgMar w:header="0" w:footer="919" w:top="1640" w:bottom="1100" w:left="1180" w:right="1000"/>
        </w:sectPr>
      </w:pPr>
    </w:p>
    <w:p>
      <w:pPr>
        <w:spacing w:line="240" w:lineRule="auto" w:before="3"/>
        <w:rPr>
          <w:rFonts w:ascii="宋体" w:hAnsi="宋体" w:cs="宋体" w:eastAsia="宋体" w:hint="default"/>
          <w:sz w:val="5"/>
          <w:szCs w:val="5"/>
        </w:rPr>
      </w:pPr>
    </w:p>
    <w:tbl>
      <w:tblPr>
        <w:tblW w:w="0" w:type="auto"/>
        <w:jc w:val="left"/>
        <w:tblInd w:w="456" w:type="dxa"/>
        <w:tblLayout w:type="fixed"/>
        <w:tblCellMar>
          <w:top w:w="0" w:type="dxa"/>
          <w:left w:w="0" w:type="dxa"/>
          <w:bottom w:w="0" w:type="dxa"/>
          <w:right w:w="0" w:type="dxa"/>
        </w:tblCellMar>
        <w:tblLook w:val="01E0"/>
      </w:tblPr>
      <w:tblGrid>
        <w:gridCol w:w="2477"/>
        <w:gridCol w:w="3214"/>
        <w:gridCol w:w="1979"/>
        <w:gridCol w:w="1509"/>
      </w:tblGrid>
      <w:tr>
        <w:trPr>
          <w:trHeight w:val="521" w:hRule="exact"/>
        </w:trPr>
        <w:tc>
          <w:tcPr>
            <w:tcW w:w="2477" w:type="dxa"/>
            <w:tcBorders>
              <w:top w:val="single" w:sz="4" w:space="0" w:color="000000"/>
              <w:left w:val="nil" w:sz="6" w:space="0" w:color="auto"/>
              <w:bottom w:val="single" w:sz="8" w:space="0" w:color="000000"/>
              <w:right w:val="nil" w:sz="6" w:space="0" w:color="auto"/>
            </w:tcBorders>
          </w:tcPr>
          <w:p>
            <w:pPr>
              <w:pStyle w:val="TableParagraph"/>
              <w:tabs>
                <w:tab w:pos="585" w:val="left" w:leader="none"/>
              </w:tabs>
              <w:spacing w:line="240" w:lineRule="auto" w:before="7"/>
              <w:ind w:left="103"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214"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left="1651" w:right="0"/>
              <w:jc w:val="left"/>
              <w:rPr>
                <w:rFonts w:ascii="Arial Narrow" w:hAnsi="Arial Narrow" w:cs="Arial Narrow" w:eastAsia="Arial Narrow" w:hint="default"/>
                <w:sz w:val="24"/>
                <w:szCs w:val="24"/>
              </w:rPr>
            </w:pPr>
            <w:r>
              <w:rPr>
                <w:rFonts w:ascii="Arial Narrow"/>
                <w:b/>
                <w:sz w:val="24"/>
              </w:rPr>
              <w:t>433,088.57</w:t>
            </w:r>
            <w:r>
              <w:rPr>
                <w:rFonts w:ascii="Arial Narrow"/>
                <w:sz w:val="24"/>
              </w:rPr>
            </w:r>
          </w:p>
        </w:tc>
        <w:tc>
          <w:tcPr>
            <w:tcW w:w="1979"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left="578" w:right="0"/>
              <w:jc w:val="left"/>
              <w:rPr>
                <w:rFonts w:ascii="Arial Narrow" w:hAnsi="Arial Narrow" w:cs="Arial Narrow" w:eastAsia="Arial Narrow" w:hint="default"/>
                <w:sz w:val="24"/>
                <w:szCs w:val="24"/>
              </w:rPr>
            </w:pPr>
            <w:r>
              <w:rPr>
                <w:rFonts w:ascii="Arial Narrow"/>
                <w:b/>
                <w:sz w:val="24"/>
              </w:rPr>
              <w:t>62,151.29</w:t>
            </w:r>
            <w:r>
              <w:rPr>
                <w:rFonts w:ascii="Arial Narrow"/>
                <w:sz w:val="24"/>
              </w:rPr>
            </w:r>
          </w:p>
        </w:tc>
        <w:tc>
          <w:tcPr>
            <w:tcW w:w="1509"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left="524" w:right="0"/>
              <w:jc w:val="left"/>
              <w:rPr>
                <w:rFonts w:ascii="Arial Narrow" w:hAnsi="Arial Narrow" w:cs="Arial Narrow" w:eastAsia="Arial Narrow" w:hint="default"/>
                <w:sz w:val="24"/>
                <w:szCs w:val="24"/>
              </w:rPr>
            </w:pPr>
            <w:r>
              <w:rPr>
                <w:rFonts w:ascii="Arial Narrow"/>
                <w:b/>
                <w:spacing w:val="-1"/>
                <w:sz w:val="24"/>
              </w:rPr>
              <w:t>433,088.57</w:t>
            </w:r>
            <w:r>
              <w:rPr>
                <w:rFonts w:ascii="Arial Narrow"/>
                <w:spacing w:val="-1"/>
                <w:sz w:val="24"/>
              </w:rPr>
            </w:r>
          </w:p>
        </w:tc>
      </w:tr>
    </w:tbl>
    <w:p>
      <w:pPr>
        <w:pStyle w:val="BodyText"/>
        <w:spacing w:line="240" w:lineRule="auto" w:before="79"/>
        <w:ind w:left="142" w:right="4177"/>
        <w:jc w:val="left"/>
      </w:pPr>
      <w:r>
        <w:rPr/>
        <w:pict>
          <v:group style="position:absolute;margin-left:62.664001pt;margin-top:-26.554358pt;width:477.25pt;height:.1pt;mso-position-horizontal-relative:page;mso-position-vertical-relative:paragraph;z-index:-764536" coordorigin="1253,-531" coordsize="9545,2">
            <v:shape style="position:absolute;left:1253;top:-531;width:9545;height:2" coordorigin="1253,-531" coordsize="9545,0" path="m1253,-531l10798,-531e" filled="false" stroked="true" strokeweight=".72pt" strokecolor="#000000">
              <v:path arrowok="t"/>
            </v:shape>
            <w10:wrap type="none"/>
          </v:group>
        </w:pict>
      </w:r>
      <w:r>
        <w:rPr>
          <w:rFonts w:ascii="Arial Narrow" w:hAnsi="Arial Narrow" w:cs="Arial Narrow" w:eastAsia="Arial Narrow" w:hint="default"/>
        </w:rPr>
        <w:t>42</w:t>
      </w:r>
      <w:r>
        <w:rPr/>
        <w:t>、所得税费用</w:t>
      </w:r>
    </w:p>
    <w:p>
      <w:pPr>
        <w:pStyle w:val="BodyText"/>
        <w:spacing w:line="240" w:lineRule="auto" w:before="197"/>
        <w:ind w:left="559" w:right="4177"/>
        <w:jc w:val="left"/>
      </w:pPr>
      <w:r>
        <w:rPr/>
        <w:t>（</w:t>
      </w:r>
      <w:r>
        <w:rPr>
          <w:rFonts w:ascii="Arial Narrow" w:hAnsi="Arial Narrow" w:cs="Arial Narrow" w:eastAsia="Arial Narrow" w:hint="default"/>
        </w:rPr>
        <w:t>1</w:t>
      </w:r>
      <w:r>
        <w:rPr/>
        <w:t>）所得税费用明细</w:t>
      </w:r>
    </w:p>
    <w:p>
      <w:pPr>
        <w:spacing w:line="240" w:lineRule="auto" w:before="13"/>
        <w:rPr>
          <w:rFonts w:ascii="宋体" w:hAnsi="宋体" w:cs="宋体" w:eastAsia="宋体" w:hint="default"/>
          <w:sz w:val="17"/>
          <w:szCs w:val="17"/>
        </w:rPr>
      </w:pPr>
    </w:p>
    <w:tbl>
      <w:tblPr>
        <w:tblW w:w="0" w:type="auto"/>
        <w:jc w:val="left"/>
        <w:tblInd w:w="456" w:type="dxa"/>
        <w:tblLayout w:type="fixed"/>
        <w:tblCellMar>
          <w:top w:w="0" w:type="dxa"/>
          <w:left w:w="0" w:type="dxa"/>
          <w:bottom w:w="0" w:type="dxa"/>
          <w:right w:w="0" w:type="dxa"/>
        </w:tblCellMar>
        <w:tblLook w:val="01E0"/>
      </w:tblPr>
      <w:tblGrid>
        <w:gridCol w:w="4692"/>
        <w:gridCol w:w="2654"/>
        <w:gridCol w:w="1895"/>
      </w:tblGrid>
      <w:tr>
        <w:trPr>
          <w:trHeight w:val="394" w:hRule="exact"/>
        </w:trPr>
        <w:tc>
          <w:tcPr>
            <w:tcW w:w="4692" w:type="dxa"/>
            <w:tcBorders>
              <w:top w:val="single" w:sz="8" w:space="0" w:color="000000"/>
              <w:left w:val="nil" w:sz="6" w:space="0" w:color="auto"/>
              <w:bottom w:val="single" w:sz="4" w:space="0" w:color="000000"/>
              <w:right w:val="nil" w:sz="6" w:space="0" w:color="auto"/>
            </w:tcBorders>
          </w:tcPr>
          <w:p>
            <w:pPr>
              <w:pStyle w:val="TableParagraph"/>
              <w:tabs>
                <w:tab w:pos="585" w:val="left" w:leader="none"/>
              </w:tabs>
              <w:spacing w:line="307" w:lineRule="exact"/>
              <w:ind w:left="103"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654" w:type="dxa"/>
            <w:tcBorders>
              <w:top w:val="single" w:sz="8" w:space="0" w:color="000000"/>
              <w:left w:val="nil" w:sz="6" w:space="0" w:color="auto"/>
              <w:bottom w:val="single" w:sz="4" w:space="0" w:color="000000"/>
              <w:right w:val="nil" w:sz="6" w:space="0" w:color="auto"/>
            </w:tcBorders>
          </w:tcPr>
          <w:p>
            <w:pPr>
              <w:pStyle w:val="TableParagraph"/>
              <w:spacing w:line="307" w:lineRule="exact"/>
              <w:ind w:left="63" w:right="0"/>
              <w:jc w:val="center"/>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895"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0"/>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5" w:hRule="exact"/>
        </w:trPr>
        <w:tc>
          <w:tcPr>
            <w:tcW w:w="4692" w:type="dxa"/>
            <w:tcBorders>
              <w:top w:val="single" w:sz="4" w:space="0" w:color="000000"/>
              <w:left w:val="nil" w:sz="6" w:space="0" w:color="auto"/>
              <w:bottom w:val="nil" w:sz="6" w:space="0" w:color="auto"/>
              <w:right w:val="nil" w:sz="6" w:space="0" w:color="auto"/>
            </w:tcBorders>
          </w:tcPr>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按税法及相关规定计算的当期所得税</w:t>
            </w:r>
          </w:p>
        </w:tc>
        <w:tc>
          <w:tcPr>
            <w:tcW w:w="265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23" w:right="0"/>
              <w:jc w:val="center"/>
              <w:rPr>
                <w:rFonts w:ascii="Arial Narrow" w:hAnsi="Arial Narrow" w:cs="Arial Narrow" w:eastAsia="Arial Narrow" w:hint="default"/>
                <w:sz w:val="24"/>
                <w:szCs w:val="24"/>
              </w:rPr>
            </w:pPr>
            <w:r>
              <w:rPr>
                <w:rFonts w:ascii="Arial Narrow"/>
                <w:sz w:val="24"/>
              </w:rPr>
              <w:t>8,163,139.27</w:t>
            </w:r>
          </w:p>
        </w:tc>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right"/>
              <w:rPr>
                <w:rFonts w:ascii="Arial Narrow" w:hAnsi="Arial Narrow" w:cs="Arial Narrow" w:eastAsia="Arial Narrow" w:hint="default"/>
                <w:sz w:val="24"/>
                <w:szCs w:val="24"/>
              </w:rPr>
            </w:pPr>
            <w:r>
              <w:rPr>
                <w:rFonts w:ascii="Arial Narrow"/>
                <w:spacing w:val="-1"/>
                <w:sz w:val="24"/>
              </w:rPr>
              <w:t>4,536,019.75</w:t>
            </w:r>
          </w:p>
        </w:tc>
      </w:tr>
      <w:tr>
        <w:trPr>
          <w:trHeight w:val="399" w:hRule="exact"/>
        </w:trPr>
        <w:tc>
          <w:tcPr>
            <w:tcW w:w="4692" w:type="dxa"/>
            <w:tcBorders>
              <w:top w:val="nil" w:sz="6" w:space="0" w:color="auto"/>
              <w:left w:val="nil" w:sz="6" w:space="0" w:color="auto"/>
              <w:bottom w:val="single" w:sz="4" w:space="0" w:color="000000"/>
              <w:right w:val="nil" w:sz="6" w:space="0" w:color="auto"/>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递延所得税调整</w:t>
            </w:r>
          </w:p>
        </w:tc>
        <w:tc>
          <w:tcPr>
            <w:tcW w:w="265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59" w:right="0"/>
              <w:jc w:val="center"/>
              <w:rPr>
                <w:rFonts w:ascii="Arial Narrow" w:hAnsi="Arial Narrow" w:cs="Arial Narrow" w:eastAsia="Arial Narrow" w:hint="default"/>
                <w:sz w:val="24"/>
                <w:szCs w:val="24"/>
              </w:rPr>
            </w:pPr>
            <w:r>
              <w:rPr>
                <w:rFonts w:ascii="Arial Narrow"/>
                <w:sz w:val="24"/>
              </w:rPr>
              <w:t>-1,541,258.44</w:t>
            </w:r>
          </w:p>
        </w:tc>
        <w:tc>
          <w:tcPr>
            <w:tcW w:w="189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pacing w:val="-1"/>
                <w:sz w:val="24"/>
              </w:rPr>
              <w:t>-922,031.29</w:t>
            </w:r>
          </w:p>
        </w:tc>
      </w:tr>
      <w:tr>
        <w:trPr>
          <w:trHeight w:val="401" w:hRule="exact"/>
        </w:trPr>
        <w:tc>
          <w:tcPr>
            <w:tcW w:w="4692" w:type="dxa"/>
            <w:tcBorders>
              <w:top w:val="single" w:sz="4" w:space="0" w:color="000000"/>
              <w:left w:val="nil" w:sz="6" w:space="0" w:color="auto"/>
              <w:bottom w:val="single" w:sz="8" w:space="0" w:color="000000"/>
              <w:right w:val="nil" w:sz="6" w:space="0" w:color="auto"/>
            </w:tcBorders>
          </w:tcPr>
          <w:p>
            <w:pPr>
              <w:pStyle w:val="TableParagraph"/>
              <w:tabs>
                <w:tab w:pos="585" w:val="left" w:leader="none"/>
              </w:tabs>
              <w:spacing w:line="313" w:lineRule="exact"/>
              <w:ind w:left="103"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654"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left="123" w:right="0"/>
              <w:jc w:val="center"/>
              <w:rPr>
                <w:rFonts w:ascii="Arial Narrow" w:hAnsi="Arial Narrow" w:cs="Arial Narrow" w:eastAsia="Arial Narrow" w:hint="default"/>
                <w:sz w:val="24"/>
                <w:szCs w:val="24"/>
              </w:rPr>
            </w:pPr>
            <w:r>
              <w:rPr>
                <w:rFonts w:ascii="Arial Narrow"/>
                <w:b/>
                <w:sz w:val="24"/>
              </w:rPr>
              <w:t>6,621,880.83</w:t>
            </w:r>
            <w:r>
              <w:rPr>
                <w:rFonts w:ascii="Arial Narrow"/>
                <w:sz w:val="24"/>
              </w:rPr>
            </w:r>
          </w:p>
        </w:tc>
        <w:tc>
          <w:tcPr>
            <w:tcW w:w="1895"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0"/>
              <w:jc w:val="right"/>
              <w:rPr>
                <w:rFonts w:ascii="Arial Narrow" w:hAnsi="Arial Narrow" w:cs="Arial Narrow" w:eastAsia="Arial Narrow" w:hint="default"/>
                <w:sz w:val="24"/>
                <w:szCs w:val="24"/>
              </w:rPr>
            </w:pPr>
            <w:r>
              <w:rPr>
                <w:rFonts w:ascii="Arial Narrow"/>
                <w:b/>
                <w:spacing w:val="-1"/>
                <w:sz w:val="24"/>
              </w:rPr>
              <w:t>3,613,988.46</w:t>
            </w:r>
            <w:r>
              <w:rPr>
                <w:rFonts w:ascii="Arial Narrow"/>
                <w:spacing w:val="-1"/>
                <w:sz w:val="24"/>
              </w:rPr>
            </w:r>
          </w:p>
        </w:tc>
      </w:tr>
    </w:tbl>
    <w:p>
      <w:pPr>
        <w:pStyle w:val="BodyText"/>
        <w:spacing w:line="240" w:lineRule="auto" w:before="79"/>
        <w:ind w:left="559" w:right="4177"/>
        <w:jc w:val="left"/>
      </w:pPr>
      <w:r>
        <w:rPr/>
        <w:t>（</w:t>
      </w:r>
      <w:r>
        <w:rPr>
          <w:rFonts w:ascii="Arial Narrow" w:hAnsi="Arial Narrow" w:cs="Arial Narrow" w:eastAsia="Arial Narrow" w:hint="default"/>
        </w:rPr>
        <w:t>2</w:t>
      </w:r>
      <w:r>
        <w:rPr/>
        <w:t>）所得税费用与利润总额的关系列示如下：</w:t>
      </w:r>
    </w:p>
    <w:p>
      <w:pPr>
        <w:spacing w:line="240" w:lineRule="auto" w:before="2"/>
        <w:rPr>
          <w:rFonts w:ascii="宋体" w:hAnsi="宋体" w:cs="宋体" w:eastAsia="宋体" w:hint="default"/>
          <w:sz w:val="18"/>
          <w:szCs w:val="18"/>
        </w:rPr>
      </w:pPr>
    </w:p>
    <w:tbl>
      <w:tblPr>
        <w:tblW w:w="0" w:type="auto"/>
        <w:jc w:val="left"/>
        <w:tblInd w:w="456" w:type="dxa"/>
        <w:tblLayout w:type="fixed"/>
        <w:tblCellMar>
          <w:top w:w="0" w:type="dxa"/>
          <w:left w:w="0" w:type="dxa"/>
          <w:bottom w:w="0" w:type="dxa"/>
          <w:right w:w="0" w:type="dxa"/>
        </w:tblCellMar>
        <w:tblLook w:val="01E0"/>
      </w:tblPr>
      <w:tblGrid>
        <w:gridCol w:w="5034"/>
        <w:gridCol w:w="2409"/>
        <w:gridCol w:w="1800"/>
      </w:tblGrid>
      <w:tr>
        <w:trPr>
          <w:trHeight w:val="394" w:hRule="exact"/>
        </w:trPr>
        <w:tc>
          <w:tcPr>
            <w:tcW w:w="5034" w:type="dxa"/>
            <w:tcBorders>
              <w:top w:val="single" w:sz="8" w:space="0" w:color="000000"/>
              <w:left w:val="nil" w:sz="6" w:space="0" w:color="auto"/>
              <w:bottom w:val="single" w:sz="4" w:space="0" w:color="000000"/>
              <w:right w:val="nil" w:sz="6" w:space="0" w:color="auto"/>
            </w:tcBorders>
          </w:tcPr>
          <w:p>
            <w:pPr>
              <w:pStyle w:val="TableParagraph"/>
              <w:tabs>
                <w:tab w:pos="587" w:val="left" w:leader="none"/>
              </w:tabs>
              <w:spacing w:line="307" w:lineRule="exact"/>
              <w:ind w:left="105"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40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540"/>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800"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475" w:hRule="exact"/>
        </w:trPr>
        <w:tc>
          <w:tcPr>
            <w:tcW w:w="5034" w:type="dxa"/>
            <w:tcBorders>
              <w:top w:val="single" w:sz="4" w:space="0" w:color="000000"/>
              <w:left w:val="nil" w:sz="6" w:space="0" w:color="auto"/>
              <w:bottom w:val="nil" w:sz="6" w:space="0" w:color="auto"/>
              <w:right w:val="nil" w:sz="6" w:space="0" w:color="auto"/>
            </w:tcBorders>
          </w:tcPr>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40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539"/>
              <w:jc w:val="right"/>
              <w:rPr>
                <w:rFonts w:ascii="Arial Narrow" w:hAnsi="Arial Narrow" w:cs="Arial Narrow" w:eastAsia="Arial Narrow" w:hint="default"/>
                <w:sz w:val="24"/>
                <w:szCs w:val="24"/>
              </w:rPr>
            </w:pPr>
            <w:r>
              <w:rPr>
                <w:rFonts w:ascii="Arial Narrow"/>
                <w:spacing w:val="-1"/>
                <w:sz w:val="24"/>
              </w:rPr>
              <w:t>53,895,296.27</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
              <w:jc w:val="right"/>
              <w:rPr>
                <w:rFonts w:ascii="Arial Narrow" w:hAnsi="Arial Narrow" w:cs="Arial Narrow" w:eastAsia="Arial Narrow" w:hint="default"/>
                <w:sz w:val="24"/>
                <w:szCs w:val="24"/>
              </w:rPr>
            </w:pPr>
            <w:r>
              <w:rPr>
                <w:rFonts w:ascii="Arial Narrow"/>
                <w:spacing w:val="-1"/>
                <w:sz w:val="24"/>
              </w:rPr>
              <w:t>48,557,693.89</w:t>
            </w:r>
          </w:p>
        </w:tc>
      </w:tr>
      <w:tr>
        <w:trPr>
          <w:trHeight w:val="554" w:hRule="exact"/>
        </w:trPr>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5" w:right="0"/>
              <w:jc w:val="left"/>
              <w:rPr>
                <w:rFonts w:ascii="宋体" w:hAnsi="宋体" w:cs="宋体" w:eastAsia="宋体" w:hint="default"/>
                <w:sz w:val="24"/>
                <w:szCs w:val="24"/>
              </w:rPr>
            </w:pPr>
            <w:r>
              <w:rPr>
                <w:rFonts w:ascii="宋体" w:hAnsi="宋体" w:cs="宋体" w:eastAsia="宋体" w:hint="default"/>
                <w:sz w:val="24"/>
                <w:szCs w:val="24"/>
              </w:rPr>
              <w:t>按法定（或适用）税率计算的所得税费用</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37"/>
              <w:jc w:val="right"/>
              <w:rPr>
                <w:rFonts w:ascii="Arial Narrow" w:hAnsi="Arial Narrow" w:cs="Arial Narrow" w:eastAsia="Arial Narrow" w:hint="default"/>
                <w:sz w:val="24"/>
                <w:szCs w:val="24"/>
              </w:rPr>
            </w:pPr>
            <w:r>
              <w:rPr>
                <w:rFonts w:ascii="Arial Narrow"/>
                <w:spacing w:val="-1"/>
                <w:sz w:val="24"/>
              </w:rPr>
              <w:t>8,084,294.44</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
              <w:jc w:val="right"/>
              <w:rPr>
                <w:rFonts w:ascii="Arial Narrow" w:hAnsi="Arial Narrow" w:cs="Arial Narrow" w:eastAsia="Arial Narrow" w:hint="default"/>
                <w:sz w:val="24"/>
                <w:szCs w:val="24"/>
              </w:rPr>
            </w:pPr>
            <w:r>
              <w:rPr>
                <w:rFonts w:ascii="Arial Narrow"/>
                <w:spacing w:val="-1"/>
                <w:sz w:val="24"/>
              </w:rPr>
              <w:t>4,855,769.39</w:t>
            </w:r>
          </w:p>
        </w:tc>
      </w:tr>
      <w:tr>
        <w:trPr>
          <w:trHeight w:val="475" w:hRule="exact"/>
        </w:trPr>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24"/>
                <w:szCs w:val="24"/>
              </w:rPr>
            </w:pPr>
            <w:r>
              <w:rPr>
                <w:rFonts w:ascii="宋体" w:hAnsi="宋体" w:cs="宋体" w:eastAsia="宋体" w:hint="default"/>
                <w:sz w:val="24"/>
                <w:szCs w:val="24"/>
              </w:rPr>
              <w:t>某些子公司适用不同税率的影响</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536"/>
              <w:jc w:val="right"/>
              <w:rPr>
                <w:rFonts w:ascii="Arial Narrow" w:hAnsi="Arial Narrow" w:cs="Arial Narrow" w:eastAsia="Arial Narrow" w:hint="default"/>
                <w:sz w:val="24"/>
                <w:szCs w:val="24"/>
              </w:rPr>
            </w:pPr>
            <w:r>
              <w:rPr>
                <w:rFonts w:ascii="Arial Narrow"/>
                <w:spacing w:val="-1"/>
                <w:sz w:val="24"/>
              </w:rPr>
              <w:t>679,871.42</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0"/>
              <w:jc w:val="right"/>
              <w:rPr>
                <w:rFonts w:ascii="Arial Narrow" w:hAnsi="Arial Narrow" w:cs="Arial Narrow" w:eastAsia="Arial Narrow" w:hint="default"/>
                <w:sz w:val="24"/>
                <w:szCs w:val="24"/>
              </w:rPr>
            </w:pPr>
            <w:r>
              <w:rPr>
                <w:rFonts w:ascii="Arial Narrow"/>
                <w:spacing w:val="-1"/>
                <w:sz w:val="24"/>
              </w:rPr>
              <w:t>-64,459.25</w:t>
            </w:r>
          </w:p>
        </w:tc>
      </w:tr>
      <w:tr>
        <w:trPr>
          <w:trHeight w:val="399" w:hRule="exact"/>
        </w:trPr>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归属于合营企业和联营企业的损益</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7"/>
              <w:jc w:val="right"/>
              <w:rPr>
                <w:rFonts w:ascii="Arial Narrow" w:hAnsi="Arial Narrow" w:cs="Arial Narrow" w:eastAsia="Arial Narrow" w:hint="default"/>
                <w:sz w:val="24"/>
                <w:szCs w:val="24"/>
              </w:rPr>
            </w:pPr>
            <w:r>
              <w:rPr>
                <w:rFonts w:ascii="Arial Narrow"/>
                <w:spacing w:val="-1"/>
                <w:sz w:val="24"/>
              </w:rPr>
              <w:t>-207,384.78</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Arial Narrow" w:hAnsi="Arial Narrow" w:cs="Arial Narrow" w:eastAsia="Arial Narrow" w:hint="default"/>
                <w:sz w:val="24"/>
                <w:szCs w:val="24"/>
              </w:rPr>
            </w:pPr>
            <w:r>
              <w:rPr>
                <w:rFonts w:ascii="Arial Narrow"/>
                <w:spacing w:val="-1"/>
                <w:sz w:val="24"/>
              </w:rPr>
              <w:t>-207,978.94</w:t>
            </w:r>
          </w:p>
        </w:tc>
      </w:tr>
      <w:tr>
        <w:trPr>
          <w:trHeight w:val="415" w:hRule="exact"/>
        </w:trPr>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不可抵扣的费用</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7"/>
              <w:jc w:val="right"/>
              <w:rPr>
                <w:rFonts w:ascii="Arial Narrow" w:hAnsi="Arial Narrow" w:cs="Arial Narrow" w:eastAsia="Arial Narrow" w:hint="default"/>
                <w:sz w:val="24"/>
                <w:szCs w:val="24"/>
              </w:rPr>
            </w:pPr>
            <w:r>
              <w:rPr>
                <w:rFonts w:ascii="Arial Narrow"/>
                <w:spacing w:val="-1"/>
                <w:sz w:val="24"/>
              </w:rPr>
              <w:t>1,612,006.04</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pacing w:val="-1"/>
                <w:sz w:val="24"/>
              </w:rPr>
              <w:t>327,517.12</w:t>
            </w:r>
          </w:p>
        </w:tc>
      </w:tr>
      <w:tr>
        <w:trPr>
          <w:trHeight w:val="455" w:hRule="exact"/>
        </w:trPr>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24"/>
                <w:szCs w:val="24"/>
              </w:rPr>
            </w:pPr>
            <w:r>
              <w:rPr>
                <w:rFonts w:ascii="宋体" w:hAnsi="宋体" w:cs="宋体" w:eastAsia="宋体" w:hint="default"/>
                <w:sz w:val="24"/>
                <w:szCs w:val="24"/>
              </w:rPr>
              <w:t>利用以前期间的税务亏损</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37"/>
              <w:jc w:val="right"/>
              <w:rPr>
                <w:rFonts w:ascii="Arial Narrow" w:hAnsi="Arial Narrow" w:cs="Arial Narrow" w:eastAsia="Arial Narrow" w:hint="default"/>
                <w:sz w:val="24"/>
                <w:szCs w:val="24"/>
              </w:rPr>
            </w:pPr>
            <w:r>
              <w:rPr>
                <w:rFonts w:ascii="Arial Narrow"/>
                <w:spacing w:val="-1"/>
                <w:sz w:val="24"/>
              </w:rPr>
              <w:t>-301,330.16</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
              <w:jc w:val="right"/>
              <w:rPr>
                <w:rFonts w:ascii="Arial Narrow" w:hAnsi="Arial Narrow" w:cs="Arial Narrow" w:eastAsia="Arial Narrow" w:hint="default"/>
                <w:sz w:val="24"/>
                <w:szCs w:val="24"/>
              </w:rPr>
            </w:pPr>
            <w:r>
              <w:rPr>
                <w:rFonts w:ascii="Arial Narrow"/>
                <w:spacing w:val="-1"/>
                <w:sz w:val="24"/>
              </w:rPr>
              <w:t>-511,468.96</w:t>
            </w:r>
          </w:p>
        </w:tc>
      </w:tr>
      <w:tr>
        <w:trPr>
          <w:trHeight w:val="456" w:hRule="exact"/>
        </w:trPr>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5" w:right="0"/>
              <w:jc w:val="left"/>
              <w:rPr>
                <w:rFonts w:ascii="宋体" w:hAnsi="宋体" w:cs="宋体" w:eastAsia="宋体" w:hint="default"/>
                <w:sz w:val="24"/>
                <w:szCs w:val="24"/>
              </w:rPr>
            </w:pPr>
            <w:r>
              <w:rPr>
                <w:rFonts w:ascii="宋体" w:hAnsi="宋体" w:cs="宋体" w:eastAsia="宋体" w:hint="default"/>
                <w:sz w:val="24"/>
                <w:szCs w:val="24"/>
              </w:rPr>
              <w:t>未确认递延所得税的税务亏损</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536"/>
              <w:jc w:val="right"/>
              <w:rPr>
                <w:rFonts w:ascii="Arial Narrow" w:hAnsi="Arial Narrow" w:cs="Arial Narrow" w:eastAsia="Arial Narrow" w:hint="default"/>
                <w:sz w:val="24"/>
                <w:szCs w:val="24"/>
              </w:rPr>
            </w:pPr>
            <w:r>
              <w:rPr>
                <w:rFonts w:ascii="Arial Narrow"/>
                <w:sz w:val="24"/>
              </w:rPr>
              <w:t>-</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right"/>
              <w:rPr>
                <w:rFonts w:ascii="Arial Narrow" w:hAnsi="Arial Narrow" w:cs="Arial Narrow" w:eastAsia="Arial Narrow" w:hint="default"/>
                <w:sz w:val="24"/>
                <w:szCs w:val="24"/>
              </w:rPr>
            </w:pPr>
            <w:r>
              <w:rPr>
                <w:rFonts w:ascii="Arial Narrow"/>
                <w:spacing w:val="-1"/>
                <w:sz w:val="24"/>
              </w:rPr>
              <w:t>421,250.39</w:t>
            </w:r>
          </w:p>
        </w:tc>
      </w:tr>
      <w:tr>
        <w:trPr>
          <w:trHeight w:val="419" w:hRule="exact"/>
        </w:trPr>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5" w:right="0"/>
              <w:jc w:val="left"/>
              <w:rPr>
                <w:rFonts w:ascii="宋体" w:hAnsi="宋体" w:cs="宋体" w:eastAsia="宋体" w:hint="default"/>
                <w:sz w:val="24"/>
                <w:szCs w:val="24"/>
              </w:rPr>
            </w:pPr>
            <w:r>
              <w:rPr>
                <w:rFonts w:ascii="宋体" w:hAnsi="宋体" w:cs="宋体" w:eastAsia="宋体" w:hint="default"/>
                <w:sz w:val="24"/>
                <w:szCs w:val="24"/>
              </w:rPr>
              <w:t>加计扣除的技术开发费用</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537"/>
              <w:jc w:val="right"/>
              <w:rPr>
                <w:rFonts w:ascii="Arial Narrow" w:hAnsi="Arial Narrow" w:cs="Arial Narrow" w:eastAsia="Arial Narrow" w:hint="default"/>
                <w:sz w:val="24"/>
                <w:szCs w:val="24"/>
              </w:rPr>
            </w:pPr>
            <w:r>
              <w:rPr>
                <w:rFonts w:ascii="Arial Narrow"/>
                <w:spacing w:val="-1"/>
                <w:sz w:val="24"/>
              </w:rPr>
              <w:t>-3,245,576.13</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Arial Narrow" w:hAnsi="Arial Narrow" w:cs="Arial Narrow" w:eastAsia="Arial Narrow" w:hint="default"/>
                <w:sz w:val="24"/>
                <w:szCs w:val="24"/>
              </w:rPr>
            </w:pPr>
            <w:r>
              <w:rPr>
                <w:rFonts w:ascii="Arial Narrow"/>
                <w:spacing w:val="-1"/>
                <w:sz w:val="24"/>
              </w:rPr>
              <w:t>-1,206,641.29</w:t>
            </w:r>
          </w:p>
        </w:tc>
      </w:tr>
      <w:tr>
        <w:trPr>
          <w:trHeight w:val="396" w:hRule="exact"/>
        </w:trPr>
        <w:tc>
          <w:tcPr>
            <w:tcW w:w="50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7"/>
              <w:jc w:val="right"/>
              <w:rPr>
                <w:rFonts w:ascii="Arial Narrow" w:hAnsi="Arial Narrow" w:cs="Arial Narrow" w:eastAsia="Arial Narrow" w:hint="default"/>
                <w:sz w:val="24"/>
                <w:szCs w:val="24"/>
              </w:rPr>
            </w:pPr>
            <w:r>
              <w:rPr>
                <w:rFonts w:ascii="Arial Narrow"/>
                <w:spacing w:val="-1"/>
                <w:sz w:val="24"/>
              </w:rPr>
              <w:t>6,621,880.83</w:t>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z w:val="24"/>
              </w:rPr>
              <w:t>-</w:t>
            </w:r>
          </w:p>
        </w:tc>
      </w:tr>
      <w:tr>
        <w:trPr>
          <w:trHeight w:val="406" w:hRule="exact"/>
        </w:trPr>
        <w:tc>
          <w:tcPr>
            <w:tcW w:w="5034"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409"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539"/>
              <w:jc w:val="right"/>
              <w:rPr>
                <w:rFonts w:ascii="Arial Narrow" w:hAnsi="Arial Narrow" w:cs="Arial Narrow" w:eastAsia="Arial Narrow" w:hint="default"/>
                <w:sz w:val="24"/>
                <w:szCs w:val="24"/>
              </w:rPr>
            </w:pPr>
            <w:r>
              <w:rPr>
                <w:rFonts w:ascii="Arial Narrow"/>
                <w:spacing w:val="-1"/>
                <w:sz w:val="24"/>
              </w:rPr>
              <w:t>53,895,296.27</w:t>
            </w:r>
          </w:p>
        </w:tc>
        <w:tc>
          <w:tcPr>
            <w:tcW w:w="1800"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
              <w:jc w:val="right"/>
              <w:rPr>
                <w:rFonts w:ascii="Arial Narrow" w:hAnsi="Arial Narrow" w:cs="Arial Narrow" w:eastAsia="Arial Narrow" w:hint="default"/>
                <w:sz w:val="24"/>
                <w:szCs w:val="24"/>
              </w:rPr>
            </w:pPr>
            <w:r>
              <w:rPr>
                <w:rFonts w:ascii="Arial Narrow"/>
                <w:spacing w:val="-1"/>
                <w:sz w:val="24"/>
              </w:rPr>
              <w:t>3,613,988.46</w:t>
            </w:r>
          </w:p>
        </w:tc>
      </w:tr>
    </w:tbl>
    <w:p>
      <w:pPr>
        <w:pStyle w:val="BodyText"/>
        <w:spacing w:line="240" w:lineRule="auto" w:before="80"/>
        <w:ind w:left="142" w:right="4177"/>
        <w:jc w:val="left"/>
      </w:pPr>
      <w:r>
        <w:rPr>
          <w:rFonts w:ascii="Arial Narrow" w:hAnsi="Arial Narrow" w:cs="Arial Narrow" w:eastAsia="Arial Narrow" w:hint="default"/>
        </w:rPr>
        <w:t>43</w:t>
      </w:r>
      <w:r>
        <w:rPr/>
        <w:t>、基本每股收益的计算过程</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4247"/>
        <w:gridCol w:w="1358"/>
        <w:gridCol w:w="1883"/>
        <w:gridCol w:w="1587"/>
      </w:tblGrid>
      <w:tr>
        <w:trPr>
          <w:trHeight w:val="581" w:hRule="exact"/>
        </w:trPr>
        <w:tc>
          <w:tcPr>
            <w:tcW w:w="424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240" w:lineRule="auto" w:before="87"/>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358"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left="469" w:right="0"/>
              <w:jc w:val="left"/>
              <w:rPr>
                <w:rFonts w:ascii="宋体" w:hAnsi="宋体" w:cs="宋体" w:eastAsia="宋体" w:hint="default"/>
                <w:sz w:val="24"/>
                <w:szCs w:val="24"/>
              </w:rPr>
            </w:pPr>
            <w:r>
              <w:rPr>
                <w:rFonts w:ascii="宋体" w:hAnsi="宋体" w:cs="宋体" w:eastAsia="宋体" w:hint="default"/>
                <w:b/>
                <w:bCs/>
                <w:sz w:val="24"/>
                <w:szCs w:val="24"/>
              </w:rPr>
              <w:t>代码</w:t>
            </w:r>
            <w:r>
              <w:rPr>
                <w:rFonts w:ascii="宋体" w:hAnsi="宋体" w:cs="宋体" w:eastAsia="宋体" w:hint="default"/>
                <w:sz w:val="24"/>
                <w:szCs w:val="24"/>
              </w:rPr>
            </w:r>
          </w:p>
        </w:tc>
        <w:tc>
          <w:tcPr>
            <w:tcW w:w="1883"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220"/>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587" w:type="dxa"/>
            <w:tcBorders>
              <w:top w:val="single" w:sz="8" w:space="0" w:color="000000"/>
              <w:left w:val="nil" w:sz="6" w:space="0" w:color="auto"/>
              <w:bottom w:val="single" w:sz="4" w:space="0" w:color="000000"/>
              <w:right w:val="nil" w:sz="6" w:space="0" w:color="auto"/>
            </w:tcBorders>
          </w:tcPr>
          <w:p>
            <w:pPr>
              <w:pStyle w:val="TableParagraph"/>
              <w:spacing w:line="240" w:lineRule="auto" w:before="87"/>
              <w:ind w:right="106"/>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627" w:hRule="exact"/>
        </w:trPr>
        <w:tc>
          <w:tcPr>
            <w:tcW w:w="4247" w:type="dxa"/>
            <w:tcBorders>
              <w:top w:val="single" w:sz="4" w:space="0" w:color="000000"/>
              <w:left w:val="nil" w:sz="6" w:space="0" w:color="auto"/>
              <w:bottom w:val="nil" w:sz="6" w:space="0" w:color="auto"/>
              <w:right w:val="nil" w:sz="6" w:space="0" w:color="auto"/>
            </w:tcBorders>
          </w:tcPr>
          <w:p>
            <w:pPr>
              <w:pStyle w:val="TableParagraph"/>
              <w:spacing w:line="273" w:lineRule="exact"/>
              <w:ind w:left="108" w:right="0"/>
              <w:jc w:val="left"/>
              <w:rPr>
                <w:rFonts w:ascii="宋体" w:hAnsi="宋体" w:cs="宋体" w:eastAsia="宋体" w:hint="default"/>
                <w:sz w:val="24"/>
                <w:szCs w:val="24"/>
              </w:rPr>
            </w:pPr>
            <w:r>
              <w:rPr>
                <w:rFonts w:ascii="宋体" w:hAnsi="宋体" w:cs="宋体" w:eastAsia="宋体" w:hint="default"/>
                <w:spacing w:val="12"/>
                <w:sz w:val="24"/>
                <w:szCs w:val="24"/>
              </w:rPr>
              <w:t>报告期归属于公司普通股股东的净利</w:t>
            </w:r>
            <w:r>
              <w:rPr>
                <w:rFonts w:ascii="宋体" w:hAnsi="宋体" w:cs="宋体" w:eastAsia="宋体" w:hint="default"/>
                <w:sz w:val="24"/>
                <w:szCs w:val="24"/>
              </w:rPr>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润</w:t>
            </w:r>
          </w:p>
        </w:tc>
        <w:tc>
          <w:tcPr>
            <w:tcW w:w="1358"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left="102" w:right="0"/>
              <w:jc w:val="left"/>
              <w:rPr>
                <w:rFonts w:ascii="Arial Narrow" w:hAnsi="Arial Narrow" w:cs="Arial Narrow" w:eastAsia="Arial Narrow" w:hint="default"/>
                <w:sz w:val="24"/>
                <w:szCs w:val="24"/>
              </w:rPr>
            </w:pPr>
            <w:r>
              <w:rPr>
                <w:rFonts w:ascii="Arial Narrow"/>
                <w:sz w:val="24"/>
              </w:rPr>
              <w:t>P1</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217"/>
              <w:jc w:val="right"/>
              <w:rPr>
                <w:rFonts w:ascii="Arial Narrow" w:hAnsi="Arial Narrow" w:cs="Arial Narrow" w:eastAsia="Arial Narrow" w:hint="default"/>
                <w:sz w:val="24"/>
                <w:szCs w:val="24"/>
              </w:rPr>
            </w:pPr>
            <w:r>
              <w:rPr>
                <w:rFonts w:ascii="Arial Narrow"/>
                <w:spacing w:val="-1"/>
                <w:sz w:val="24"/>
              </w:rPr>
              <w:t>46,761,088.46</w:t>
            </w:r>
          </w:p>
        </w:tc>
        <w:tc>
          <w:tcPr>
            <w:tcW w:w="1587"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106"/>
              <w:jc w:val="right"/>
              <w:rPr>
                <w:rFonts w:ascii="Arial Narrow" w:hAnsi="Arial Narrow" w:cs="Arial Narrow" w:eastAsia="Arial Narrow" w:hint="default"/>
                <w:sz w:val="24"/>
                <w:szCs w:val="24"/>
              </w:rPr>
            </w:pPr>
            <w:r>
              <w:rPr>
                <w:rFonts w:ascii="Arial Narrow"/>
                <w:spacing w:val="-1"/>
                <w:sz w:val="24"/>
              </w:rPr>
              <w:t>45,074,544.68</w:t>
            </w:r>
          </w:p>
        </w:tc>
      </w:tr>
      <w:tr>
        <w:trPr>
          <w:trHeight w:val="622"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pacing w:val="12"/>
                <w:sz w:val="24"/>
                <w:szCs w:val="24"/>
              </w:rPr>
              <w:t>报告期归属于公司普通股股东的非经</w:t>
            </w:r>
            <w:r>
              <w:rPr>
                <w:rFonts w:ascii="宋体" w:hAnsi="宋体" w:cs="宋体" w:eastAsia="宋体" w:hint="default"/>
                <w:sz w:val="24"/>
                <w:szCs w:val="24"/>
              </w:rPr>
            </w:r>
          </w:p>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常性损益</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02" w:right="0"/>
              <w:jc w:val="left"/>
              <w:rPr>
                <w:rFonts w:ascii="Arial Narrow" w:hAnsi="Arial Narrow" w:cs="Arial Narrow" w:eastAsia="Arial Narrow" w:hint="default"/>
                <w:sz w:val="24"/>
                <w:szCs w:val="24"/>
              </w:rPr>
            </w:pPr>
            <w:r>
              <w:rPr>
                <w:rFonts w:ascii="Arial Narrow"/>
                <w:sz w:val="24"/>
              </w:rPr>
              <w:t>F</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17"/>
              <w:jc w:val="right"/>
              <w:rPr>
                <w:rFonts w:ascii="Arial Narrow" w:hAnsi="Arial Narrow" w:cs="Arial Narrow" w:eastAsia="Arial Narrow" w:hint="default"/>
                <w:sz w:val="24"/>
                <w:szCs w:val="24"/>
              </w:rPr>
            </w:pPr>
            <w:r>
              <w:rPr>
                <w:rFonts w:ascii="Arial Narrow"/>
                <w:spacing w:val="-1"/>
                <w:sz w:val="24"/>
              </w:rPr>
              <w:t>3,560,441.88</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6"/>
              <w:jc w:val="right"/>
              <w:rPr>
                <w:rFonts w:ascii="Arial Narrow" w:hAnsi="Arial Narrow" w:cs="Arial Narrow" w:eastAsia="Arial Narrow" w:hint="default"/>
                <w:sz w:val="24"/>
                <w:szCs w:val="24"/>
              </w:rPr>
            </w:pPr>
            <w:r>
              <w:rPr>
                <w:rFonts w:ascii="Arial Narrow"/>
                <w:spacing w:val="-1"/>
                <w:sz w:val="24"/>
              </w:rPr>
              <w:t>9,597,893.06</w:t>
            </w:r>
          </w:p>
        </w:tc>
      </w:tr>
      <w:tr>
        <w:trPr>
          <w:trHeight w:val="630"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pacing w:val="12"/>
                <w:sz w:val="24"/>
                <w:szCs w:val="24"/>
              </w:rPr>
              <w:t>报告期扣除非经常性损益后归属于公</w:t>
            </w:r>
            <w:r>
              <w:rPr>
                <w:rFonts w:ascii="宋体" w:hAnsi="宋体" w:cs="宋体" w:eastAsia="宋体" w:hint="default"/>
                <w:sz w:val="24"/>
                <w:szCs w:val="24"/>
              </w:rPr>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司普通股股东的净利润</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02" w:right="0"/>
              <w:jc w:val="left"/>
              <w:rPr>
                <w:rFonts w:ascii="Arial Narrow" w:hAnsi="Arial Narrow" w:cs="Arial Narrow" w:eastAsia="Arial Narrow" w:hint="default"/>
                <w:sz w:val="24"/>
                <w:szCs w:val="24"/>
              </w:rPr>
            </w:pPr>
            <w:r>
              <w:rPr>
                <w:rFonts w:ascii="Arial Narrow"/>
                <w:sz w:val="24"/>
              </w:rPr>
              <w:t>P2=P1-F</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17"/>
              <w:jc w:val="right"/>
              <w:rPr>
                <w:rFonts w:ascii="Arial Narrow" w:hAnsi="Arial Narrow" w:cs="Arial Narrow" w:eastAsia="Arial Narrow" w:hint="default"/>
                <w:sz w:val="24"/>
                <w:szCs w:val="24"/>
              </w:rPr>
            </w:pPr>
            <w:r>
              <w:rPr>
                <w:rFonts w:ascii="Arial Narrow"/>
                <w:spacing w:val="-1"/>
                <w:sz w:val="24"/>
              </w:rPr>
              <w:t>43,200,646.58</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06"/>
              <w:jc w:val="right"/>
              <w:rPr>
                <w:rFonts w:ascii="Arial Narrow" w:hAnsi="Arial Narrow" w:cs="Arial Narrow" w:eastAsia="Arial Narrow" w:hint="default"/>
                <w:sz w:val="24"/>
                <w:szCs w:val="24"/>
              </w:rPr>
            </w:pPr>
            <w:r>
              <w:rPr>
                <w:rFonts w:ascii="Arial Narrow"/>
                <w:spacing w:val="-1"/>
                <w:sz w:val="24"/>
              </w:rPr>
              <w:t>35,476,651.62</w:t>
            </w:r>
          </w:p>
        </w:tc>
      </w:tr>
      <w:tr>
        <w:trPr>
          <w:trHeight w:val="636"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281" w:lineRule="exact"/>
              <w:ind w:left="108" w:right="0"/>
              <w:jc w:val="left"/>
              <w:rPr>
                <w:rFonts w:ascii="宋体" w:hAnsi="宋体" w:cs="宋体" w:eastAsia="宋体" w:hint="default"/>
                <w:sz w:val="24"/>
                <w:szCs w:val="24"/>
              </w:rPr>
            </w:pPr>
            <w:r>
              <w:rPr>
                <w:rFonts w:ascii="宋体" w:hAnsi="宋体" w:cs="宋体" w:eastAsia="宋体" w:hint="default"/>
                <w:spacing w:val="12"/>
                <w:sz w:val="24"/>
                <w:szCs w:val="24"/>
              </w:rPr>
              <w:t>稀释事项对归属于公司普通股股东的</w:t>
            </w:r>
            <w:r>
              <w:rPr>
                <w:rFonts w:ascii="宋体" w:hAnsi="宋体" w:cs="宋体" w:eastAsia="宋体" w:hint="default"/>
                <w:sz w:val="24"/>
                <w:szCs w:val="24"/>
              </w:rPr>
            </w:r>
          </w:p>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净利润的影响</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75"/>
              <w:ind w:left="102" w:right="0"/>
              <w:jc w:val="left"/>
              <w:rPr>
                <w:rFonts w:ascii="Arial Narrow" w:hAnsi="Arial Narrow" w:cs="Arial Narrow" w:eastAsia="Arial Narrow" w:hint="default"/>
                <w:sz w:val="24"/>
                <w:szCs w:val="24"/>
              </w:rPr>
            </w:pPr>
            <w:r>
              <w:rPr>
                <w:rFonts w:ascii="Arial Narrow"/>
                <w:sz w:val="24"/>
              </w:rPr>
              <w:t>P3</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16"/>
              <w:jc w:val="right"/>
              <w:rPr>
                <w:rFonts w:ascii="Arial Narrow" w:hAnsi="Arial Narrow" w:cs="Arial Narrow" w:eastAsia="Arial Narrow" w:hint="default"/>
                <w:sz w:val="24"/>
                <w:szCs w:val="24"/>
              </w:rPr>
            </w:pPr>
            <w:r>
              <w:rPr>
                <w:rFonts w:ascii="Arial Narrow"/>
                <w:sz w:val="24"/>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05"/>
              <w:jc w:val="right"/>
              <w:rPr>
                <w:rFonts w:ascii="Arial Narrow" w:hAnsi="Arial Narrow" w:cs="Arial Narrow" w:eastAsia="Arial Narrow" w:hint="default"/>
                <w:sz w:val="24"/>
                <w:szCs w:val="24"/>
              </w:rPr>
            </w:pPr>
            <w:r>
              <w:rPr>
                <w:rFonts w:ascii="Arial Narrow"/>
                <w:sz w:val="24"/>
              </w:rPr>
              <w:t>-</w:t>
            </w:r>
          </w:p>
        </w:tc>
      </w:tr>
      <w:tr>
        <w:trPr>
          <w:trHeight w:val="691" w:hRule="exact"/>
        </w:trPr>
        <w:tc>
          <w:tcPr>
            <w:tcW w:w="4247" w:type="dxa"/>
            <w:tcBorders>
              <w:top w:val="nil" w:sz="6" w:space="0" w:color="auto"/>
              <w:left w:val="nil" w:sz="6" w:space="0" w:color="auto"/>
              <w:bottom w:val="nil" w:sz="6" w:space="0" w:color="auto"/>
              <w:right w:val="nil" w:sz="6" w:space="0" w:color="auto"/>
            </w:tcBorders>
          </w:tcPr>
          <w:p>
            <w:pPr>
              <w:pStyle w:val="TableParagraph"/>
              <w:spacing w:line="310" w:lineRule="exact"/>
              <w:ind w:left="108" w:right="100"/>
              <w:jc w:val="left"/>
              <w:rPr>
                <w:rFonts w:ascii="宋体" w:hAnsi="宋体" w:cs="宋体" w:eastAsia="宋体" w:hint="default"/>
                <w:sz w:val="24"/>
                <w:szCs w:val="24"/>
              </w:rPr>
            </w:pPr>
            <w:r>
              <w:rPr>
                <w:rFonts w:ascii="宋体" w:hAnsi="宋体" w:cs="宋体" w:eastAsia="宋体" w:hint="default"/>
                <w:spacing w:val="12"/>
                <w:sz w:val="24"/>
                <w:szCs w:val="24"/>
              </w:rPr>
              <w:t>稀释事项对扣除非经常性损益后归属</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于公司普通股股东的净利润的影响</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02" w:right="0"/>
              <w:jc w:val="left"/>
              <w:rPr>
                <w:rFonts w:ascii="Arial Narrow" w:hAnsi="Arial Narrow" w:cs="Arial Narrow" w:eastAsia="Arial Narrow" w:hint="default"/>
                <w:sz w:val="24"/>
                <w:szCs w:val="24"/>
              </w:rPr>
            </w:pPr>
            <w:r>
              <w:rPr>
                <w:rFonts w:ascii="Arial Narrow"/>
                <w:sz w:val="24"/>
              </w:rPr>
              <w:t>P4</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16"/>
              <w:jc w:val="right"/>
              <w:rPr>
                <w:rFonts w:ascii="Arial Narrow" w:hAnsi="Arial Narrow" w:cs="Arial Narrow" w:eastAsia="Arial Narrow" w:hint="default"/>
                <w:sz w:val="24"/>
                <w:szCs w:val="24"/>
              </w:rPr>
            </w:pPr>
            <w:r>
              <w:rPr>
                <w:rFonts w:ascii="Arial Narrow"/>
                <w:sz w:val="24"/>
              </w:rPr>
              <w:t>-</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5"/>
              <w:jc w:val="right"/>
              <w:rPr>
                <w:rFonts w:ascii="Arial Narrow" w:hAnsi="Arial Narrow" w:cs="Arial Narrow" w:eastAsia="Arial Narrow" w:hint="default"/>
                <w:sz w:val="24"/>
                <w:szCs w:val="24"/>
              </w:rPr>
            </w:pPr>
            <w:r>
              <w:rPr>
                <w:rFonts w:ascii="Arial Narrow"/>
                <w:sz w:val="24"/>
              </w:rPr>
              <w:t>-</w:t>
            </w:r>
          </w:p>
        </w:tc>
      </w:tr>
      <w:tr>
        <w:trPr>
          <w:trHeight w:val="510" w:hRule="exact"/>
        </w:trPr>
        <w:tc>
          <w:tcPr>
            <w:tcW w:w="4247"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24"/>
                <w:szCs w:val="24"/>
              </w:rPr>
            </w:pPr>
            <w:r>
              <w:rPr>
                <w:rFonts w:ascii="宋体" w:hAnsi="宋体" w:cs="宋体" w:eastAsia="宋体" w:hint="default"/>
                <w:sz w:val="24"/>
                <w:szCs w:val="24"/>
              </w:rPr>
              <w:t>期初股份总数</w:t>
            </w:r>
          </w:p>
        </w:tc>
        <w:tc>
          <w:tcPr>
            <w:tcW w:w="1358"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left="102" w:right="0"/>
              <w:jc w:val="left"/>
              <w:rPr>
                <w:rFonts w:ascii="Arial Narrow" w:hAnsi="Arial Narrow" w:cs="Arial Narrow" w:eastAsia="Arial Narrow" w:hint="default"/>
                <w:sz w:val="24"/>
                <w:szCs w:val="24"/>
              </w:rPr>
            </w:pPr>
            <w:r>
              <w:rPr>
                <w:rFonts w:ascii="Arial Narrow"/>
                <w:sz w:val="24"/>
              </w:rPr>
              <w:t>S0</w:t>
            </w:r>
          </w:p>
        </w:tc>
        <w:tc>
          <w:tcPr>
            <w:tcW w:w="1883"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17"/>
              <w:jc w:val="right"/>
              <w:rPr>
                <w:rFonts w:ascii="Arial Narrow" w:hAnsi="Arial Narrow" w:cs="Arial Narrow" w:eastAsia="Arial Narrow" w:hint="default"/>
                <w:sz w:val="24"/>
                <w:szCs w:val="24"/>
              </w:rPr>
            </w:pPr>
            <w:r>
              <w:rPr>
                <w:rFonts w:ascii="Arial Narrow"/>
                <w:spacing w:val="-1"/>
                <w:sz w:val="24"/>
              </w:rPr>
              <w:t>75,000,000.00</w:t>
            </w:r>
          </w:p>
        </w:tc>
        <w:tc>
          <w:tcPr>
            <w:tcW w:w="1587"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106"/>
              <w:jc w:val="right"/>
              <w:rPr>
                <w:rFonts w:ascii="Arial Narrow" w:hAnsi="Arial Narrow" w:cs="Arial Narrow" w:eastAsia="Arial Narrow" w:hint="default"/>
                <w:sz w:val="24"/>
                <w:szCs w:val="24"/>
              </w:rPr>
            </w:pPr>
            <w:r>
              <w:rPr>
                <w:rFonts w:ascii="Arial Narrow"/>
                <w:spacing w:val="-1"/>
                <w:sz w:val="24"/>
              </w:rPr>
              <w:t>75,000,000.00</w:t>
            </w:r>
          </w:p>
        </w:tc>
      </w:tr>
    </w:tbl>
    <w:p>
      <w:pPr>
        <w:spacing w:after="0" w:line="240" w:lineRule="auto"/>
        <w:jc w:val="right"/>
        <w:rPr>
          <w:rFonts w:ascii="Arial Narrow" w:hAnsi="Arial Narrow" w:cs="Arial Narrow" w:eastAsia="Arial Narrow" w:hint="default"/>
          <w:sz w:val="24"/>
          <w:szCs w:val="24"/>
        </w:rPr>
        <w:sectPr>
          <w:pgSz w:w="11900" w:h="16850"/>
          <w:pgMar w:header="0" w:footer="919" w:top="1640" w:bottom="1100" w:left="1140" w:right="960"/>
        </w:sectPr>
      </w:pPr>
    </w:p>
    <w:p>
      <w:pPr>
        <w:spacing w:line="240" w:lineRule="auto" w:before="8"/>
        <w:rPr>
          <w:rFonts w:ascii="宋体" w:hAnsi="宋体" w:cs="宋体" w:eastAsia="宋体" w:hint="default"/>
          <w:sz w:val="5"/>
          <w:szCs w:val="5"/>
        </w:rPr>
      </w:pPr>
      <w:r>
        <w:rPr/>
        <w:pict>
          <v:group style="position:absolute;margin-left:62.664001pt;margin-top:85.93998pt;width:477.25pt;height:.1pt;mso-position-horizontal-relative:page;mso-position-vertical-relative:page;z-index:-764512" coordorigin="1253,1719" coordsize="9545,2">
            <v:shape style="position:absolute;left:1253;top:1719;width:9545;height:2" coordorigin="1253,1719" coordsize="9545,0" path="m1253,1719l10798,1719e" filled="false" stroked="true" strokeweight=".72pt" strokecolor="#000000">
              <v:path arrowok="t"/>
            </v:shape>
            <w10:wrap type="none"/>
          </v:group>
        </w:pict>
      </w:r>
    </w:p>
    <w:tbl>
      <w:tblPr>
        <w:tblW w:w="0" w:type="auto"/>
        <w:jc w:val="left"/>
        <w:tblInd w:w="147" w:type="dxa"/>
        <w:tblLayout w:type="fixed"/>
        <w:tblCellMar>
          <w:top w:w="0" w:type="dxa"/>
          <w:left w:w="0" w:type="dxa"/>
          <w:bottom w:w="0" w:type="dxa"/>
          <w:right w:w="0" w:type="dxa"/>
        </w:tblCellMar>
        <w:tblLook w:val="01E0"/>
      </w:tblPr>
      <w:tblGrid>
        <w:gridCol w:w="400"/>
        <w:gridCol w:w="4261"/>
        <w:gridCol w:w="1483"/>
        <w:gridCol w:w="1704"/>
        <w:gridCol w:w="1661"/>
      </w:tblGrid>
      <w:tr>
        <w:trPr>
          <w:trHeight w:val="101"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single" w:sz="4" w:space="0" w:color="000000"/>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
        </w:tc>
        <w:tc>
          <w:tcPr>
            <w:tcW w:w="1704" w:type="dxa"/>
            <w:tcBorders>
              <w:top w:val="nil" w:sz="6" w:space="0" w:color="auto"/>
              <w:left w:val="nil" w:sz="6" w:space="0" w:color="auto"/>
              <w:bottom w:val="single" w:sz="4" w:space="0" w:color="000000"/>
              <w:right w:val="nil" w:sz="6" w:space="0" w:color="auto"/>
            </w:tcBorders>
          </w:tcPr>
          <w:p>
            <w:pPr/>
          </w:p>
        </w:tc>
        <w:tc>
          <w:tcPr>
            <w:tcW w:w="1661" w:type="dxa"/>
            <w:tcBorders>
              <w:top w:val="nil" w:sz="6" w:space="0" w:color="auto"/>
              <w:left w:val="nil" w:sz="6" w:space="0" w:color="auto"/>
              <w:bottom w:val="single" w:sz="4" w:space="0" w:color="000000"/>
              <w:right w:val="nil" w:sz="6" w:space="0" w:color="auto"/>
            </w:tcBorders>
          </w:tcPr>
          <w:p>
            <w:pPr/>
          </w:p>
        </w:tc>
      </w:tr>
      <w:tr>
        <w:trPr>
          <w:trHeight w:val="625"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single" w:sz="4" w:space="0" w:color="000000"/>
              <w:left w:val="nil" w:sz="6" w:space="0" w:color="auto"/>
              <w:bottom w:val="nil" w:sz="6" w:space="0" w:color="auto"/>
              <w:right w:val="nil" w:sz="6" w:space="0" w:color="auto"/>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12"/>
                <w:sz w:val="24"/>
                <w:szCs w:val="24"/>
              </w:rPr>
              <w:t>报告期因公积金转增股本或股票股利</w:t>
            </w:r>
            <w:r>
              <w:rPr>
                <w:rFonts w:ascii="宋体" w:hAnsi="宋体" w:cs="宋体" w:eastAsia="宋体" w:hint="default"/>
                <w:sz w:val="24"/>
                <w:szCs w:val="24"/>
              </w:rPr>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分配等增加股份数</w:t>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left="102" w:right="0"/>
              <w:jc w:val="left"/>
              <w:rPr>
                <w:rFonts w:ascii="Arial Narrow" w:hAnsi="Arial Narrow" w:cs="Arial Narrow" w:eastAsia="Arial Narrow" w:hint="default"/>
                <w:sz w:val="24"/>
                <w:szCs w:val="24"/>
              </w:rPr>
            </w:pPr>
            <w:r>
              <w:rPr>
                <w:rFonts w:ascii="Arial Narrow"/>
                <w:sz w:val="24"/>
              </w:rPr>
              <w:t>S1</w:t>
            </w: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right="164"/>
              <w:jc w:val="right"/>
              <w:rPr>
                <w:rFonts w:ascii="Arial Narrow" w:hAnsi="Arial Narrow" w:cs="Arial Narrow" w:eastAsia="Arial Narrow" w:hint="default"/>
                <w:sz w:val="24"/>
                <w:szCs w:val="24"/>
              </w:rPr>
            </w:pPr>
            <w:r>
              <w:rPr>
                <w:rFonts w:ascii="Arial Narrow"/>
                <w:spacing w:val="-1"/>
                <w:sz w:val="24"/>
              </w:rPr>
              <w:t>45,000,000.00</w:t>
            </w: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166"/>
              <w:ind w:right="128"/>
              <w:jc w:val="right"/>
              <w:rPr>
                <w:rFonts w:ascii="Arial Narrow" w:hAnsi="Arial Narrow" w:cs="Arial Narrow" w:eastAsia="Arial Narrow" w:hint="default"/>
                <w:sz w:val="24"/>
                <w:szCs w:val="24"/>
              </w:rPr>
            </w:pPr>
            <w:r>
              <w:rPr>
                <w:rFonts w:ascii="Arial Narrow"/>
                <w:spacing w:val="-1"/>
                <w:sz w:val="24"/>
              </w:rPr>
              <w:t>45,000,000.00</w:t>
            </w:r>
          </w:p>
        </w:tc>
      </w:tr>
      <w:tr>
        <w:trPr>
          <w:trHeight w:val="623"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pacing w:val="12"/>
                <w:sz w:val="24"/>
                <w:szCs w:val="24"/>
              </w:rPr>
              <w:t>报告期因发行新股或债转股等增加股</w:t>
            </w:r>
            <w:r>
              <w:rPr>
                <w:rFonts w:ascii="宋体" w:hAnsi="宋体" w:cs="宋体" w:eastAsia="宋体" w:hint="default"/>
                <w:sz w:val="24"/>
                <w:szCs w:val="24"/>
              </w:rPr>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份数</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2" w:right="0"/>
              <w:jc w:val="left"/>
              <w:rPr>
                <w:rFonts w:ascii="Arial Narrow" w:hAnsi="Arial Narrow" w:cs="Arial Narrow" w:eastAsia="Arial Narrow" w:hint="default"/>
                <w:sz w:val="24"/>
                <w:szCs w:val="24"/>
              </w:rPr>
            </w:pPr>
            <w:r>
              <w:rPr>
                <w:rFonts w:ascii="Arial Narrow"/>
                <w:sz w:val="24"/>
              </w:rPr>
              <w:t>Si</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62"/>
              <w:jc w:val="right"/>
              <w:rPr>
                <w:rFonts w:ascii="Arial Narrow" w:hAnsi="Arial Narrow" w:cs="Arial Narrow" w:eastAsia="Arial Narrow" w:hint="default"/>
                <w:sz w:val="24"/>
                <w:szCs w:val="24"/>
              </w:rPr>
            </w:pPr>
            <w:r>
              <w:rPr>
                <w:rFonts w:ascii="Arial Narrow"/>
                <w:sz w:val="24"/>
              </w:rPr>
              <w:t>-</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27"/>
              <w:jc w:val="right"/>
              <w:rPr>
                <w:rFonts w:ascii="Arial Narrow" w:hAnsi="Arial Narrow" w:cs="Arial Narrow" w:eastAsia="Arial Narrow" w:hint="default"/>
                <w:sz w:val="24"/>
                <w:szCs w:val="24"/>
              </w:rPr>
            </w:pPr>
            <w:r>
              <w:rPr>
                <w:rFonts w:ascii="Arial Narrow"/>
                <w:sz w:val="24"/>
              </w:rPr>
              <w:t>-</w:t>
            </w:r>
          </w:p>
        </w:tc>
      </w:tr>
      <w:tr>
        <w:trPr>
          <w:trHeight w:val="685"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pacing w:val="12"/>
                <w:sz w:val="24"/>
                <w:szCs w:val="24"/>
              </w:rPr>
              <w:t>增加股份下一月份起至报告期期末的</w:t>
            </w:r>
            <w:r>
              <w:rPr>
                <w:rFonts w:ascii="宋体" w:hAnsi="宋体" w:cs="宋体" w:eastAsia="宋体" w:hint="default"/>
                <w:sz w:val="24"/>
                <w:szCs w:val="24"/>
              </w:rPr>
            </w:r>
          </w:p>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月份数</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02" w:right="0"/>
              <w:jc w:val="left"/>
              <w:rPr>
                <w:rFonts w:ascii="Arial Narrow" w:hAnsi="Arial Narrow" w:cs="Arial Narrow" w:eastAsia="Arial Narrow" w:hint="default"/>
                <w:sz w:val="24"/>
                <w:szCs w:val="24"/>
              </w:rPr>
            </w:pPr>
            <w:r>
              <w:rPr>
                <w:rFonts w:ascii="Arial Narrow"/>
                <w:sz w:val="24"/>
              </w:rPr>
              <w:t>Mi</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62"/>
              <w:jc w:val="right"/>
              <w:rPr>
                <w:rFonts w:ascii="Arial Narrow" w:hAnsi="Arial Narrow" w:cs="Arial Narrow" w:eastAsia="Arial Narrow" w:hint="default"/>
                <w:sz w:val="24"/>
                <w:szCs w:val="24"/>
              </w:rPr>
            </w:pPr>
            <w:r>
              <w:rPr>
                <w:rFonts w:ascii="Arial Narrow"/>
                <w:sz w:val="24"/>
              </w:rPr>
              <w:t>-</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27"/>
              <w:jc w:val="right"/>
              <w:rPr>
                <w:rFonts w:ascii="Arial Narrow" w:hAnsi="Arial Narrow" w:cs="Arial Narrow" w:eastAsia="Arial Narrow" w:hint="default"/>
                <w:sz w:val="24"/>
                <w:szCs w:val="24"/>
              </w:rPr>
            </w:pPr>
            <w:r>
              <w:rPr>
                <w:rFonts w:ascii="Arial Narrow"/>
                <w:sz w:val="24"/>
              </w:rPr>
              <w:t>-</w:t>
            </w:r>
          </w:p>
        </w:tc>
      </w:tr>
      <w:tr>
        <w:trPr>
          <w:trHeight w:val="443"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24"/>
                <w:szCs w:val="24"/>
              </w:rPr>
            </w:pPr>
            <w:r>
              <w:rPr>
                <w:rFonts w:ascii="宋体" w:hAnsi="宋体" w:cs="宋体" w:eastAsia="宋体" w:hint="default"/>
                <w:sz w:val="24"/>
                <w:szCs w:val="24"/>
              </w:rPr>
              <w:t>报告期因回购等减少股份数</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2" w:right="0"/>
              <w:jc w:val="left"/>
              <w:rPr>
                <w:rFonts w:ascii="Arial Narrow" w:hAnsi="Arial Narrow" w:cs="Arial Narrow" w:eastAsia="Arial Narrow" w:hint="default"/>
                <w:sz w:val="24"/>
                <w:szCs w:val="24"/>
              </w:rPr>
            </w:pPr>
            <w:r>
              <w:rPr>
                <w:rFonts w:ascii="Arial Narrow"/>
                <w:sz w:val="24"/>
              </w:rPr>
              <w:t>Sj</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62"/>
              <w:jc w:val="right"/>
              <w:rPr>
                <w:rFonts w:ascii="Arial Narrow" w:hAnsi="Arial Narrow" w:cs="Arial Narrow" w:eastAsia="Arial Narrow" w:hint="default"/>
                <w:sz w:val="24"/>
                <w:szCs w:val="24"/>
              </w:rPr>
            </w:pPr>
            <w:r>
              <w:rPr>
                <w:rFonts w:ascii="Arial Narrow"/>
                <w:sz w:val="24"/>
              </w:rPr>
              <w:t>-</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27"/>
              <w:jc w:val="right"/>
              <w:rPr>
                <w:rFonts w:ascii="Arial Narrow" w:hAnsi="Arial Narrow" w:cs="Arial Narrow" w:eastAsia="Arial Narrow" w:hint="default"/>
                <w:sz w:val="24"/>
                <w:szCs w:val="24"/>
              </w:rPr>
            </w:pPr>
            <w:r>
              <w:rPr>
                <w:rFonts w:ascii="Arial Narrow"/>
                <w:sz w:val="24"/>
              </w:rPr>
              <w:t>-</w:t>
            </w:r>
          </w:p>
        </w:tc>
      </w:tr>
      <w:tr>
        <w:trPr>
          <w:trHeight w:val="748"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100"/>
              <w:jc w:val="left"/>
              <w:rPr>
                <w:rFonts w:ascii="宋体" w:hAnsi="宋体" w:cs="宋体" w:eastAsia="宋体" w:hint="default"/>
                <w:sz w:val="24"/>
                <w:szCs w:val="24"/>
              </w:rPr>
            </w:pPr>
            <w:r>
              <w:rPr>
                <w:rFonts w:ascii="宋体" w:hAnsi="宋体" w:cs="宋体" w:eastAsia="宋体" w:hint="default"/>
                <w:spacing w:val="12"/>
                <w:sz w:val="24"/>
                <w:szCs w:val="24"/>
              </w:rPr>
              <w:t>减少股份下一月份起至报告期期末的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月份数</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2" w:right="0"/>
              <w:jc w:val="left"/>
              <w:rPr>
                <w:rFonts w:ascii="Arial Narrow" w:hAnsi="Arial Narrow" w:cs="Arial Narrow" w:eastAsia="Arial Narrow" w:hint="default"/>
                <w:sz w:val="24"/>
                <w:szCs w:val="24"/>
              </w:rPr>
            </w:pPr>
            <w:r>
              <w:rPr>
                <w:rFonts w:ascii="Arial Narrow"/>
                <w:sz w:val="24"/>
              </w:rPr>
              <w:t>Mj</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62"/>
              <w:jc w:val="right"/>
              <w:rPr>
                <w:rFonts w:ascii="Arial Narrow" w:hAnsi="Arial Narrow" w:cs="Arial Narrow" w:eastAsia="Arial Narrow" w:hint="default"/>
                <w:sz w:val="24"/>
                <w:szCs w:val="24"/>
              </w:rPr>
            </w:pPr>
            <w:r>
              <w:rPr>
                <w:rFonts w:ascii="Arial Narrow"/>
                <w:sz w:val="24"/>
              </w:rPr>
              <w:t>-</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27"/>
              <w:jc w:val="right"/>
              <w:rPr>
                <w:rFonts w:ascii="Arial Narrow" w:hAnsi="Arial Narrow" w:cs="Arial Narrow" w:eastAsia="Arial Narrow" w:hint="default"/>
                <w:sz w:val="24"/>
                <w:szCs w:val="24"/>
              </w:rPr>
            </w:pPr>
            <w:r>
              <w:rPr>
                <w:rFonts w:ascii="Arial Narrow"/>
                <w:sz w:val="24"/>
              </w:rPr>
              <w:t>-</w:t>
            </w:r>
          </w:p>
        </w:tc>
      </w:tr>
      <w:tr>
        <w:trPr>
          <w:trHeight w:val="507"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24"/>
                <w:szCs w:val="24"/>
              </w:rPr>
            </w:pPr>
            <w:r>
              <w:rPr>
                <w:rFonts w:ascii="宋体" w:hAnsi="宋体" w:cs="宋体" w:eastAsia="宋体" w:hint="default"/>
                <w:sz w:val="24"/>
                <w:szCs w:val="24"/>
              </w:rPr>
              <w:t>报告期缩股数</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02" w:right="0"/>
              <w:jc w:val="left"/>
              <w:rPr>
                <w:rFonts w:ascii="Arial Narrow" w:hAnsi="Arial Narrow" w:cs="Arial Narrow" w:eastAsia="Arial Narrow" w:hint="default"/>
                <w:sz w:val="24"/>
                <w:szCs w:val="24"/>
              </w:rPr>
            </w:pPr>
            <w:r>
              <w:rPr>
                <w:rFonts w:ascii="Arial Narrow"/>
                <w:sz w:val="24"/>
              </w:rPr>
              <w:t>Sk</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62"/>
              <w:jc w:val="right"/>
              <w:rPr>
                <w:rFonts w:ascii="Arial Narrow" w:hAnsi="Arial Narrow" w:cs="Arial Narrow" w:eastAsia="Arial Narrow" w:hint="default"/>
                <w:sz w:val="24"/>
                <w:szCs w:val="24"/>
              </w:rPr>
            </w:pPr>
            <w:r>
              <w:rPr>
                <w:rFonts w:ascii="Arial Narrow"/>
                <w:sz w:val="24"/>
              </w:rPr>
              <w:t>-</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27"/>
              <w:jc w:val="right"/>
              <w:rPr>
                <w:rFonts w:ascii="Arial Narrow" w:hAnsi="Arial Narrow" w:cs="Arial Narrow" w:eastAsia="Arial Narrow" w:hint="default"/>
                <w:sz w:val="24"/>
                <w:szCs w:val="24"/>
              </w:rPr>
            </w:pPr>
            <w:r>
              <w:rPr>
                <w:rFonts w:ascii="Arial Narrow"/>
                <w:sz w:val="24"/>
              </w:rPr>
              <w:t>-</w:t>
            </w:r>
          </w:p>
        </w:tc>
      </w:tr>
      <w:tr>
        <w:trPr>
          <w:trHeight w:val="497"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2" w:right="0"/>
              <w:jc w:val="left"/>
              <w:rPr>
                <w:rFonts w:ascii="宋体" w:hAnsi="宋体" w:cs="宋体" w:eastAsia="宋体" w:hint="default"/>
                <w:sz w:val="24"/>
                <w:szCs w:val="24"/>
              </w:rPr>
            </w:pPr>
            <w:r>
              <w:rPr>
                <w:rFonts w:ascii="宋体" w:hAnsi="宋体" w:cs="宋体" w:eastAsia="宋体" w:hint="default"/>
                <w:sz w:val="24"/>
                <w:szCs w:val="24"/>
              </w:rPr>
              <w:t>报告期月份数</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2" w:right="0"/>
              <w:jc w:val="left"/>
              <w:rPr>
                <w:rFonts w:ascii="Arial Narrow" w:hAnsi="Arial Narrow" w:cs="Arial Narrow" w:eastAsia="Arial Narrow" w:hint="default"/>
                <w:sz w:val="24"/>
                <w:szCs w:val="24"/>
              </w:rPr>
            </w:pPr>
            <w:r>
              <w:rPr>
                <w:rFonts w:ascii="Arial Narrow"/>
                <w:sz w:val="24"/>
              </w:rPr>
              <w:t>M0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61"/>
              <w:jc w:val="right"/>
              <w:rPr>
                <w:rFonts w:ascii="Arial Narrow" w:hAnsi="Arial Narrow" w:cs="Arial Narrow" w:eastAsia="Arial Narrow" w:hint="default"/>
                <w:sz w:val="24"/>
                <w:szCs w:val="24"/>
              </w:rPr>
            </w:pPr>
            <w:r>
              <w:rPr>
                <w:rFonts w:ascii="Arial Narrow"/>
                <w:sz w:val="24"/>
              </w:rPr>
              <w:t>12</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25"/>
              <w:jc w:val="right"/>
              <w:rPr>
                <w:rFonts w:ascii="Arial Narrow" w:hAnsi="Arial Narrow" w:cs="Arial Narrow" w:eastAsia="Arial Narrow" w:hint="default"/>
                <w:sz w:val="24"/>
                <w:szCs w:val="24"/>
              </w:rPr>
            </w:pPr>
            <w:r>
              <w:rPr>
                <w:rFonts w:ascii="Arial Narrow"/>
                <w:sz w:val="24"/>
              </w:rPr>
              <w:t>12</w:t>
            </w:r>
          </w:p>
        </w:tc>
      </w:tr>
      <w:tr>
        <w:trPr>
          <w:trHeight w:val="904"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发行在外的普通股加权平均数</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2" w:right="0"/>
              <w:jc w:val="left"/>
              <w:rPr>
                <w:rFonts w:ascii="Arial Narrow" w:hAnsi="Arial Narrow" w:cs="Arial Narrow" w:eastAsia="Arial Narrow" w:hint="default"/>
                <w:sz w:val="24"/>
                <w:szCs w:val="24"/>
              </w:rPr>
            </w:pPr>
            <w:r>
              <w:rPr>
                <w:rFonts w:ascii="Arial Narrow"/>
                <w:sz w:val="24"/>
              </w:rPr>
              <w:t>S=S0+S1+Si*</w:t>
            </w:r>
          </w:p>
          <w:p>
            <w:pPr>
              <w:pStyle w:val="TableParagraph"/>
              <w:spacing w:line="240" w:lineRule="auto"/>
              <w:ind w:left="102" w:right="265"/>
              <w:jc w:val="left"/>
              <w:rPr>
                <w:rFonts w:ascii="Arial Narrow" w:hAnsi="Arial Narrow" w:cs="Arial Narrow" w:eastAsia="Arial Narrow" w:hint="default"/>
                <w:sz w:val="24"/>
                <w:szCs w:val="24"/>
              </w:rPr>
            </w:pPr>
            <w:r>
              <w:rPr>
                <w:rFonts w:ascii="Arial Narrow"/>
                <w:spacing w:val="-1"/>
                <w:sz w:val="24"/>
              </w:rPr>
              <w:t>Mi/M0-Sj*Mj/</w:t>
            </w:r>
            <w:r>
              <w:rPr>
                <w:rFonts w:ascii="Arial Narrow"/>
                <w:spacing w:val="-53"/>
                <w:sz w:val="24"/>
              </w:rPr>
              <w:t> </w:t>
            </w:r>
            <w:r>
              <w:rPr>
                <w:rFonts w:ascii="Arial Narrow"/>
                <w:spacing w:val="-53"/>
                <w:sz w:val="24"/>
              </w:rPr>
            </w:r>
            <w:r>
              <w:rPr>
                <w:rFonts w:ascii="Arial Narrow"/>
                <w:sz w:val="24"/>
              </w:rPr>
              <w:t>M0-Sk</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64"/>
              <w:jc w:val="right"/>
              <w:rPr>
                <w:rFonts w:ascii="Arial Narrow" w:hAnsi="Arial Narrow" w:cs="Arial Narrow" w:eastAsia="Arial Narrow" w:hint="default"/>
                <w:sz w:val="24"/>
                <w:szCs w:val="24"/>
              </w:rPr>
            </w:pPr>
            <w:r>
              <w:rPr>
                <w:rFonts w:ascii="Arial Narrow"/>
                <w:spacing w:val="-1"/>
                <w:sz w:val="24"/>
              </w:rPr>
              <w:t>120,000,000.00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128"/>
              <w:jc w:val="right"/>
              <w:rPr>
                <w:rFonts w:ascii="Arial Narrow" w:hAnsi="Arial Narrow" w:cs="Arial Narrow" w:eastAsia="Arial Narrow" w:hint="default"/>
                <w:sz w:val="24"/>
                <w:szCs w:val="24"/>
              </w:rPr>
            </w:pPr>
            <w:r>
              <w:rPr>
                <w:rFonts w:ascii="Arial Narrow"/>
                <w:spacing w:val="-1"/>
                <w:sz w:val="24"/>
              </w:rPr>
              <w:t>120,000,000.00</w:t>
            </w:r>
          </w:p>
        </w:tc>
      </w:tr>
      <w:tr>
        <w:trPr>
          <w:trHeight w:val="610"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61" w:lineRule="exact"/>
              <w:ind w:left="122" w:right="0"/>
              <w:jc w:val="left"/>
              <w:rPr>
                <w:rFonts w:ascii="宋体" w:hAnsi="宋体" w:cs="宋体" w:eastAsia="宋体" w:hint="default"/>
                <w:sz w:val="24"/>
                <w:szCs w:val="24"/>
              </w:rPr>
            </w:pPr>
            <w:r>
              <w:rPr>
                <w:rFonts w:ascii="宋体" w:hAnsi="宋体" w:cs="宋体" w:eastAsia="宋体" w:hint="default"/>
                <w:spacing w:val="-4"/>
                <w:sz w:val="24"/>
                <w:szCs w:val="24"/>
              </w:rPr>
              <w:t>加：假定稀释性潜在普通股转换为已发</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行普通股而增加的普通股加权平均数</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02" w:right="0"/>
              <w:jc w:val="left"/>
              <w:rPr>
                <w:rFonts w:ascii="Arial Narrow" w:hAnsi="Arial Narrow" w:cs="Arial Narrow" w:eastAsia="Arial Narrow" w:hint="default"/>
                <w:sz w:val="24"/>
                <w:szCs w:val="24"/>
              </w:rPr>
            </w:pPr>
            <w:r>
              <w:rPr>
                <w:rFonts w:ascii="Arial Narrow"/>
                <w:sz w:val="24"/>
              </w:rPr>
              <w:t>X1</w:t>
            </w:r>
          </w:p>
        </w:tc>
        <w:tc>
          <w:tcPr>
            <w:tcW w:w="1704" w:type="dxa"/>
            <w:tcBorders>
              <w:top w:val="nil" w:sz="6" w:space="0" w:color="auto"/>
              <w:left w:val="nil" w:sz="6" w:space="0" w:color="auto"/>
              <w:bottom w:val="nil" w:sz="6" w:space="0" w:color="auto"/>
              <w:right w:val="nil" w:sz="6" w:space="0" w:color="auto"/>
            </w:tcBorders>
          </w:tcPr>
          <w:p>
            <w:pPr/>
          </w:p>
        </w:tc>
        <w:tc>
          <w:tcPr>
            <w:tcW w:w="1661" w:type="dxa"/>
            <w:tcBorders>
              <w:top w:val="nil" w:sz="6" w:space="0" w:color="auto"/>
              <w:left w:val="nil" w:sz="6" w:space="0" w:color="auto"/>
              <w:bottom w:val="nil" w:sz="6" w:space="0" w:color="auto"/>
              <w:right w:val="nil" w:sz="6" w:space="0" w:color="auto"/>
            </w:tcBorders>
          </w:tcPr>
          <w:p>
            <w:pPr/>
          </w:p>
        </w:tc>
      </w:tr>
      <w:tr>
        <w:trPr>
          <w:trHeight w:val="623"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75" w:lineRule="exact"/>
              <w:ind w:left="122" w:right="0"/>
              <w:jc w:val="left"/>
              <w:rPr>
                <w:rFonts w:ascii="宋体" w:hAnsi="宋体" w:cs="宋体" w:eastAsia="宋体" w:hint="default"/>
                <w:sz w:val="24"/>
                <w:szCs w:val="24"/>
              </w:rPr>
            </w:pPr>
            <w:r>
              <w:rPr>
                <w:rFonts w:ascii="宋体" w:hAnsi="宋体" w:cs="宋体" w:eastAsia="宋体" w:hint="default"/>
                <w:spacing w:val="12"/>
                <w:sz w:val="24"/>
                <w:szCs w:val="24"/>
              </w:rPr>
              <w:t>计算稀释每股收益的普通股加权平均</w:t>
            </w:r>
            <w:r>
              <w:rPr>
                <w:rFonts w:ascii="宋体" w:hAnsi="宋体" w:cs="宋体" w:eastAsia="宋体" w:hint="default"/>
                <w:sz w:val="24"/>
                <w:szCs w:val="24"/>
              </w:rPr>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数</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02" w:right="0"/>
              <w:jc w:val="left"/>
              <w:rPr>
                <w:rFonts w:ascii="Arial Narrow" w:hAnsi="Arial Narrow" w:cs="Arial Narrow" w:eastAsia="Arial Narrow" w:hint="default"/>
                <w:sz w:val="24"/>
                <w:szCs w:val="24"/>
              </w:rPr>
            </w:pPr>
            <w:r>
              <w:rPr>
                <w:rFonts w:ascii="Arial Narrow"/>
                <w:sz w:val="24"/>
              </w:rPr>
              <w:t>X2=S+X1</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64"/>
              <w:jc w:val="right"/>
              <w:rPr>
                <w:rFonts w:ascii="Arial Narrow" w:hAnsi="Arial Narrow" w:cs="Arial Narrow" w:eastAsia="Arial Narrow" w:hint="default"/>
                <w:sz w:val="24"/>
                <w:szCs w:val="24"/>
              </w:rPr>
            </w:pPr>
            <w:r>
              <w:rPr>
                <w:rFonts w:ascii="Arial Narrow"/>
                <w:spacing w:val="-1"/>
                <w:sz w:val="24"/>
              </w:rPr>
              <w:t>120,000,000.00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28"/>
              <w:jc w:val="right"/>
              <w:rPr>
                <w:rFonts w:ascii="Arial Narrow" w:hAnsi="Arial Narrow" w:cs="Arial Narrow" w:eastAsia="Arial Narrow" w:hint="default"/>
                <w:sz w:val="24"/>
                <w:szCs w:val="24"/>
              </w:rPr>
            </w:pPr>
            <w:r>
              <w:rPr>
                <w:rFonts w:ascii="Arial Narrow"/>
                <w:spacing w:val="-1"/>
                <w:sz w:val="24"/>
              </w:rPr>
              <w:t>120,000,000.00</w:t>
            </w:r>
          </w:p>
        </w:tc>
      </w:tr>
      <w:tr>
        <w:trPr>
          <w:trHeight w:val="623"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pacing w:val="-4"/>
                <w:sz w:val="24"/>
                <w:szCs w:val="24"/>
              </w:rPr>
              <w:t>其中：可转换公司债转换而增加的普通</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股加权数</w:t>
            </w:r>
          </w:p>
        </w:tc>
        <w:tc>
          <w:tcPr>
            <w:tcW w:w="1483"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62"/>
              <w:jc w:val="right"/>
              <w:rPr>
                <w:rFonts w:ascii="Arial Narrow" w:hAnsi="Arial Narrow" w:cs="Arial Narrow" w:eastAsia="Arial Narrow" w:hint="default"/>
                <w:sz w:val="24"/>
                <w:szCs w:val="24"/>
              </w:rPr>
            </w:pPr>
            <w:r>
              <w:rPr>
                <w:rFonts w:ascii="Arial Narrow"/>
                <w:sz w:val="24"/>
              </w:rPr>
              <w:t>-</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27"/>
              <w:jc w:val="right"/>
              <w:rPr>
                <w:rFonts w:ascii="Arial Narrow" w:hAnsi="Arial Narrow" w:cs="Arial Narrow" w:eastAsia="Arial Narrow" w:hint="default"/>
                <w:sz w:val="24"/>
                <w:szCs w:val="24"/>
              </w:rPr>
            </w:pPr>
            <w:r>
              <w:rPr>
                <w:rFonts w:ascii="Arial Narrow"/>
                <w:sz w:val="24"/>
              </w:rPr>
              <w:t>-</w:t>
            </w:r>
          </w:p>
        </w:tc>
      </w:tr>
      <w:tr>
        <w:trPr>
          <w:trHeight w:val="685"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82" w:lineRule="exact"/>
              <w:ind w:left="122" w:right="0"/>
              <w:jc w:val="left"/>
              <w:rPr>
                <w:rFonts w:ascii="宋体" w:hAnsi="宋体" w:cs="宋体" w:eastAsia="宋体" w:hint="default"/>
                <w:sz w:val="24"/>
                <w:szCs w:val="24"/>
              </w:rPr>
            </w:pPr>
            <w:r>
              <w:rPr>
                <w:rFonts w:ascii="宋体" w:hAnsi="宋体" w:cs="宋体" w:eastAsia="宋体" w:hint="default"/>
                <w:spacing w:val="6"/>
                <w:sz w:val="24"/>
                <w:szCs w:val="24"/>
              </w:rPr>
              <w:t>认股权证</w:t>
            </w:r>
            <w:r>
              <w:rPr>
                <w:rFonts w:ascii="Arial Narrow" w:hAnsi="Arial Narrow" w:cs="Arial Narrow" w:eastAsia="Arial Narrow" w:hint="default"/>
                <w:spacing w:val="6"/>
                <w:sz w:val="24"/>
                <w:szCs w:val="24"/>
              </w:rPr>
              <w:t>/</w:t>
            </w:r>
            <w:r>
              <w:rPr>
                <w:rFonts w:ascii="宋体" w:hAnsi="宋体" w:cs="宋体" w:eastAsia="宋体" w:hint="default"/>
                <w:spacing w:val="6"/>
                <w:sz w:val="24"/>
                <w:szCs w:val="24"/>
              </w:rPr>
              <w:t>股份期权行权而增加的普通</w:t>
            </w:r>
          </w:p>
          <w:p>
            <w:pPr>
              <w:pStyle w:val="TableParagraph"/>
              <w:spacing w:line="303" w:lineRule="exact"/>
              <w:ind w:left="122" w:right="0"/>
              <w:jc w:val="left"/>
              <w:rPr>
                <w:rFonts w:ascii="宋体" w:hAnsi="宋体" w:cs="宋体" w:eastAsia="宋体" w:hint="default"/>
                <w:sz w:val="24"/>
                <w:szCs w:val="24"/>
              </w:rPr>
            </w:pPr>
            <w:r>
              <w:rPr>
                <w:rFonts w:ascii="宋体" w:hAnsi="宋体" w:cs="宋体" w:eastAsia="宋体" w:hint="default"/>
                <w:sz w:val="24"/>
                <w:szCs w:val="24"/>
              </w:rPr>
              <w:t>股加权数</w:t>
            </w:r>
          </w:p>
        </w:tc>
        <w:tc>
          <w:tcPr>
            <w:tcW w:w="1483"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62"/>
              <w:jc w:val="right"/>
              <w:rPr>
                <w:rFonts w:ascii="Arial Narrow" w:hAnsi="Arial Narrow" w:cs="Arial Narrow" w:eastAsia="Arial Narrow" w:hint="default"/>
                <w:sz w:val="24"/>
                <w:szCs w:val="24"/>
              </w:rPr>
            </w:pPr>
            <w:r>
              <w:rPr>
                <w:rFonts w:ascii="Arial Narrow"/>
                <w:sz w:val="24"/>
              </w:rPr>
              <w:t>-</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27"/>
              <w:jc w:val="right"/>
              <w:rPr>
                <w:rFonts w:ascii="Arial Narrow" w:hAnsi="Arial Narrow" w:cs="Arial Narrow" w:eastAsia="Arial Narrow" w:hint="default"/>
                <w:sz w:val="24"/>
                <w:szCs w:val="24"/>
              </w:rPr>
            </w:pPr>
            <w:r>
              <w:rPr>
                <w:rFonts w:ascii="Arial Narrow"/>
                <w:sz w:val="24"/>
              </w:rPr>
              <w:t>-</w:t>
            </w:r>
          </w:p>
        </w:tc>
      </w:tr>
      <w:tr>
        <w:trPr>
          <w:trHeight w:val="443"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2" w:right="0"/>
              <w:jc w:val="left"/>
              <w:rPr>
                <w:rFonts w:ascii="宋体" w:hAnsi="宋体" w:cs="宋体" w:eastAsia="宋体" w:hint="default"/>
                <w:sz w:val="24"/>
                <w:szCs w:val="24"/>
              </w:rPr>
            </w:pPr>
            <w:r>
              <w:rPr>
                <w:rFonts w:ascii="宋体" w:hAnsi="宋体" w:cs="宋体" w:eastAsia="宋体" w:hint="default"/>
                <w:sz w:val="24"/>
                <w:szCs w:val="24"/>
              </w:rPr>
              <w:t>回购承诺履行而增加的普通股加权数</w:t>
            </w:r>
          </w:p>
        </w:tc>
        <w:tc>
          <w:tcPr>
            <w:tcW w:w="1483"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62"/>
              <w:jc w:val="right"/>
              <w:rPr>
                <w:rFonts w:ascii="Arial Narrow" w:hAnsi="Arial Narrow" w:cs="Arial Narrow" w:eastAsia="Arial Narrow" w:hint="default"/>
                <w:sz w:val="24"/>
                <w:szCs w:val="24"/>
              </w:rPr>
            </w:pPr>
            <w:r>
              <w:rPr>
                <w:rFonts w:ascii="Arial Narrow"/>
                <w:sz w:val="24"/>
              </w:rPr>
              <w:t>-</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27"/>
              <w:jc w:val="right"/>
              <w:rPr>
                <w:rFonts w:ascii="Arial Narrow" w:hAnsi="Arial Narrow" w:cs="Arial Narrow" w:eastAsia="Arial Narrow" w:hint="default"/>
                <w:sz w:val="24"/>
                <w:szCs w:val="24"/>
              </w:rPr>
            </w:pPr>
            <w:r>
              <w:rPr>
                <w:rFonts w:ascii="Arial Narrow"/>
                <w:sz w:val="24"/>
              </w:rPr>
              <w:t>-</w:t>
            </w:r>
          </w:p>
        </w:tc>
      </w:tr>
      <w:tr>
        <w:trPr>
          <w:trHeight w:val="684"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nil" w:sz="6" w:space="0" w:color="auto"/>
              <w:right w:val="nil" w:sz="6" w:space="0" w:color="auto"/>
            </w:tcBorders>
          </w:tcPr>
          <w:p>
            <w:pPr>
              <w:pStyle w:val="TableParagraph"/>
              <w:spacing w:line="312" w:lineRule="exact" w:before="52"/>
              <w:ind w:left="122" w:right="100"/>
              <w:jc w:val="left"/>
              <w:rPr>
                <w:rFonts w:ascii="宋体" w:hAnsi="宋体" w:cs="宋体" w:eastAsia="宋体" w:hint="default"/>
                <w:sz w:val="24"/>
                <w:szCs w:val="24"/>
              </w:rPr>
            </w:pPr>
            <w:r>
              <w:rPr>
                <w:rFonts w:ascii="宋体" w:hAnsi="宋体" w:cs="宋体" w:eastAsia="宋体" w:hint="default"/>
                <w:spacing w:val="12"/>
                <w:sz w:val="24"/>
                <w:szCs w:val="24"/>
              </w:rPr>
              <w:t>归属于公司普通股股东的基本每股收</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益</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2" w:right="0"/>
              <w:jc w:val="left"/>
              <w:rPr>
                <w:rFonts w:ascii="Arial Narrow" w:hAnsi="Arial Narrow" w:cs="Arial Narrow" w:eastAsia="Arial Narrow" w:hint="default"/>
                <w:sz w:val="24"/>
                <w:szCs w:val="24"/>
              </w:rPr>
            </w:pPr>
            <w:r>
              <w:rPr>
                <w:rFonts w:ascii="Arial Narrow"/>
                <w:sz w:val="24"/>
              </w:rPr>
              <w:t>Y1=P1/S</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62"/>
              <w:jc w:val="right"/>
              <w:rPr>
                <w:rFonts w:ascii="Arial Narrow" w:hAnsi="Arial Narrow" w:cs="Arial Narrow" w:eastAsia="Arial Narrow" w:hint="default"/>
                <w:sz w:val="24"/>
                <w:szCs w:val="24"/>
              </w:rPr>
            </w:pPr>
            <w:r>
              <w:rPr>
                <w:rFonts w:ascii="Arial Narrow"/>
                <w:spacing w:val="-1"/>
                <w:sz w:val="24"/>
              </w:rPr>
              <w:t>0.390</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27"/>
              <w:jc w:val="right"/>
              <w:rPr>
                <w:rFonts w:ascii="Arial Narrow" w:hAnsi="Arial Narrow" w:cs="Arial Narrow" w:eastAsia="Arial Narrow" w:hint="default"/>
                <w:sz w:val="24"/>
                <w:szCs w:val="24"/>
              </w:rPr>
            </w:pPr>
            <w:r>
              <w:rPr>
                <w:rFonts w:ascii="Arial Narrow"/>
                <w:spacing w:val="-1"/>
                <w:sz w:val="24"/>
              </w:rPr>
              <w:t>0.376</w:t>
            </w:r>
          </w:p>
        </w:tc>
      </w:tr>
      <w:tr>
        <w:trPr>
          <w:trHeight w:val="629" w:hRule="exact"/>
        </w:trPr>
        <w:tc>
          <w:tcPr>
            <w:tcW w:w="400" w:type="dxa"/>
            <w:tcBorders>
              <w:top w:val="nil" w:sz="6" w:space="0" w:color="auto"/>
              <w:left w:val="nil" w:sz="6" w:space="0" w:color="auto"/>
              <w:bottom w:val="nil" w:sz="6" w:space="0" w:color="auto"/>
              <w:right w:val="nil" w:sz="6" w:space="0" w:color="auto"/>
            </w:tcBorders>
          </w:tcPr>
          <w:p>
            <w:pPr/>
          </w:p>
        </w:tc>
        <w:tc>
          <w:tcPr>
            <w:tcW w:w="4261" w:type="dxa"/>
            <w:tcBorders>
              <w:top w:val="nil" w:sz="6" w:space="0" w:color="auto"/>
              <w:left w:val="nil" w:sz="6" w:space="0" w:color="auto"/>
              <w:bottom w:val="single" w:sz="4" w:space="0" w:color="000000"/>
              <w:right w:val="nil" w:sz="6" w:space="0" w:color="auto"/>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pacing w:val="12"/>
                <w:sz w:val="24"/>
                <w:szCs w:val="24"/>
              </w:rPr>
              <w:t>扣除非经常性损益后归属于公司普通</w:t>
            </w:r>
            <w:r>
              <w:rPr>
                <w:rFonts w:ascii="宋体" w:hAnsi="宋体" w:cs="宋体" w:eastAsia="宋体" w:hint="default"/>
                <w:sz w:val="24"/>
                <w:szCs w:val="24"/>
              </w:rPr>
            </w:r>
          </w:p>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股股东的基本每股收益</w:t>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left="102" w:right="0"/>
              <w:jc w:val="left"/>
              <w:rPr>
                <w:rFonts w:ascii="Arial Narrow" w:hAnsi="Arial Narrow" w:cs="Arial Narrow" w:eastAsia="Arial Narrow" w:hint="default"/>
                <w:sz w:val="24"/>
                <w:szCs w:val="24"/>
              </w:rPr>
            </w:pPr>
            <w:r>
              <w:rPr>
                <w:rFonts w:ascii="Arial Narrow"/>
                <w:sz w:val="24"/>
              </w:rPr>
              <w:t>Y2=P2/S</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right="162"/>
              <w:jc w:val="right"/>
              <w:rPr>
                <w:rFonts w:ascii="Arial Narrow" w:hAnsi="Arial Narrow" w:cs="Arial Narrow" w:eastAsia="Arial Narrow" w:hint="default"/>
                <w:sz w:val="24"/>
                <w:szCs w:val="24"/>
              </w:rPr>
            </w:pPr>
            <w:r>
              <w:rPr>
                <w:rFonts w:ascii="Arial Narrow"/>
                <w:spacing w:val="-1"/>
                <w:sz w:val="24"/>
              </w:rPr>
              <w:t>0.360</w:t>
            </w: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right="127"/>
              <w:jc w:val="right"/>
              <w:rPr>
                <w:rFonts w:ascii="Arial Narrow" w:hAnsi="Arial Narrow" w:cs="Arial Narrow" w:eastAsia="Arial Narrow" w:hint="default"/>
                <w:sz w:val="24"/>
                <w:szCs w:val="24"/>
              </w:rPr>
            </w:pPr>
            <w:r>
              <w:rPr>
                <w:rFonts w:ascii="Arial Narrow"/>
                <w:spacing w:val="-1"/>
                <w:sz w:val="24"/>
              </w:rPr>
              <w:t>0.296</w:t>
            </w:r>
          </w:p>
        </w:tc>
      </w:tr>
    </w:tbl>
    <w:p>
      <w:pPr>
        <w:pStyle w:val="BodyText"/>
        <w:spacing w:line="240" w:lineRule="auto" w:before="79"/>
        <w:ind w:left="142" w:right="4177"/>
        <w:jc w:val="left"/>
      </w:pPr>
      <w:r>
        <w:rPr>
          <w:rFonts w:ascii="Arial Narrow" w:hAnsi="Arial Narrow" w:cs="Arial Narrow" w:eastAsia="Arial Narrow" w:hint="default"/>
        </w:rPr>
        <w:t>44</w:t>
      </w:r>
      <w:r>
        <w:rPr/>
        <w:t>、其他综合收益</w:t>
      </w:r>
    </w:p>
    <w:p>
      <w:pPr>
        <w:spacing w:line="240" w:lineRule="auto" w:before="2"/>
        <w:rPr>
          <w:rFonts w:ascii="宋体" w:hAnsi="宋体" w:cs="宋体" w:eastAsia="宋体" w:hint="default"/>
          <w:sz w:val="18"/>
          <w:szCs w:val="18"/>
        </w:rPr>
      </w:pPr>
    </w:p>
    <w:tbl>
      <w:tblPr>
        <w:tblW w:w="0" w:type="auto"/>
        <w:jc w:val="left"/>
        <w:tblInd w:w="454" w:type="dxa"/>
        <w:tblLayout w:type="fixed"/>
        <w:tblCellMar>
          <w:top w:w="0" w:type="dxa"/>
          <w:left w:w="0" w:type="dxa"/>
          <w:bottom w:w="0" w:type="dxa"/>
          <w:right w:w="0" w:type="dxa"/>
        </w:tblCellMar>
        <w:tblLook w:val="01E0"/>
      </w:tblPr>
      <w:tblGrid>
        <w:gridCol w:w="5696"/>
        <w:gridCol w:w="1891"/>
        <w:gridCol w:w="1657"/>
      </w:tblGrid>
      <w:tr>
        <w:trPr>
          <w:trHeight w:val="466" w:hRule="exact"/>
        </w:trPr>
        <w:tc>
          <w:tcPr>
            <w:tcW w:w="569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240" w:lineRule="auto" w:before="29"/>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891"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right="343"/>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657"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right="109"/>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455" w:hRule="exact"/>
        </w:trPr>
        <w:tc>
          <w:tcPr>
            <w:tcW w:w="569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4"/>
                <w:szCs w:val="24"/>
              </w:rPr>
            </w:pPr>
            <w:r>
              <w:rPr>
                <w:rFonts w:ascii="宋体" w:hAnsi="宋体" w:cs="宋体" w:eastAsia="宋体" w:hint="default"/>
                <w:sz w:val="24"/>
                <w:szCs w:val="24"/>
              </w:rPr>
              <w:t>一、可供出售金融资产产生的利得（损失）金额</w:t>
            </w: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339"/>
              <w:jc w:val="right"/>
              <w:rPr>
                <w:rFonts w:ascii="Arial Narrow" w:hAnsi="Arial Narrow" w:cs="Arial Narrow" w:eastAsia="Arial Narrow" w:hint="default"/>
                <w:sz w:val="24"/>
                <w:szCs w:val="24"/>
              </w:rPr>
            </w:pPr>
            <w:r>
              <w:rPr>
                <w:rFonts w:ascii="Arial Narrow"/>
                <w:sz w:val="24"/>
              </w:rPr>
              <w:t>-</w:t>
            </w:r>
          </w:p>
        </w:tc>
        <w:tc>
          <w:tcPr>
            <w:tcW w:w="165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8"/>
              <w:jc w:val="right"/>
              <w:rPr>
                <w:rFonts w:ascii="Arial Narrow" w:hAnsi="Arial Narrow" w:cs="Arial Narrow" w:eastAsia="Arial Narrow" w:hint="default"/>
                <w:sz w:val="24"/>
                <w:szCs w:val="24"/>
              </w:rPr>
            </w:pPr>
            <w:r>
              <w:rPr>
                <w:rFonts w:ascii="Arial Narrow"/>
                <w:sz w:val="24"/>
              </w:rPr>
              <w:t>-</w:t>
            </w:r>
          </w:p>
        </w:tc>
      </w:tr>
      <w:tr>
        <w:trPr>
          <w:trHeight w:val="451"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28" w:right="0"/>
              <w:jc w:val="left"/>
              <w:rPr>
                <w:rFonts w:ascii="宋体" w:hAnsi="宋体" w:cs="宋体" w:eastAsia="宋体" w:hint="default"/>
                <w:sz w:val="24"/>
                <w:szCs w:val="24"/>
              </w:rPr>
            </w:pPr>
            <w:r>
              <w:rPr>
                <w:rFonts w:ascii="宋体" w:hAnsi="宋体" w:cs="宋体" w:eastAsia="宋体" w:hint="default"/>
                <w:sz w:val="24"/>
                <w:szCs w:val="24"/>
              </w:rPr>
              <w:t>减：可供出售金融资产产生的所得税影响</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9"/>
              <w:jc w:val="right"/>
              <w:rPr>
                <w:rFonts w:ascii="Arial Narrow" w:hAnsi="Arial Narrow" w:cs="Arial Narrow" w:eastAsia="Arial Narrow" w:hint="default"/>
                <w:sz w:val="24"/>
                <w:szCs w:val="24"/>
              </w:rPr>
            </w:pPr>
            <w:r>
              <w:rPr>
                <w:rFonts w:ascii="Arial Narrow"/>
                <w:sz w:val="24"/>
              </w:rPr>
              <w:t>-</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8"/>
              <w:jc w:val="right"/>
              <w:rPr>
                <w:rFonts w:ascii="Arial Narrow" w:hAnsi="Arial Narrow" w:cs="Arial Narrow" w:eastAsia="Arial Narrow" w:hint="default"/>
                <w:sz w:val="24"/>
                <w:szCs w:val="24"/>
              </w:rPr>
            </w:pPr>
            <w:r>
              <w:rPr>
                <w:rFonts w:ascii="Arial Narrow"/>
                <w:sz w:val="24"/>
              </w:rPr>
              <w:t>-</w:t>
            </w:r>
          </w:p>
        </w:tc>
      </w:tr>
      <w:tr>
        <w:trPr>
          <w:trHeight w:val="449"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07" w:right="0"/>
              <w:jc w:val="left"/>
              <w:rPr>
                <w:rFonts w:ascii="宋体" w:hAnsi="宋体" w:cs="宋体" w:eastAsia="宋体" w:hint="default"/>
                <w:sz w:val="24"/>
                <w:szCs w:val="24"/>
              </w:rPr>
            </w:pPr>
            <w:r>
              <w:rPr>
                <w:rFonts w:ascii="宋体" w:hAnsi="宋体" w:cs="宋体" w:eastAsia="宋体" w:hint="default"/>
                <w:sz w:val="24"/>
                <w:szCs w:val="24"/>
              </w:rPr>
              <w:t>前期计入其他综合收益当期转入损益的净额</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9"/>
              <w:jc w:val="right"/>
              <w:rPr>
                <w:rFonts w:ascii="Arial Narrow" w:hAnsi="Arial Narrow" w:cs="Arial Narrow" w:eastAsia="Arial Narrow" w:hint="default"/>
                <w:sz w:val="24"/>
                <w:szCs w:val="24"/>
              </w:rPr>
            </w:pPr>
            <w:r>
              <w:rPr>
                <w:rFonts w:ascii="Arial Narrow"/>
                <w:sz w:val="24"/>
              </w:rPr>
              <w:t>-</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Arial Narrow" w:hAnsi="Arial Narrow" w:cs="Arial Narrow" w:eastAsia="Arial Narrow" w:hint="default"/>
                <w:sz w:val="24"/>
                <w:szCs w:val="24"/>
              </w:rPr>
            </w:pPr>
            <w:r>
              <w:rPr>
                <w:rFonts w:ascii="Arial Narrow"/>
                <w:sz w:val="24"/>
              </w:rPr>
              <w:t>-</w:t>
            </w:r>
          </w:p>
        </w:tc>
      </w:tr>
      <w:tr>
        <w:trPr>
          <w:trHeight w:val="416" w:hRule="exact"/>
        </w:trPr>
        <w:tc>
          <w:tcPr>
            <w:tcW w:w="5696" w:type="dxa"/>
            <w:tcBorders>
              <w:top w:val="nil" w:sz="6" w:space="0" w:color="auto"/>
              <w:left w:val="nil" w:sz="6" w:space="0" w:color="auto"/>
              <w:bottom w:val="nil" w:sz="6" w:space="0" w:color="auto"/>
              <w:right w:val="nil" w:sz="6" w:space="0" w:color="auto"/>
            </w:tcBorders>
          </w:tcPr>
          <w:p>
            <w:pPr>
              <w:pStyle w:val="TableParagraph"/>
              <w:tabs>
                <w:tab w:pos="568" w:val="left" w:leader="none"/>
              </w:tabs>
              <w:spacing w:line="240" w:lineRule="auto" w:before="27"/>
              <w:ind w:left="108" w:right="0"/>
              <w:jc w:val="left"/>
              <w:rPr>
                <w:rFonts w:ascii="宋体" w:hAnsi="宋体" w:cs="宋体" w:eastAsia="宋体" w:hint="default"/>
                <w:sz w:val="24"/>
                <w:szCs w:val="24"/>
              </w:rPr>
            </w:pPr>
            <w:r>
              <w:rPr>
                <w:rFonts w:ascii="宋体" w:hAnsi="宋体" w:cs="宋体" w:eastAsia="宋体" w:hint="default"/>
                <w:b/>
                <w:bCs/>
                <w:w w:val="95"/>
                <w:sz w:val="24"/>
                <w:szCs w:val="24"/>
              </w:rPr>
              <w:t>小</w:t>
              <w:tab/>
            </w:r>
            <w:r>
              <w:rPr>
                <w:rFonts w:ascii="宋体" w:hAnsi="宋体" w:cs="宋体" w:eastAsia="宋体" w:hint="default"/>
                <w:b/>
                <w:bCs/>
                <w:sz w:val="24"/>
                <w:szCs w:val="24"/>
              </w:rPr>
              <w:t>计</w:t>
            </w:r>
            <w:r>
              <w:rPr>
                <w:rFonts w:ascii="宋体" w:hAnsi="宋体" w:cs="宋体" w:eastAsia="宋体" w:hint="default"/>
                <w:sz w:val="24"/>
                <w:szCs w:val="24"/>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9"/>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8"/>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r>
        <w:trPr>
          <w:trHeight w:val="654" w:hRule="exact"/>
        </w:trPr>
        <w:tc>
          <w:tcPr>
            <w:tcW w:w="5696" w:type="dxa"/>
            <w:tcBorders>
              <w:top w:val="nil" w:sz="6" w:space="0" w:color="auto"/>
              <w:left w:val="nil" w:sz="6" w:space="0" w:color="auto"/>
              <w:bottom w:val="nil" w:sz="6" w:space="0" w:color="auto"/>
              <w:right w:val="nil" w:sz="6" w:space="0" w:color="auto"/>
            </w:tcBorders>
          </w:tcPr>
          <w:p>
            <w:pPr>
              <w:pStyle w:val="TableParagraph"/>
              <w:spacing w:line="312" w:lineRule="exact" w:before="23"/>
              <w:ind w:left="108" w:right="339"/>
              <w:jc w:val="left"/>
              <w:rPr>
                <w:rFonts w:ascii="宋体" w:hAnsi="宋体" w:cs="宋体" w:eastAsia="宋体" w:hint="default"/>
                <w:sz w:val="24"/>
                <w:szCs w:val="24"/>
              </w:rPr>
            </w:pPr>
            <w:r>
              <w:rPr>
                <w:rFonts w:ascii="宋体" w:hAnsi="宋体" w:cs="宋体" w:eastAsia="宋体" w:hint="default"/>
                <w:spacing w:val="-2"/>
                <w:sz w:val="24"/>
                <w:szCs w:val="24"/>
              </w:rPr>
              <w:t>二、按照权益法核算的在被投资单位其他综合收益</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中所享有的份额</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340"/>
              <w:jc w:val="right"/>
              <w:rPr>
                <w:rFonts w:ascii="Arial Narrow" w:hAnsi="Arial Narrow" w:cs="Arial Narrow" w:eastAsia="Arial Narrow" w:hint="default"/>
                <w:sz w:val="24"/>
                <w:szCs w:val="24"/>
              </w:rPr>
            </w:pPr>
            <w:r>
              <w:rPr>
                <w:rFonts w:ascii="Arial Narrow"/>
                <w:spacing w:val="-1"/>
                <w:sz w:val="24"/>
              </w:rPr>
              <w:t>181,760.00</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08"/>
              <w:jc w:val="right"/>
              <w:rPr>
                <w:rFonts w:ascii="Arial Narrow" w:hAnsi="Arial Narrow" w:cs="Arial Narrow" w:eastAsia="Arial Narrow" w:hint="default"/>
                <w:sz w:val="24"/>
                <w:szCs w:val="24"/>
              </w:rPr>
            </w:pPr>
            <w:r>
              <w:rPr>
                <w:rFonts w:ascii="Arial Narrow"/>
                <w:spacing w:val="-1"/>
                <w:sz w:val="24"/>
              </w:rPr>
              <w:t>463,305.66</w:t>
            </w:r>
          </w:p>
        </w:tc>
      </w:tr>
      <w:tr>
        <w:trPr>
          <w:trHeight w:val="630" w:hRule="exact"/>
        </w:trPr>
        <w:tc>
          <w:tcPr>
            <w:tcW w:w="5696" w:type="dxa"/>
            <w:tcBorders>
              <w:top w:val="nil" w:sz="6" w:space="0" w:color="auto"/>
              <w:left w:val="nil" w:sz="6" w:space="0" w:color="auto"/>
              <w:bottom w:val="single" w:sz="4" w:space="0" w:color="000000"/>
              <w:right w:val="nil" w:sz="6" w:space="0" w:color="auto"/>
            </w:tcBorders>
          </w:tcPr>
          <w:p>
            <w:pPr>
              <w:pStyle w:val="TableParagraph"/>
              <w:spacing w:line="274" w:lineRule="exact"/>
              <w:ind w:left="228" w:right="0"/>
              <w:jc w:val="left"/>
              <w:rPr>
                <w:rFonts w:ascii="宋体" w:hAnsi="宋体" w:cs="宋体" w:eastAsia="宋体" w:hint="default"/>
                <w:sz w:val="24"/>
                <w:szCs w:val="24"/>
              </w:rPr>
            </w:pPr>
            <w:r>
              <w:rPr>
                <w:rFonts w:ascii="宋体" w:hAnsi="宋体" w:cs="宋体" w:eastAsia="宋体" w:hint="default"/>
                <w:spacing w:val="3"/>
                <w:sz w:val="24"/>
                <w:szCs w:val="24"/>
              </w:rPr>
              <w:t>减：按照权益法核算的在被投资单位其他综合收</w:t>
            </w:r>
          </w:p>
          <w:p>
            <w:pPr>
              <w:pStyle w:val="TableParagraph"/>
              <w:spacing w:line="313" w:lineRule="exact"/>
              <w:ind w:left="515" w:right="0"/>
              <w:jc w:val="left"/>
              <w:rPr>
                <w:rFonts w:ascii="宋体" w:hAnsi="宋体" w:cs="宋体" w:eastAsia="宋体" w:hint="default"/>
                <w:sz w:val="24"/>
                <w:szCs w:val="24"/>
              </w:rPr>
            </w:pPr>
            <w:r>
              <w:rPr>
                <w:rFonts w:ascii="宋体" w:hAnsi="宋体" w:cs="宋体" w:eastAsia="宋体" w:hint="default"/>
                <w:sz w:val="24"/>
                <w:szCs w:val="24"/>
              </w:rPr>
              <w:t>益中所享有的份额产生的所得税影响</w:t>
            </w:r>
          </w:p>
        </w:tc>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right="339"/>
              <w:jc w:val="right"/>
              <w:rPr>
                <w:rFonts w:ascii="Arial Narrow" w:hAnsi="Arial Narrow" w:cs="Arial Narrow" w:eastAsia="Arial Narrow" w:hint="default"/>
                <w:sz w:val="24"/>
                <w:szCs w:val="24"/>
              </w:rPr>
            </w:pPr>
            <w:r>
              <w:rPr>
                <w:rFonts w:ascii="Arial Narrow"/>
                <w:sz w:val="24"/>
              </w:rPr>
              <w:t>-</w:t>
            </w:r>
          </w:p>
        </w:tc>
        <w:tc>
          <w:tcPr>
            <w:tcW w:w="1657" w:type="dxa"/>
            <w:tcBorders>
              <w:top w:val="nil" w:sz="6" w:space="0" w:color="auto"/>
              <w:left w:val="nil" w:sz="6" w:space="0" w:color="auto"/>
              <w:bottom w:val="single" w:sz="4" w:space="0" w:color="000000"/>
              <w:right w:val="nil" w:sz="6" w:space="0" w:color="auto"/>
            </w:tcBorders>
          </w:tcPr>
          <w:p>
            <w:pPr>
              <w:pStyle w:val="TableParagraph"/>
              <w:spacing w:line="240" w:lineRule="auto" w:before="169"/>
              <w:ind w:right="108"/>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00" w:h="16850"/>
          <w:pgMar w:header="0" w:footer="919" w:top="1640" w:bottom="1100" w:left="1140" w:right="960"/>
        </w:sectPr>
      </w:pPr>
    </w:p>
    <w:p>
      <w:pPr>
        <w:spacing w:line="240" w:lineRule="auto" w:before="3"/>
        <w:rPr>
          <w:rFonts w:ascii="宋体" w:hAnsi="宋体" w:cs="宋体" w:eastAsia="宋体" w:hint="default"/>
          <w:sz w:val="5"/>
          <w:szCs w:val="5"/>
        </w:rPr>
      </w:pPr>
      <w:r>
        <w:rPr/>
        <w:pict>
          <v:group style="position:absolute;margin-left:62.664001pt;margin-top:85.93998pt;width:477.25pt;height:.1pt;mso-position-horizontal-relative:page;mso-position-vertical-relative:page;z-index:-764488" coordorigin="1253,1719" coordsize="9545,2">
            <v:shape style="position:absolute;left:1253;top:1719;width:9545;height:2" coordorigin="1253,1719" coordsize="9545,0" path="m1253,1719l10798,1719e" filled="false" stroked="true" strokeweight=".72pt" strokecolor="#000000">
              <v:path arrowok="t"/>
            </v:shape>
            <w10:wrap type="none"/>
          </v:group>
        </w:pict>
      </w:r>
    </w:p>
    <w:tbl>
      <w:tblPr>
        <w:tblW w:w="0" w:type="auto"/>
        <w:jc w:val="left"/>
        <w:tblInd w:w="454" w:type="dxa"/>
        <w:tblLayout w:type="fixed"/>
        <w:tblCellMar>
          <w:top w:w="0" w:type="dxa"/>
          <w:left w:w="0" w:type="dxa"/>
          <w:bottom w:w="0" w:type="dxa"/>
          <w:right w:w="0" w:type="dxa"/>
        </w:tblCellMar>
        <w:tblLook w:val="01E0"/>
      </w:tblPr>
      <w:tblGrid>
        <w:gridCol w:w="5827"/>
        <w:gridCol w:w="1755"/>
        <w:gridCol w:w="1662"/>
      </w:tblGrid>
      <w:tr>
        <w:trPr>
          <w:trHeight w:val="556" w:hRule="exact"/>
        </w:trPr>
        <w:tc>
          <w:tcPr>
            <w:tcW w:w="5827"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635" w:right="0"/>
              <w:jc w:val="left"/>
              <w:rPr>
                <w:rFonts w:ascii="宋体" w:hAnsi="宋体" w:cs="宋体" w:eastAsia="宋体" w:hint="default"/>
                <w:sz w:val="24"/>
                <w:szCs w:val="24"/>
              </w:rPr>
            </w:pPr>
            <w:r>
              <w:rPr>
                <w:rFonts w:ascii="宋体" w:hAnsi="宋体" w:cs="宋体" w:eastAsia="宋体" w:hint="default"/>
                <w:sz w:val="24"/>
                <w:szCs w:val="24"/>
              </w:rPr>
              <w:t>前期计入其他综合收益当期转入损益的净额</w:t>
            </w:r>
          </w:p>
        </w:tc>
        <w:tc>
          <w:tcPr>
            <w:tcW w:w="175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334"/>
              <w:jc w:val="right"/>
              <w:rPr>
                <w:rFonts w:ascii="Arial Narrow" w:hAnsi="Arial Narrow" w:cs="Arial Narrow" w:eastAsia="Arial Narrow" w:hint="default"/>
                <w:sz w:val="24"/>
                <w:szCs w:val="24"/>
              </w:rPr>
            </w:pPr>
            <w:r>
              <w:rPr>
                <w:rFonts w:ascii="Arial Narrow"/>
                <w:sz w:val="24"/>
              </w:rPr>
              <w:t>-</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8"/>
              <w:jc w:val="right"/>
              <w:rPr>
                <w:rFonts w:ascii="Arial Narrow" w:hAnsi="Arial Narrow" w:cs="Arial Narrow" w:eastAsia="Arial Narrow" w:hint="default"/>
                <w:sz w:val="24"/>
                <w:szCs w:val="24"/>
              </w:rPr>
            </w:pPr>
            <w:r>
              <w:rPr>
                <w:rFonts w:ascii="Arial Narrow"/>
                <w:spacing w:val="-1"/>
                <w:sz w:val="24"/>
              </w:rPr>
              <w:t>-1,001,243.55</w:t>
            </w:r>
          </w:p>
        </w:tc>
      </w:tr>
      <w:tr>
        <w:trPr>
          <w:trHeight w:val="451" w:hRule="exact"/>
        </w:trPr>
        <w:tc>
          <w:tcPr>
            <w:tcW w:w="5827" w:type="dxa"/>
            <w:tcBorders>
              <w:top w:val="nil" w:sz="6" w:space="0" w:color="auto"/>
              <w:left w:val="nil" w:sz="6" w:space="0" w:color="auto"/>
              <w:bottom w:val="nil" w:sz="6" w:space="0" w:color="auto"/>
              <w:right w:val="nil" w:sz="6" w:space="0" w:color="auto"/>
            </w:tcBorders>
          </w:tcPr>
          <w:p>
            <w:pPr>
              <w:pStyle w:val="TableParagraph"/>
              <w:tabs>
                <w:tab w:pos="568" w:val="left" w:leader="none"/>
              </w:tabs>
              <w:spacing w:line="240" w:lineRule="auto" w:before="27"/>
              <w:ind w:left="108" w:right="0"/>
              <w:jc w:val="left"/>
              <w:rPr>
                <w:rFonts w:ascii="宋体" w:hAnsi="宋体" w:cs="宋体" w:eastAsia="宋体" w:hint="default"/>
                <w:sz w:val="24"/>
                <w:szCs w:val="24"/>
              </w:rPr>
            </w:pPr>
            <w:r>
              <w:rPr>
                <w:rFonts w:ascii="宋体" w:hAnsi="宋体" w:cs="宋体" w:eastAsia="宋体" w:hint="default"/>
                <w:b/>
                <w:bCs/>
                <w:w w:val="95"/>
                <w:sz w:val="24"/>
                <w:szCs w:val="24"/>
              </w:rPr>
              <w:t>小</w:t>
              <w:tab/>
            </w:r>
            <w:r>
              <w:rPr>
                <w:rFonts w:ascii="宋体" w:hAnsi="宋体" w:cs="宋体" w:eastAsia="宋体" w:hint="default"/>
                <w:b/>
                <w:bCs/>
                <w:sz w:val="24"/>
                <w:szCs w:val="24"/>
              </w:rPr>
              <w:t>计</w:t>
            </w:r>
            <w:r>
              <w:rPr>
                <w:rFonts w:ascii="宋体" w:hAnsi="宋体" w:cs="宋体" w:eastAsia="宋体" w:hint="default"/>
                <w:sz w:val="24"/>
                <w:szCs w:val="24"/>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5"/>
              <w:jc w:val="right"/>
              <w:rPr>
                <w:rFonts w:ascii="Arial Narrow" w:hAnsi="Arial Narrow" w:cs="Arial Narrow" w:eastAsia="Arial Narrow" w:hint="default"/>
                <w:sz w:val="24"/>
                <w:szCs w:val="24"/>
              </w:rPr>
            </w:pPr>
            <w:r>
              <w:rPr>
                <w:rFonts w:ascii="Arial Narrow"/>
                <w:b/>
                <w:spacing w:val="-1"/>
                <w:sz w:val="24"/>
              </w:rPr>
              <w:t>181,760.00</w:t>
            </w:r>
            <w:r>
              <w:rPr>
                <w:rFonts w:ascii="Arial Narrow"/>
                <w:spacing w:val="-1"/>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8"/>
              <w:jc w:val="right"/>
              <w:rPr>
                <w:rFonts w:ascii="Arial Narrow" w:hAnsi="Arial Narrow" w:cs="Arial Narrow" w:eastAsia="Arial Narrow" w:hint="default"/>
                <w:sz w:val="24"/>
                <w:szCs w:val="24"/>
              </w:rPr>
            </w:pPr>
            <w:r>
              <w:rPr>
                <w:rFonts w:ascii="Arial Narrow"/>
                <w:b/>
                <w:spacing w:val="-1"/>
                <w:sz w:val="24"/>
              </w:rPr>
              <w:t>-537,937.89</w:t>
            </w:r>
            <w:r>
              <w:rPr>
                <w:rFonts w:ascii="Arial Narrow"/>
                <w:spacing w:val="-1"/>
                <w:sz w:val="24"/>
              </w:rPr>
            </w:r>
          </w:p>
        </w:tc>
      </w:tr>
      <w:tr>
        <w:trPr>
          <w:trHeight w:val="449"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4"/>
                <w:szCs w:val="24"/>
              </w:rPr>
            </w:pPr>
            <w:r>
              <w:rPr>
                <w:rFonts w:ascii="宋体" w:hAnsi="宋体" w:cs="宋体" w:eastAsia="宋体" w:hint="default"/>
                <w:sz w:val="24"/>
                <w:szCs w:val="24"/>
              </w:rPr>
              <w:t>三、现金流量套期工具产生的利得（或损失）金额</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4"/>
              <w:jc w:val="right"/>
              <w:rPr>
                <w:rFonts w:ascii="Arial Narrow" w:hAnsi="Arial Narrow" w:cs="Arial Narrow" w:eastAsia="Arial Narrow" w:hint="default"/>
                <w:sz w:val="24"/>
                <w:szCs w:val="24"/>
              </w:rPr>
            </w:pPr>
            <w:r>
              <w:rPr>
                <w:rFonts w:ascii="Arial Narrow"/>
                <w:sz w:val="24"/>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Arial Narrow" w:hAnsi="Arial Narrow" w:cs="Arial Narrow" w:eastAsia="Arial Narrow" w:hint="default"/>
                <w:sz w:val="24"/>
                <w:szCs w:val="24"/>
              </w:rPr>
            </w:pPr>
            <w:r>
              <w:rPr>
                <w:rFonts w:ascii="Arial Narrow"/>
                <w:sz w:val="24"/>
              </w:rPr>
              <w:t>-</w:t>
            </w:r>
          </w:p>
        </w:tc>
      </w:tr>
      <w:tr>
        <w:trPr>
          <w:trHeight w:val="451"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28" w:right="0"/>
              <w:jc w:val="left"/>
              <w:rPr>
                <w:rFonts w:ascii="宋体" w:hAnsi="宋体" w:cs="宋体" w:eastAsia="宋体" w:hint="default"/>
                <w:sz w:val="24"/>
                <w:szCs w:val="24"/>
              </w:rPr>
            </w:pPr>
            <w:r>
              <w:rPr>
                <w:rFonts w:ascii="宋体" w:hAnsi="宋体" w:cs="宋体" w:eastAsia="宋体" w:hint="default"/>
                <w:sz w:val="24"/>
                <w:szCs w:val="24"/>
              </w:rPr>
              <w:t>减：现金流量套期工具产生的所得税影响</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4"/>
              <w:jc w:val="right"/>
              <w:rPr>
                <w:rFonts w:ascii="Arial Narrow" w:hAnsi="Arial Narrow" w:cs="Arial Narrow" w:eastAsia="Arial Narrow" w:hint="default"/>
                <w:sz w:val="24"/>
                <w:szCs w:val="24"/>
              </w:rPr>
            </w:pPr>
            <w:r>
              <w:rPr>
                <w:rFonts w:ascii="Arial Narrow"/>
                <w:sz w:val="24"/>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8"/>
              <w:jc w:val="right"/>
              <w:rPr>
                <w:rFonts w:ascii="Arial Narrow" w:hAnsi="Arial Narrow" w:cs="Arial Narrow" w:eastAsia="Arial Narrow" w:hint="default"/>
                <w:sz w:val="24"/>
                <w:szCs w:val="24"/>
              </w:rPr>
            </w:pPr>
            <w:r>
              <w:rPr>
                <w:rFonts w:ascii="Arial Narrow"/>
                <w:sz w:val="24"/>
              </w:rPr>
              <w:t>-</w:t>
            </w:r>
          </w:p>
        </w:tc>
      </w:tr>
      <w:tr>
        <w:trPr>
          <w:trHeight w:val="449"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07" w:right="0"/>
              <w:jc w:val="left"/>
              <w:rPr>
                <w:rFonts w:ascii="宋体" w:hAnsi="宋体" w:cs="宋体" w:eastAsia="宋体" w:hint="default"/>
                <w:sz w:val="24"/>
                <w:szCs w:val="24"/>
              </w:rPr>
            </w:pPr>
            <w:r>
              <w:rPr>
                <w:rFonts w:ascii="宋体" w:hAnsi="宋体" w:cs="宋体" w:eastAsia="宋体" w:hint="default"/>
                <w:sz w:val="24"/>
                <w:szCs w:val="24"/>
              </w:rPr>
              <w:t>前期计入其他综合收益当期转入损益的净额</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4"/>
              <w:jc w:val="right"/>
              <w:rPr>
                <w:rFonts w:ascii="Arial Narrow" w:hAnsi="Arial Narrow" w:cs="Arial Narrow" w:eastAsia="Arial Narrow" w:hint="default"/>
                <w:sz w:val="24"/>
                <w:szCs w:val="24"/>
              </w:rPr>
            </w:pPr>
            <w:r>
              <w:rPr>
                <w:rFonts w:ascii="Arial Narrow"/>
                <w:sz w:val="24"/>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Arial Narrow" w:hAnsi="Arial Narrow" w:cs="Arial Narrow" w:eastAsia="Arial Narrow" w:hint="default"/>
                <w:sz w:val="24"/>
                <w:szCs w:val="24"/>
              </w:rPr>
            </w:pPr>
            <w:r>
              <w:rPr>
                <w:rFonts w:ascii="Arial Narrow"/>
                <w:sz w:val="24"/>
              </w:rPr>
              <w:t>-</w:t>
            </w:r>
          </w:p>
        </w:tc>
      </w:tr>
      <w:tr>
        <w:trPr>
          <w:trHeight w:val="452"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87" w:right="0"/>
              <w:jc w:val="left"/>
              <w:rPr>
                <w:rFonts w:ascii="宋体" w:hAnsi="宋体" w:cs="宋体" w:eastAsia="宋体" w:hint="default"/>
                <w:sz w:val="24"/>
                <w:szCs w:val="24"/>
              </w:rPr>
            </w:pPr>
            <w:r>
              <w:rPr>
                <w:rFonts w:ascii="宋体" w:hAnsi="宋体" w:cs="宋体" w:eastAsia="宋体" w:hint="default"/>
                <w:sz w:val="24"/>
                <w:szCs w:val="24"/>
              </w:rPr>
              <w:t>转为被套期项目初始确认金额的调整额</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4"/>
              <w:jc w:val="right"/>
              <w:rPr>
                <w:rFonts w:ascii="Arial Narrow" w:hAnsi="Arial Narrow" w:cs="Arial Narrow" w:eastAsia="Arial Narrow" w:hint="default"/>
                <w:sz w:val="24"/>
                <w:szCs w:val="24"/>
              </w:rPr>
            </w:pPr>
            <w:r>
              <w:rPr>
                <w:rFonts w:ascii="Arial Narrow"/>
                <w:sz w:val="24"/>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8"/>
              <w:jc w:val="right"/>
              <w:rPr>
                <w:rFonts w:ascii="Arial Narrow" w:hAnsi="Arial Narrow" w:cs="Arial Narrow" w:eastAsia="Arial Narrow" w:hint="default"/>
                <w:sz w:val="24"/>
                <w:szCs w:val="24"/>
              </w:rPr>
            </w:pPr>
            <w:r>
              <w:rPr>
                <w:rFonts w:ascii="Arial Narrow"/>
                <w:sz w:val="24"/>
              </w:rPr>
              <w:t>-</w:t>
            </w:r>
          </w:p>
        </w:tc>
      </w:tr>
      <w:tr>
        <w:trPr>
          <w:trHeight w:val="449" w:hRule="exact"/>
        </w:trPr>
        <w:tc>
          <w:tcPr>
            <w:tcW w:w="5827"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27"/>
              <w:ind w:left="108" w:right="0"/>
              <w:jc w:val="left"/>
              <w:rPr>
                <w:rFonts w:ascii="宋体" w:hAnsi="宋体" w:cs="宋体" w:eastAsia="宋体" w:hint="default"/>
                <w:sz w:val="24"/>
                <w:szCs w:val="24"/>
              </w:rPr>
            </w:pPr>
            <w:r>
              <w:rPr>
                <w:rFonts w:ascii="宋体" w:hAnsi="宋体" w:cs="宋体" w:eastAsia="宋体" w:hint="default"/>
                <w:b/>
                <w:bCs/>
                <w:w w:val="95"/>
                <w:sz w:val="24"/>
                <w:szCs w:val="24"/>
              </w:rPr>
              <w:t>小</w:t>
              <w:tab/>
            </w:r>
            <w:r>
              <w:rPr>
                <w:rFonts w:ascii="宋体" w:hAnsi="宋体" w:cs="宋体" w:eastAsia="宋体" w:hint="default"/>
                <w:b/>
                <w:bCs/>
                <w:sz w:val="24"/>
                <w:szCs w:val="24"/>
              </w:rPr>
              <w:t>计</w:t>
            </w:r>
            <w:r>
              <w:rPr>
                <w:rFonts w:ascii="宋体" w:hAnsi="宋体" w:cs="宋体" w:eastAsia="宋体" w:hint="default"/>
                <w:sz w:val="24"/>
                <w:szCs w:val="24"/>
              </w:rPr>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4"/>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r>
        <w:trPr>
          <w:trHeight w:val="451"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4"/>
                <w:szCs w:val="24"/>
              </w:rPr>
            </w:pPr>
            <w:r>
              <w:rPr>
                <w:rFonts w:ascii="宋体" w:hAnsi="宋体" w:cs="宋体" w:eastAsia="宋体" w:hint="default"/>
                <w:sz w:val="24"/>
                <w:szCs w:val="24"/>
              </w:rPr>
              <w:t>四、外币财务报表折算差额</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6"/>
              <w:jc w:val="right"/>
              <w:rPr>
                <w:rFonts w:ascii="Arial Narrow" w:hAnsi="Arial Narrow" w:cs="Arial Narrow" w:eastAsia="Arial Narrow" w:hint="default"/>
                <w:sz w:val="24"/>
                <w:szCs w:val="24"/>
              </w:rPr>
            </w:pPr>
            <w:r>
              <w:rPr>
                <w:rFonts w:ascii="Arial Narrow"/>
                <w:spacing w:val="-1"/>
                <w:sz w:val="24"/>
              </w:rPr>
              <w:t>-250,194.96</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8"/>
              <w:jc w:val="right"/>
              <w:rPr>
                <w:rFonts w:ascii="Arial Narrow" w:hAnsi="Arial Narrow" w:cs="Arial Narrow" w:eastAsia="Arial Narrow" w:hint="default"/>
                <w:sz w:val="24"/>
                <w:szCs w:val="24"/>
              </w:rPr>
            </w:pPr>
            <w:r>
              <w:rPr>
                <w:rFonts w:ascii="Arial Narrow"/>
                <w:spacing w:val="-1"/>
                <w:sz w:val="24"/>
              </w:rPr>
              <w:t>-347,689.62</w:t>
            </w:r>
          </w:p>
        </w:tc>
      </w:tr>
      <w:tr>
        <w:trPr>
          <w:trHeight w:val="449"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28" w:right="0"/>
              <w:jc w:val="left"/>
              <w:rPr>
                <w:rFonts w:ascii="宋体" w:hAnsi="宋体" w:cs="宋体" w:eastAsia="宋体" w:hint="default"/>
                <w:sz w:val="24"/>
                <w:szCs w:val="24"/>
              </w:rPr>
            </w:pPr>
            <w:r>
              <w:rPr>
                <w:rFonts w:ascii="宋体" w:hAnsi="宋体" w:cs="宋体" w:eastAsia="宋体" w:hint="default"/>
                <w:sz w:val="24"/>
                <w:szCs w:val="24"/>
              </w:rPr>
              <w:t>减：处置境外经营当期转入损益的净额</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4"/>
              <w:jc w:val="right"/>
              <w:rPr>
                <w:rFonts w:ascii="Arial Narrow" w:hAnsi="Arial Narrow" w:cs="Arial Narrow" w:eastAsia="Arial Narrow" w:hint="default"/>
                <w:sz w:val="24"/>
                <w:szCs w:val="24"/>
              </w:rPr>
            </w:pPr>
            <w:r>
              <w:rPr>
                <w:rFonts w:ascii="Arial Narrow"/>
                <w:sz w:val="24"/>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Arial Narrow" w:hAnsi="Arial Narrow" w:cs="Arial Narrow" w:eastAsia="Arial Narrow" w:hint="default"/>
                <w:sz w:val="24"/>
                <w:szCs w:val="24"/>
              </w:rPr>
            </w:pPr>
            <w:r>
              <w:rPr>
                <w:rFonts w:ascii="Arial Narrow"/>
                <w:sz w:val="24"/>
              </w:rPr>
              <w:t>-</w:t>
            </w:r>
          </w:p>
        </w:tc>
      </w:tr>
      <w:tr>
        <w:trPr>
          <w:trHeight w:val="451"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4"/>
                <w:szCs w:val="24"/>
              </w:rPr>
            </w:pPr>
            <w:r>
              <w:rPr>
                <w:rFonts w:ascii="宋体" w:hAnsi="宋体" w:cs="宋体" w:eastAsia="宋体" w:hint="default"/>
                <w:sz w:val="24"/>
                <w:szCs w:val="24"/>
              </w:rPr>
              <w:t>五、其他</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4"/>
              <w:jc w:val="right"/>
              <w:rPr>
                <w:rFonts w:ascii="Arial Narrow" w:hAnsi="Arial Narrow" w:cs="Arial Narrow" w:eastAsia="Arial Narrow" w:hint="default"/>
                <w:sz w:val="24"/>
                <w:szCs w:val="24"/>
              </w:rPr>
            </w:pPr>
            <w:r>
              <w:rPr>
                <w:rFonts w:ascii="Arial Narrow"/>
                <w:sz w:val="24"/>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8"/>
              <w:jc w:val="right"/>
              <w:rPr>
                <w:rFonts w:ascii="Arial Narrow" w:hAnsi="Arial Narrow" w:cs="Arial Narrow" w:eastAsia="Arial Narrow" w:hint="default"/>
                <w:sz w:val="24"/>
                <w:szCs w:val="24"/>
              </w:rPr>
            </w:pPr>
            <w:r>
              <w:rPr>
                <w:rFonts w:ascii="Arial Narrow"/>
                <w:sz w:val="24"/>
              </w:rPr>
              <w:t>-</w:t>
            </w:r>
          </w:p>
        </w:tc>
      </w:tr>
      <w:tr>
        <w:trPr>
          <w:trHeight w:val="414"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28" w:right="0"/>
              <w:jc w:val="left"/>
              <w:rPr>
                <w:rFonts w:ascii="宋体" w:hAnsi="宋体" w:cs="宋体" w:eastAsia="宋体" w:hint="default"/>
                <w:sz w:val="24"/>
                <w:szCs w:val="24"/>
              </w:rPr>
            </w:pPr>
            <w:r>
              <w:rPr>
                <w:rFonts w:ascii="宋体" w:hAnsi="宋体" w:cs="宋体" w:eastAsia="宋体" w:hint="default"/>
                <w:sz w:val="24"/>
                <w:szCs w:val="24"/>
              </w:rPr>
              <w:t>减：由其他计入其他综合收益产生的所得税影响</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4"/>
              <w:jc w:val="right"/>
              <w:rPr>
                <w:rFonts w:ascii="Arial Narrow" w:hAnsi="Arial Narrow" w:cs="Arial Narrow" w:eastAsia="Arial Narrow" w:hint="default"/>
                <w:sz w:val="24"/>
                <w:szCs w:val="24"/>
              </w:rPr>
            </w:pPr>
            <w:r>
              <w:rPr>
                <w:rFonts w:ascii="Arial Narrow"/>
                <w:sz w:val="24"/>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Arial Narrow" w:hAnsi="Arial Narrow" w:cs="Arial Narrow" w:eastAsia="Arial Narrow" w:hint="default"/>
                <w:sz w:val="24"/>
                <w:szCs w:val="24"/>
              </w:rPr>
            </w:pPr>
            <w:r>
              <w:rPr>
                <w:rFonts w:ascii="Arial Narrow"/>
                <w:sz w:val="24"/>
              </w:rPr>
              <w:t>-</w:t>
            </w:r>
          </w:p>
        </w:tc>
      </w:tr>
      <w:tr>
        <w:trPr>
          <w:trHeight w:val="690" w:hRule="exact"/>
        </w:trPr>
        <w:tc>
          <w:tcPr>
            <w:tcW w:w="5827" w:type="dxa"/>
            <w:tcBorders>
              <w:top w:val="nil" w:sz="6" w:space="0" w:color="auto"/>
              <w:left w:val="nil" w:sz="6" w:space="0" w:color="auto"/>
              <w:bottom w:val="nil" w:sz="6" w:space="0" w:color="auto"/>
              <w:right w:val="nil" w:sz="6" w:space="0" w:color="auto"/>
            </w:tcBorders>
          </w:tcPr>
          <w:p>
            <w:pPr>
              <w:pStyle w:val="TableParagraph"/>
              <w:spacing w:line="312" w:lineRule="exact" w:before="23"/>
              <w:ind w:left="515" w:right="363" w:firstLine="120"/>
              <w:jc w:val="left"/>
              <w:rPr>
                <w:rFonts w:ascii="宋体" w:hAnsi="宋体" w:cs="宋体" w:eastAsia="宋体" w:hint="default"/>
                <w:sz w:val="24"/>
                <w:szCs w:val="24"/>
              </w:rPr>
            </w:pPr>
            <w:r>
              <w:rPr>
                <w:rFonts w:ascii="宋体" w:hAnsi="宋体" w:cs="宋体" w:eastAsia="宋体" w:hint="default"/>
                <w:sz w:val="24"/>
                <w:szCs w:val="24"/>
              </w:rPr>
              <w:t>前期其他计入其他综合收益当期转入损益的净 额</w:t>
            </w:r>
          </w:p>
        </w:tc>
        <w:tc>
          <w:tcPr>
            <w:tcW w:w="1755"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334"/>
              <w:jc w:val="right"/>
              <w:rPr>
                <w:rFonts w:ascii="Arial Narrow" w:hAnsi="Arial Narrow" w:cs="Arial Narrow" w:eastAsia="Arial Narrow" w:hint="default"/>
                <w:sz w:val="24"/>
                <w:szCs w:val="24"/>
              </w:rPr>
            </w:pPr>
            <w:r>
              <w:rPr>
                <w:rFonts w:ascii="Arial Narrow"/>
                <w:sz w:val="24"/>
              </w:rPr>
              <w:t>-</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01"/>
              <w:ind w:right="108"/>
              <w:jc w:val="right"/>
              <w:rPr>
                <w:rFonts w:ascii="Arial Narrow" w:hAnsi="Arial Narrow" w:cs="Arial Narrow" w:eastAsia="Arial Narrow" w:hint="default"/>
                <w:sz w:val="24"/>
                <w:szCs w:val="24"/>
              </w:rPr>
            </w:pPr>
            <w:r>
              <w:rPr>
                <w:rFonts w:ascii="Arial Narrow"/>
                <w:sz w:val="24"/>
              </w:rPr>
              <w:t>-</w:t>
            </w:r>
          </w:p>
        </w:tc>
      </w:tr>
      <w:tr>
        <w:trPr>
          <w:trHeight w:val="421" w:hRule="exact"/>
        </w:trPr>
        <w:tc>
          <w:tcPr>
            <w:tcW w:w="5827" w:type="dxa"/>
            <w:tcBorders>
              <w:top w:val="nil" w:sz="6" w:space="0" w:color="auto"/>
              <w:left w:val="nil" w:sz="6" w:space="0" w:color="auto"/>
              <w:bottom w:val="single" w:sz="4" w:space="0" w:color="000000"/>
              <w:right w:val="nil" w:sz="6" w:space="0" w:color="auto"/>
            </w:tcBorders>
          </w:tcPr>
          <w:p>
            <w:pPr>
              <w:pStyle w:val="TableParagraph"/>
              <w:tabs>
                <w:tab w:pos="580" w:val="left" w:leader="none"/>
              </w:tabs>
              <w:spacing w:line="311"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小</w:t>
              <w:tab/>
            </w:r>
            <w:r>
              <w:rPr>
                <w:rFonts w:ascii="宋体" w:hAnsi="宋体" w:cs="宋体" w:eastAsia="宋体" w:hint="default"/>
                <w:b/>
                <w:bCs/>
                <w:sz w:val="24"/>
                <w:szCs w:val="24"/>
              </w:rPr>
              <w:t>计</w:t>
            </w:r>
            <w:r>
              <w:rPr>
                <w:rFonts w:ascii="宋体" w:hAnsi="宋体" w:cs="宋体" w:eastAsia="宋体" w:hint="default"/>
                <w:sz w:val="24"/>
                <w:szCs w:val="24"/>
              </w:rPr>
            </w:r>
          </w:p>
        </w:tc>
        <w:tc>
          <w:tcPr>
            <w:tcW w:w="175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334"/>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662"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8"/>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r>
        <w:trPr>
          <w:trHeight w:val="466" w:hRule="exact"/>
        </w:trPr>
        <w:tc>
          <w:tcPr>
            <w:tcW w:w="5827"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240" w:lineRule="auto" w:before="29"/>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755" w:type="dxa"/>
            <w:tcBorders>
              <w:top w:val="single" w:sz="4" w:space="0" w:color="000000"/>
              <w:left w:val="nil" w:sz="6" w:space="0" w:color="auto"/>
              <w:bottom w:val="single" w:sz="8" w:space="0" w:color="000000"/>
              <w:right w:val="nil" w:sz="6" w:space="0" w:color="auto"/>
            </w:tcBorders>
          </w:tcPr>
          <w:p>
            <w:pPr>
              <w:pStyle w:val="TableParagraph"/>
              <w:spacing w:line="240" w:lineRule="auto" w:before="82"/>
              <w:ind w:right="335"/>
              <w:jc w:val="right"/>
              <w:rPr>
                <w:rFonts w:ascii="Arial Narrow" w:hAnsi="Arial Narrow" w:cs="Arial Narrow" w:eastAsia="Arial Narrow" w:hint="default"/>
                <w:sz w:val="24"/>
                <w:szCs w:val="24"/>
              </w:rPr>
            </w:pPr>
            <w:r>
              <w:rPr>
                <w:rFonts w:ascii="Arial Narrow"/>
                <w:b/>
                <w:spacing w:val="-1"/>
                <w:sz w:val="24"/>
              </w:rPr>
              <w:t>-68,434.96</w:t>
            </w:r>
            <w:r>
              <w:rPr>
                <w:rFonts w:ascii="Arial Narrow"/>
                <w:spacing w:val="-1"/>
                <w:sz w:val="24"/>
              </w:rPr>
            </w:r>
          </w:p>
        </w:tc>
        <w:tc>
          <w:tcPr>
            <w:tcW w:w="1662" w:type="dxa"/>
            <w:tcBorders>
              <w:top w:val="single" w:sz="4" w:space="0" w:color="000000"/>
              <w:left w:val="nil" w:sz="6" w:space="0" w:color="auto"/>
              <w:bottom w:val="single" w:sz="8" w:space="0" w:color="000000"/>
              <w:right w:val="nil" w:sz="6" w:space="0" w:color="auto"/>
            </w:tcBorders>
          </w:tcPr>
          <w:p>
            <w:pPr>
              <w:pStyle w:val="TableParagraph"/>
              <w:spacing w:line="240" w:lineRule="auto" w:before="82"/>
              <w:ind w:right="108"/>
              <w:jc w:val="right"/>
              <w:rPr>
                <w:rFonts w:ascii="Arial Narrow" w:hAnsi="Arial Narrow" w:cs="Arial Narrow" w:eastAsia="Arial Narrow" w:hint="default"/>
                <w:sz w:val="24"/>
                <w:szCs w:val="24"/>
              </w:rPr>
            </w:pPr>
            <w:r>
              <w:rPr>
                <w:rFonts w:ascii="Arial Narrow"/>
                <w:b/>
                <w:spacing w:val="-1"/>
                <w:sz w:val="24"/>
              </w:rPr>
              <w:t>-885,627.51</w:t>
            </w:r>
            <w:r>
              <w:rPr>
                <w:rFonts w:ascii="Arial Narrow"/>
                <w:spacing w:val="-1"/>
                <w:sz w:val="24"/>
              </w:rPr>
            </w:r>
          </w:p>
        </w:tc>
      </w:tr>
    </w:tbl>
    <w:p>
      <w:pPr>
        <w:pStyle w:val="BodyText"/>
        <w:spacing w:line="240" w:lineRule="auto" w:before="79"/>
        <w:ind w:left="142" w:right="4177"/>
        <w:jc w:val="left"/>
      </w:pPr>
      <w:r>
        <w:rPr>
          <w:rFonts w:ascii="Arial Narrow" w:hAnsi="Arial Narrow" w:cs="Arial Narrow" w:eastAsia="Arial Narrow" w:hint="default"/>
        </w:rPr>
        <w:t>45</w:t>
      </w:r>
      <w:r>
        <w:rPr/>
        <w:t>、现金流量表项目注释</w:t>
      </w:r>
    </w:p>
    <w:p>
      <w:pPr>
        <w:pStyle w:val="BodyText"/>
        <w:spacing w:line="240" w:lineRule="auto" w:before="197"/>
        <w:ind w:left="559" w:right="4177"/>
        <w:jc w:val="left"/>
      </w:pPr>
      <w:r>
        <w:rPr/>
        <w:t>（</w:t>
      </w:r>
      <w:r>
        <w:rPr>
          <w:rFonts w:ascii="Arial Narrow" w:hAnsi="Arial Narrow" w:cs="Arial Narrow" w:eastAsia="Arial Narrow" w:hint="default"/>
        </w:rPr>
        <w:t>1</w:t>
      </w:r>
      <w:r>
        <w:rPr/>
        <w:t>）收到的其他与经营活动有关的现金</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910"/>
        <w:gridCol w:w="3344"/>
        <w:gridCol w:w="1813"/>
      </w:tblGrid>
      <w:tr>
        <w:trPr>
          <w:trHeight w:val="391" w:hRule="exact"/>
        </w:trPr>
        <w:tc>
          <w:tcPr>
            <w:tcW w:w="3910"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344"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442"/>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813"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7" w:hRule="exact"/>
        </w:trPr>
        <w:tc>
          <w:tcPr>
            <w:tcW w:w="3910"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收政府补助资金</w:t>
            </w:r>
          </w:p>
        </w:tc>
        <w:tc>
          <w:tcPr>
            <w:tcW w:w="334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40"/>
              <w:jc w:val="right"/>
              <w:rPr>
                <w:rFonts w:ascii="Arial Narrow" w:hAnsi="Arial Narrow" w:cs="Arial Narrow" w:eastAsia="Arial Narrow" w:hint="default"/>
                <w:sz w:val="24"/>
                <w:szCs w:val="24"/>
              </w:rPr>
            </w:pPr>
            <w:r>
              <w:rPr>
                <w:rFonts w:ascii="Arial Narrow"/>
                <w:spacing w:val="-2"/>
                <w:sz w:val="24"/>
              </w:rPr>
              <w:t>5,211,541.55</w:t>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1"/>
                <w:sz w:val="24"/>
              </w:rPr>
              <w:t>7,540,519.41</w:t>
            </w:r>
          </w:p>
        </w:tc>
      </w:tr>
      <w:tr>
        <w:trPr>
          <w:trHeight w:val="395" w:hRule="exact"/>
        </w:trPr>
        <w:tc>
          <w:tcPr>
            <w:tcW w:w="3910" w:type="dxa"/>
            <w:tcBorders>
              <w:top w:val="nil" w:sz="6" w:space="0" w:color="auto"/>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收回备用金及保证金</w:t>
            </w:r>
          </w:p>
        </w:tc>
        <w:tc>
          <w:tcPr>
            <w:tcW w:w="33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40"/>
              <w:jc w:val="right"/>
              <w:rPr>
                <w:rFonts w:ascii="Arial Narrow" w:hAnsi="Arial Narrow" w:cs="Arial Narrow" w:eastAsia="Arial Narrow" w:hint="default"/>
                <w:sz w:val="24"/>
                <w:szCs w:val="24"/>
              </w:rPr>
            </w:pPr>
            <w:r>
              <w:rPr>
                <w:rFonts w:ascii="Arial Narrow"/>
                <w:spacing w:val="-1"/>
                <w:sz w:val="24"/>
              </w:rPr>
              <w:t>4,493,555.60</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Narrow" w:hAnsi="Arial Narrow" w:cs="Arial Narrow" w:eastAsia="Arial Narrow" w:hint="default"/>
                <w:sz w:val="24"/>
                <w:szCs w:val="24"/>
              </w:rPr>
            </w:pPr>
            <w:r>
              <w:rPr>
                <w:rFonts w:ascii="Arial Narrow"/>
                <w:spacing w:val="-1"/>
                <w:sz w:val="24"/>
              </w:rPr>
              <w:t>2,675,428.17</w:t>
            </w:r>
          </w:p>
        </w:tc>
      </w:tr>
      <w:tr>
        <w:trPr>
          <w:trHeight w:val="399" w:hRule="exact"/>
        </w:trPr>
        <w:tc>
          <w:tcPr>
            <w:tcW w:w="391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收其他各项往来款</w:t>
            </w:r>
          </w:p>
        </w:tc>
        <w:tc>
          <w:tcPr>
            <w:tcW w:w="334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439"/>
              <w:jc w:val="right"/>
              <w:rPr>
                <w:rFonts w:ascii="Arial Narrow" w:hAnsi="Arial Narrow" w:cs="Arial Narrow" w:eastAsia="Arial Narrow" w:hint="default"/>
                <w:sz w:val="24"/>
                <w:szCs w:val="24"/>
              </w:rPr>
            </w:pPr>
            <w:r>
              <w:rPr>
                <w:rFonts w:ascii="Arial Narrow"/>
                <w:spacing w:val="-1"/>
                <w:sz w:val="24"/>
              </w:rPr>
              <w:t>427,391.20</w:t>
            </w:r>
          </w:p>
        </w:tc>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8"/>
              <w:jc w:val="right"/>
              <w:rPr>
                <w:rFonts w:ascii="Arial Narrow" w:hAnsi="Arial Narrow" w:cs="Arial Narrow" w:eastAsia="Arial Narrow" w:hint="default"/>
                <w:sz w:val="24"/>
                <w:szCs w:val="24"/>
              </w:rPr>
            </w:pPr>
            <w:r>
              <w:rPr>
                <w:rFonts w:ascii="Arial Narrow"/>
                <w:spacing w:val="-1"/>
                <w:sz w:val="24"/>
              </w:rPr>
              <w:t>529,969.04</w:t>
            </w:r>
            <w:r>
              <w:rPr>
                <w:rFonts w:ascii="Arial Narrow"/>
                <w:sz w:val="24"/>
              </w:rPr>
            </w:r>
          </w:p>
        </w:tc>
      </w:tr>
      <w:tr>
        <w:trPr>
          <w:trHeight w:val="403" w:hRule="exact"/>
        </w:trPr>
        <w:tc>
          <w:tcPr>
            <w:tcW w:w="3910"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2"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34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440"/>
              <w:jc w:val="right"/>
              <w:rPr>
                <w:rFonts w:ascii="Arial Narrow" w:hAnsi="Arial Narrow" w:cs="Arial Narrow" w:eastAsia="Arial Narrow" w:hint="default"/>
                <w:sz w:val="24"/>
                <w:szCs w:val="24"/>
              </w:rPr>
            </w:pPr>
            <w:r>
              <w:rPr>
                <w:rFonts w:ascii="Arial Narrow"/>
                <w:b/>
                <w:spacing w:val="-1"/>
                <w:sz w:val="24"/>
              </w:rPr>
              <w:t>10,132,488.35</w:t>
            </w:r>
            <w:r>
              <w:rPr>
                <w:rFonts w:ascii="Arial Narrow"/>
                <w:spacing w:val="-1"/>
                <w:sz w:val="24"/>
              </w:rPr>
            </w:r>
          </w:p>
        </w:tc>
        <w:tc>
          <w:tcPr>
            <w:tcW w:w="181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9"/>
              <w:jc w:val="right"/>
              <w:rPr>
                <w:rFonts w:ascii="Arial Narrow" w:hAnsi="Arial Narrow" w:cs="Arial Narrow" w:eastAsia="Arial Narrow" w:hint="default"/>
                <w:sz w:val="24"/>
                <w:szCs w:val="24"/>
              </w:rPr>
            </w:pPr>
            <w:r>
              <w:rPr>
                <w:rFonts w:ascii="Arial Narrow"/>
                <w:b/>
                <w:spacing w:val="-1"/>
                <w:sz w:val="24"/>
              </w:rPr>
              <w:t>10,745,916.62</w:t>
            </w:r>
            <w:r>
              <w:rPr>
                <w:rFonts w:ascii="Arial Narrow"/>
                <w:spacing w:val="-1"/>
                <w:sz w:val="24"/>
              </w:rPr>
            </w:r>
          </w:p>
        </w:tc>
      </w:tr>
    </w:tbl>
    <w:p>
      <w:pPr>
        <w:pStyle w:val="BodyText"/>
        <w:spacing w:line="240" w:lineRule="auto" w:before="79"/>
        <w:ind w:left="559" w:right="4177"/>
        <w:jc w:val="left"/>
      </w:pPr>
      <w:r>
        <w:rPr/>
        <w:t>（</w:t>
      </w:r>
      <w:r>
        <w:rPr>
          <w:rFonts w:ascii="Arial Narrow" w:hAnsi="Arial Narrow" w:cs="Arial Narrow" w:eastAsia="Arial Narrow" w:hint="default"/>
        </w:rPr>
        <w:t>2</w:t>
      </w:r>
      <w:r>
        <w:rPr/>
        <w:t>）支付的其他与经营活动有关的现金</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790"/>
        <w:gridCol w:w="3464"/>
        <w:gridCol w:w="1813"/>
      </w:tblGrid>
      <w:tr>
        <w:trPr>
          <w:trHeight w:val="391" w:hRule="exact"/>
        </w:trPr>
        <w:tc>
          <w:tcPr>
            <w:tcW w:w="3790"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464"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442"/>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813"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8" w:hRule="exact"/>
        </w:trPr>
        <w:tc>
          <w:tcPr>
            <w:tcW w:w="3790"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付办公费用</w:t>
            </w:r>
          </w:p>
        </w:tc>
        <w:tc>
          <w:tcPr>
            <w:tcW w:w="34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40"/>
              <w:jc w:val="right"/>
              <w:rPr>
                <w:rFonts w:ascii="Arial Narrow" w:hAnsi="Arial Narrow" w:cs="Arial Narrow" w:eastAsia="Arial Narrow" w:hint="default"/>
                <w:sz w:val="24"/>
                <w:szCs w:val="24"/>
              </w:rPr>
            </w:pPr>
            <w:r>
              <w:rPr>
                <w:rFonts w:ascii="Arial Narrow"/>
                <w:spacing w:val="-1"/>
                <w:sz w:val="24"/>
              </w:rPr>
              <w:t>20,103,220.40</w:t>
            </w: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9"/>
              <w:jc w:val="right"/>
              <w:rPr>
                <w:rFonts w:ascii="Arial Narrow" w:hAnsi="Arial Narrow" w:cs="Arial Narrow" w:eastAsia="Arial Narrow" w:hint="default"/>
                <w:sz w:val="24"/>
                <w:szCs w:val="24"/>
              </w:rPr>
            </w:pPr>
            <w:r>
              <w:rPr>
                <w:rFonts w:ascii="Arial Narrow"/>
                <w:spacing w:val="-1"/>
                <w:sz w:val="24"/>
              </w:rPr>
              <w:t>15,830,168.60</w:t>
            </w:r>
          </w:p>
        </w:tc>
      </w:tr>
      <w:tr>
        <w:trPr>
          <w:trHeight w:val="394"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付销售费用</w:t>
            </w:r>
          </w:p>
        </w:tc>
        <w:tc>
          <w:tcPr>
            <w:tcW w:w="346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40"/>
              <w:jc w:val="right"/>
              <w:rPr>
                <w:rFonts w:ascii="Arial Narrow" w:hAnsi="Arial Narrow" w:cs="Arial Narrow" w:eastAsia="Arial Narrow" w:hint="default"/>
                <w:sz w:val="24"/>
                <w:szCs w:val="24"/>
              </w:rPr>
            </w:pPr>
            <w:r>
              <w:rPr>
                <w:rFonts w:ascii="Arial Narrow"/>
                <w:spacing w:val="-1"/>
                <w:sz w:val="24"/>
              </w:rPr>
              <w:t>31,476,871.44</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9"/>
              <w:jc w:val="right"/>
              <w:rPr>
                <w:rFonts w:ascii="Arial Narrow" w:hAnsi="Arial Narrow" w:cs="Arial Narrow" w:eastAsia="Arial Narrow" w:hint="default"/>
                <w:sz w:val="24"/>
                <w:szCs w:val="24"/>
              </w:rPr>
            </w:pPr>
            <w:r>
              <w:rPr>
                <w:rFonts w:ascii="Arial Narrow"/>
                <w:spacing w:val="-1"/>
                <w:sz w:val="24"/>
              </w:rPr>
              <w:t>13,748,677.81</w:t>
            </w:r>
          </w:p>
        </w:tc>
      </w:tr>
      <w:tr>
        <w:trPr>
          <w:trHeight w:val="401" w:hRule="exact"/>
        </w:trPr>
        <w:tc>
          <w:tcPr>
            <w:tcW w:w="379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付备用金及保证金</w:t>
            </w:r>
          </w:p>
        </w:tc>
        <w:tc>
          <w:tcPr>
            <w:tcW w:w="346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40"/>
              <w:jc w:val="right"/>
              <w:rPr>
                <w:rFonts w:ascii="Arial Narrow" w:hAnsi="Arial Narrow" w:cs="Arial Narrow" w:eastAsia="Arial Narrow" w:hint="default"/>
                <w:sz w:val="24"/>
                <w:szCs w:val="24"/>
              </w:rPr>
            </w:pPr>
            <w:r>
              <w:rPr>
                <w:rFonts w:ascii="Arial Narrow"/>
                <w:spacing w:val="-1"/>
                <w:sz w:val="24"/>
              </w:rPr>
              <w:t>10,436,283.27</w:t>
            </w:r>
          </w:p>
        </w:tc>
        <w:tc>
          <w:tcPr>
            <w:tcW w:w="181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2"/>
                <w:sz w:val="24"/>
              </w:rPr>
              <w:t>12,121,911.85</w:t>
            </w:r>
          </w:p>
        </w:tc>
      </w:tr>
      <w:tr>
        <w:trPr>
          <w:trHeight w:val="401" w:hRule="exact"/>
        </w:trPr>
        <w:tc>
          <w:tcPr>
            <w:tcW w:w="3790" w:type="dxa"/>
            <w:tcBorders>
              <w:top w:val="single" w:sz="4" w:space="0" w:color="000000"/>
              <w:left w:val="nil" w:sz="6" w:space="0" w:color="auto"/>
              <w:bottom w:val="single" w:sz="8" w:space="0" w:color="000000"/>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64"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439"/>
              <w:jc w:val="right"/>
              <w:rPr>
                <w:rFonts w:ascii="Arial Narrow" w:hAnsi="Arial Narrow" w:cs="Arial Narrow" w:eastAsia="Arial Narrow" w:hint="default"/>
                <w:sz w:val="24"/>
                <w:szCs w:val="24"/>
              </w:rPr>
            </w:pPr>
            <w:r>
              <w:rPr>
                <w:rFonts w:ascii="Arial Narrow"/>
                <w:b/>
                <w:spacing w:val="-2"/>
                <w:sz w:val="24"/>
              </w:rPr>
              <w:t>62,016,375.11</w:t>
            </w:r>
            <w:r>
              <w:rPr>
                <w:rFonts w:ascii="Arial Narrow"/>
                <w:spacing w:val="-2"/>
                <w:sz w:val="24"/>
              </w:rPr>
            </w:r>
          </w:p>
        </w:tc>
        <w:tc>
          <w:tcPr>
            <w:tcW w:w="1813"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109"/>
              <w:jc w:val="right"/>
              <w:rPr>
                <w:rFonts w:ascii="Arial Narrow" w:hAnsi="Arial Narrow" w:cs="Arial Narrow" w:eastAsia="Arial Narrow" w:hint="default"/>
                <w:sz w:val="24"/>
                <w:szCs w:val="24"/>
              </w:rPr>
            </w:pPr>
            <w:r>
              <w:rPr>
                <w:rFonts w:ascii="Arial Narrow"/>
                <w:b/>
                <w:spacing w:val="-1"/>
                <w:sz w:val="24"/>
              </w:rPr>
              <w:t>41,700,758.26</w:t>
            </w:r>
            <w:r>
              <w:rPr>
                <w:rFonts w:ascii="Arial Narrow"/>
                <w:spacing w:val="-1"/>
                <w:sz w:val="24"/>
              </w:rPr>
            </w:r>
          </w:p>
        </w:tc>
      </w:tr>
    </w:tbl>
    <w:p>
      <w:pPr>
        <w:pStyle w:val="BodyText"/>
        <w:spacing w:line="240" w:lineRule="auto" w:before="79"/>
        <w:ind w:left="559" w:right="4177"/>
        <w:jc w:val="left"/>
      </w:pPr>
      <w:r>
        <w:rPr/>
        <w:t>（</w:t>
      </w:r>
      <w:r>
        <w:rPr>
          <w:rFonts w:ascii="Arial Narrow" w:hAnsi="Arial Narrow" w:cs="Arial Narrow" w:eastAsia="Arial Narrow" w:hint="default"/>
        </w:rPr>
        <w:t>3</w:t>
      </w:r>
      <w:r>
        <w:rPr/>
        <w:t>）收到的其他与投资活动有关的现金</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384"/>
        <w:gridCol w:w="3897"/>
        <w:gridCol w:w="1785"/>
      </w:tblGrid>
      <w:tr>
        <w:trPr>
          <w:trHeight w:val="391" w:hRule="exact"/>
        </w:trPr>
        <w:tc>
          <w:tcPr>
            <w:tcW w:w="3384"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897"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470"/>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785"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8" w:hRule="exact"/>
        </w:trPr>
        <w:tc>
          <w:tcPr>
            <w:tcW w:w="3384" w:type="dxa"/>
            <w:tcBorders>
              <w:top w:val="single" w:sz="4" w:space="0" w:color="000000"/>
              <w:left w:val="nil" w:sz="6" w:space="0" w:color="auto"/>
              <w:bottom w:val="single" w:sz="4" w:space="0" w:color="000000"/>
              <w:right w:val="nil" w:sz="6" w:space="0" w:color="auto"/>
            </w:tcBorders>
          </w:tcPr>
          <w:p>
            <w:pPr>
              <w:pStyle w:val="TableParagraph"/>
              <w:spacing w:line="312" w:lineRule="exact"/>
              <w:ind w:left="204"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389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467"/>
              <w:jc w:val="right"/>
              <w:rPr>
                <w:rFonts w:ascii="Arial Narrow" w:hAnsi="Arial Narrow" w:cs="Arial Narrow" w:eastAsia="Arial Narrow" w:hint="default"/>
                <w:sz w:val="24"/>
                <w:szCs w:val="24"/>
              </w:rPr>
            </w:pPr>
            <w:r>
              <w:rPr>
                <w:rFonts w:ascii="Arial Narrow"/>
                <w:spacing w:val="-1"/>
                <w:sz w:val="24"/>
              </w:rPr>
              <w:t>7,741,819.41</w:t>
            </w:r>
          </w:p>
        </w:tc>
        <w:tc>
          <w:tcPr>
            <w:tcW w:w="178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1"/>
                <w:sz w:val="24"/>
              </w:rPr>
              <w:t>1,163,468.23</w:t>
            </w:r>
          </w:p>
        </w:tc>
      </w:tr>
    </w:tbl>
    <w:p>
      <w:pPr>
        <w:spacing w:after="0" w:line="240" w:lineRule="auto"/>
        <w:jc w:val="right"/>
        <w:rPr>
          <w:rFonts w:ascii="Arial Narrow" w:hAnsi="Arial Narrow" w:cs="Arial Narrow" w:eastAsia="Arial Narrow" w:hint="default"/>
          <w:sz w:val="24"/>
          <w:szCs w:val="24"/>
        </w:rPr>
        <w:sectPr>
          <w:pgSz w:w="11900" w:h="16850"/>
          <w:pgMar w:header="0" w:footer="919" w:top="1640" w:bottom="1100" w:left="1140" w:right="96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7.95pt;height:.75pt;mso-position-horizontal-relative:char;mso-position-vertical-relative:line" coordorigin="0,0" coordsize="9559,15">
            <v:group style="position:absolute;left:7;top:7;width:9545;height:2" coordorigin="7,7" coordsize="9545,2">
              <v:shape style="position:absolute;left:7;top:7;width:9545;height:2" coordorigin="7,7" coordsize="9545,0" path="m7,7l955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43"/>
        <w:ind w:left="559" w:right="173"/>
        <w:jc w:val="left"/>
      </w:pPr>
      <w:r>
        <w:rPr/>
        <w:t>（</w:t>
      </w:r>
      <w:r>
        <w:rPr>
          <w:rFonts w:ascii="Arial Narrow" w:hAnsi="Arial Narrow" w:cs="Arial Narrow" w:eastAsia="Arial Narrow" w:hint="default"/>
        </w:rPr>
        <w:t>4</w:t>
      </w:r>
      <w:r>
        <w:rPr/>
        <w:t>）收到的其他与筹资活动有关的现金</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4104"/>
        <w:gridCol w:w="3177"/>
        <w:gridCol w:w="1785"/>
      </w:tblGrid>
      <w:tr>
        <w:trPr>
          <w:trHeight w:val="391" w:hRule="exact"/>
        </w:trPr>
        <w:tc>
          <w:tcPr>
            <w:tcW w:w="4104"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177"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470"/>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785"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8" w:hRule="exact"/>
        </w:trPr>
        <w:tc>
          <w:tcPr>
            <w:tcW w:w="4104" w:type="dxa"/>
            <w:tcBorders>
              <w:top w:val="single" w:sz="4" w:space="0" w:color="000000"/>
              <w:left w:val="nil" w:sz="6" w:space="0" w:color="auto"/>
              <w:bottom w:val="single" w:sz="4" w:space="0" w:color="000000"/>
              <w:right w:val="nil" w:sz="6" w:space="0" w:color="auto"/>
            </w:tcBorders>
          </w:tcPr>
          <w:p>
            <w:pPr>
              <w:pStyle w:val="TableParagraph"/>
              <w:spacing w:line="312" w:lineRule="exact"/>
              <w:ind w:left="204" w:right="0"/>
              <w:jc w:val="left"/>
              <w:rPr>
                <w:rFonts w:ascii="宋体" w:hAnsi="宋体" w:cs="宋体" w:eastAsia="宋体" w:hint="default"/>
                <w:sz w:val="24"/>
                <w:szCs w:val="24"/>
              </w:rPr>
            </w:pPr>
            <w:r>
              <w:rPr>
                <w:rFonts w:ascii="宋体" w:hAnsi="宋体" w:cs="宋体" w:eastAsia="宋体" w:hint="default"/>
                <w:sz w:val="24"/>
                <w:szCs w:val="24"/>
              </w:rPr>
              <w:t>计入资本公积的资助款</w:t>
            </w:r>
          </w:p>
        </w:tc>
        <w:tc>
          <w:tcPr>
            <w:tcW w:w="3177"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467"/>
              <w:jc w:val="right"/>
              <w:rPr>
                <w:rFonts w:ascii="Arial Narrow" w:hAnsi="Arial Narrow" w:cs="Arial Narrow" w:eastAsia="Arial Narrow" w:hint="default"/>
                <w:sz w:val="24"/>
                <w:szCs w:val="24"/>
              </w:rPr>
            </w:pPr>
            <w:r>
              <w:rPr>
                <w:rFonts w:ascii="Arial Narrow"/>
                <w:spacing w:val="-1"/>
                <w:sz w:val="24"/>
              </w:rPr>
              <w:t>275,700.00</w:t>
            </w:r>
          </w:p>
        </w:tc>
        <w:tc>
          <w:tcPr>
            <w:tcW w:w="1785"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8"/>
              <w:jc w:val="right"/>
              <w:rPr>
                <w:rFonts w:ascii="Arial Narrow" w:hAnsi="Arial Narrow" w:cs="Arial Narrow" w:eastAsia="Arial Narrow" w:hint="default"/>
                <w:sz w:val="24"/>
                <w:szCs w:val="24"/>
              </w:rPr>
            </w:pPr>
            <w:r>
              <w:rPr>
                <w:rFonts w:ascii="Arial Narrow"/>
                <w:spacing w:val="-1"/>
                <w:sz w:val="24"/>
              </w:rPr>
              <w:t>260,900.00</w:t>
            </w:r>
          </w:p>
        </w:tc>
      </w:tr>
    </w:tbl>
    <w:p>
      <w:pPr>
        <w:pStyle w:val="BodyText"/>
        <w:spacing w:line="240" w:lineRule="auto" w:before="79"/>
        <w:ind w:left="559" w:right="173"/>
        <w:jc w:val="left"/>
      </w:pPr>
      <w:r>
        <w:rPr/>
        <w:t>（</w:t>
      </w:r>
      <w:r>
        <w:rPr>
          <w:rFonts w:ascii="Arial Narrow" w:hAnsi="Arial Narrow" w:cs="Arial Narrow" w:eastAsia="Arial Narrow" w:hint="default"/>
        </w:rPr>
        <w:t>5</w:t>
      </w:r>
      <w:r>
        <w:rPr/>
        <w:t>）支付的其他与筹资活动有关的现金</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3624"/>
        <w:gridCol w:w="3658"/>
        <w:gridCol w:w="1784"/>
      </w:tblGrid>
      <w:tr>
        <w:trPr>
          <w:trHeight w:val="394" w:hRule="exact"/>
        </w:trPr>
        <w:tc>
          <w:tcPr>
            <w:tcW w:w="3624"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658"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471"/>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784"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9"/>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6" w:hRule="exact"/>
        </w:trPr>
        <w:tc>
          <w:tcPr>
            <w:tcW w:w="3624" w:type="dxa"/>
            <w:tcBorders>
              <w:top w:val="single" w:sz="4" w:space="0" w:color="000000"/>
              <w:left w:val="nil" w:sz="6" w:space="0" w:color="auto"/>
              <w:bottom w:val="single" w:sz="4" w:space="0" w:color="000000"/>
              <w:right w:val="nil" w:sz="6" w:space="0" w:color="auto"/>
            </w:tcBorders>
          </w:tcPr>
          <w:p>
            <w:pPr>
              <w:pStyle w:val="TableParagraph"/>
              <w:spacing w:line="312" w:lineRule="exact"/>
              <w:ind w:left="204" w:right="0"/>
              <w:jc w:val="left"/>
              <w:rPr>
                <w:rFonts w:ascii="宋体" w:hAnsi="宋体" w:cs="宋体" w:eastAsia="宋体" w:hint="default"/>
                <w:sz w:val="24"/>
                <w:szCs w:val="24"/>
              </w:rPr>
            </w:pPr>
            <w:r>
              <w:rPr>
                <w:rFonts w:ascii="宋体" w:hAnsi="宋体" w:cs="宋体" w:eastAsia="宋体" w:hint="default"/>
                <w:sz w:val="24"/>
                <w:szCs w:val="24"/>
              </w:rPr>
              <w:t>支付上市费用</w:t>
            </w:r>
          </w:p>
        </w:tc>
        <w:tc>
          <w:tcPr>
            <w:tcW w:w="3658"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466"/>
              <w:jc w:val="right"/>
              <w:rPr>
                <w:rFonts w:ascii="Arial Narrow" w:hAnsi="Arial Narrow" w:cs="Arial Narrow" w:eastAsia="Arial Narrow" w:hint="default"/>
                <w:sz w:val="24"/>
                <w:szCs w:val="24"/>
              </w:rPr>
            </w:pPr>
            <w:r>
              <w:rPr>
                <w:rFonts w:ascii="Arial Narrow"/>
                <w:sz w:val="24"/>
              </w:rPr>
              <w:t>-</w:t>
            </w:r>
          </w:p>
        </w:tc>
        <w:tc>
          <w:tcPr>
            <w:tcW w:w="1784" w:type="dxa"/>
            <w:tcBorders>
              <w:top w:val="single" w:sz="4" w:space="0" w:color="000000"/>
              <w:left w:val="nil" w:sz="6" w:space="0" w:color="auto"/>
              <w:bottom w:val="single" w:sz="4" w:space="0" w:color="000000"/>
              <w:right w:val="nil" w:sz="6" w:space="0" w:color="auto"/>
            </w:tcBorders>
          </w:tcPr>
          <w:p>
            <w:pPr>
              <w:pStyle w:val="TableParagraph"/>
              <w:spacing w:line="240" w:lineRule="auto" w:before="48"/>
              <w:ind w:right="108"/>
              <w:jc w:val="right"/>
              <w:rPr>
                <w:rFonts w:ascii="Arial Narrow" w:hAnsi="Arial Narrow" w:cs="Arial Narrow" w:eastAsia="Arial Narrow" w:hint="default"/>
                <w:sz w:val="24"/>
                <w:szCs w:val="24"/>
              </w:rPr>
            </w:pPr>
            <w:r>
              <w:rPr>
                <w:rFonts w:ascii="Arial Narrow"/>
                <w:spacing w:val="-1"/>
                <w:sz w:val="24"/>
              </w:rPr>
              <w:t>3,192,508.86</w:t>
            </w:r>
          </w:p>
        </w:tc>
      </w:tr>
    </w:tbl>
    <w:p>
      <w:pPr>
        <w:pStyle w:val="BodyText"/>
        <w:spacing w:line="240" w:lineRule="auto" w:before="80"/>
        <w:ind w:left="142" w:right="173"/>
        <w:jc w:val="left"/>
      </w:pPr>
      <w:r>
        <w:rPr>
          <w:rFonts w:ascii="Arial Narrow" w:hAnsi="Arial Narrow" w:cs="Arial Narrow" w:eastAsia="Arial Narrow" w:hint="default"/>
        </w:rPr>
        <w:t>46</w:t>
      </w:r>
      <w:r>
        <w:rPr/>
        <w:t>、现金流量表补充资料</w:t>
      </w:r>
    </w:p>
    <w:p>
      <w:pPr>
        <w:pStyle w:val="BodyText"/>
        <w:spacing w:line="240" w:lineRule="auto" w:before="197"/>
        <w:ind w:left="559" w:right="173"/>
        <w:jc w:val="left"/>
      </w:pPr>
      <w:r>
        <w:rPr/>
        <w:t>（</w:t>
      </w:r>
      <w:r>
        <w:rPr>
          <w:rFonts w:ascii="Arial Narrow" w:hAnsi="Arial Narrow" w:cs="Arial Narrow" w:eastAsia="Arial Narrow" w:hint="default"/>
        </w:rPr>
        <w:t>1</w:t>
      </w:r>
      <w:r>
        <w:rPr/>
        <w:t>）现金流量表补充资料</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5203"/>
        <w:gridCol w:w="2253"/>
        <w:gridCol w:w="1683"/>
      </w:tblGrid>
      <w:tr>
        <w:trPr>
          <w:trHeight w:val="415" w:hRule="exact"/>
        </w:trPr>
        <w:tc>
          <w:tcPr>
            <w:tcW w:w="5203"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88"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253"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521"/>
              <w:jc w:val="righ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83"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0"/>
              <w:jc w:val="righ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8" w:hRule="exact"/>
        </w:trPr>
        <w:tc>
          <w:tcPr>
            <w:tcW w:w="520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253" w:type="dxa"/>
            <w:tcBorders>
              <w:top w:val="single" w:sz="4" w:space="0" w:color="000000"/>
              <w:left w:val="nil" w:sz="6" w:space="0" w:color="auto"/>
              <w:bottom w:val="nil" w:sz="6" w:space="0" w:color="auto"/>
              <w:right w:val="nil" w:sz="6" w:space="0" w:color="auto"/>
            </w:tcBorders>
          </w:tcPr>
          <w:p>
            <w:pPr/>
          </w:p>
        </w:tc>
        <w:tc>
          <w:tcPr>
            <w:tcW w:w="1683" w:type="dxa"/>
            <w:tcBorders>
              <w:top w:val="single" w:sz="4" w:space="0" w:color="000000"/>
              <w:left w:val="nil" w:sz="6" w:space="0" w:color="auto"/>
              <w:bottom w:val="nil" w:sz="6" w:space="0" w:color="auto"/>
              <w:right w:val="nil" w:sz="6" w:space="0" w:color="auto"/>
            </w:tcBorders>
          </w:tcPr>
          <w:p>
            <w:pPr/>
          </w:p>
        </w:tc>
      </w:tr>
      <w:tr>
        <w:trPr>
          <w:trHeight w:val="394"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19"/>
              <w:jc w:val="right"/>
              <w:rPr>
                <w:rFonts w:ascii="Arial Narrow" w:hAnsi="Arial Narrow" w:cs="Arial Narrow" w:eastAsia="Arial Narrow" w:hint="default"/>
                <w:sz w:val="21"/>
                <w:szCs w:val="21"/>
              </w:rPr>
            </w:pPr>
            <w:r>
              <w:rPr>
                <w:rFonts w:ascii="Arial Narrow"/>
                <w:spacing w:val="-1"/>
                <w:sz w:val="21"/>
              </w:rPr>
              <w:t>47,273,415.44</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Arial Narrow" w:hAnsi="Arial Narrow" w:cs="Arial Narrow" w:eastAsia="Arial Narrow" w:hint="default"/>
                <w:sz w:val="21"/>
                <w:szCs w:val="21"/>
              </w:rPr>
            </w:pPr>
            <w:r>
              <w:rPr>
                <w:rFonts w:ascii="Arial Narrow"/>
                <w:spacing w:val="-1"/>
                <w:sz w:val="21"/>
              </w:rPr>
              <w:t>44,943,705.43</w:t>
            </w:r>
            <w:r>
              <w:rPr>
                <w:rFonts w:ascii="Arial Narrow"/>
                <w:sz w:val="21"/>
              </w:rPr>
            </w:r>
          </w:p>
        </w:tc>
      </w:tr>
      <w:tr>
        <w:trPr>
          <w:trHeight w:val="384"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19"/>
              <w:jc w:val="right"/>
              <w:rPr>
                <w:rFonts w:ascii="Arial Narrow" w:hAnsi="Arial Narrow" w:cs="Arial Narrow" w:eastAsia="Arial Narrow" w:hint="default"/>
                <w:sz w:val="21"/>
                <w:szCs w:val="21"/>
              </w:rPr>
            </w:pPr>
            <w:r>
              <w:rPr>
                <w:rFonts w:ascii="Arial Narrow"/>
                <w:spacing w:val="-1"/>
                <w:sz w:val="21"/>
              </w:rPr>
              <w:t>10,527,710.77</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9,182,275.42</w:t>
            </w:r>
            <w:r>
              <w:rPr>
                <w:rFonts w:ascii="Arial Narrow"/>
                <w:sz w:val="21"/>
              </w:rPr>
            </w:r>
          </w:p>
        </w:tc>
      </w:tr>
      <w:tr>
        <w:trPr>
          <w:trHeight w:val="641"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72" w:lineRule="exact" w:before="42"/>
              <w:ind w:right="575"/>
              <w:jc w:val="left"/>
              <w:rPr>
                <w:rFonts w:ascii="宋体" w:hAnsi="宋体" w:cs="宋体" w:eastAsia="宋体" w:hint="default"/>
                <w:sz w:val="21"/>
                <w:szCs w:val="21"/>
              </w:rPr>
            </w:pPr>
            <w:r>
              <w:rPr>
                <w:rFonts w:ascii="宋体" w:hAnsi="宋体" w:cs="宋体" w:eastAsia="宋体" w:hint="default"/>
                <w:spacing w:val="-2"/>
                <w:sz w:val="21"/>
                <w:szCs w:val="21"/>
              </w:rPr>
              <w:t>固定资产折旧、投资性房地产折旧、油气资产折耗</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生产性生物资产折旧</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9"/>
              <w:jc w:val="right"/>
              <w:rPr>
                <w:rFonts w:ascii="Arial Narrow" w:hAnsi="Arial Narrow" w:cs="Arial Narrow" w:eastAsia="Arial Narrow" w:hint="default"/>
                <w:sz w:val="21"/>
                <w:szCs w:val="21"/>
              </w:rPr>
            </w:pPr>
            <w:r>
              <w:rPr>
                <w:rFonts w:ascii="Arial Narrow"/>
                <w:spacing w:val="-1"/>
                <w:sz w:val="21"/>
              </w:rPr>
              <w:t>5,101,894.76</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Arial Narrow" w:hAnsi="Arial Narrow" w:cs="Arial Narrow" w:eastAsia="Arial Narrow" w:hint="default"/>
                <w:sz w:val="21"/>
                <w:szCs w:val="21"/>
              </w:rPr>
            </w:pPr>
            <w:r>
              <w:rPr>
                <w:rFonts w:ascii="Arial Narrow"/>
                <w:spacing w:val="-1"/>
                <w:sz w:val="21"/>
              </w:rPr>
              <w:t>2,489,180.93</w:t>
            </w:r>
            <w:r>
              <w:rPr>
                <w:rFonts w:ascii="Arial Narrow"/>
                <w:sz w:val="21"/>
              </w:rPr>
            </w:r>
          </w:p>
        </w:tc>
      </w:tr>
      <w:tr>
        <w:trPr>
          <w:trHeight w:val="389"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19"/>
              <w:jc w:val="right"/>
              <w:rPr>
                <w:rFonts w:ascii="Arial Narrow" w:hAnsi="Arial Narrow" w:cs="Arial Narrow" w:eastAsia="Arial Narrow" w:hint="default"/>
                <w:sz w:val="21"/>
                <w:szCs w:val="21"/>
              </w:rPr>
            </w:pPr>
            <w:r>
              <w:rPr>
                <w:rFonts w:ascii="Arial Narrow"/>
                <w:spacing w:val="-1"/>
                <w:sz w:val="21"/>
              </w:rPr>
              <w:t>4,960,293.35</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Narrow" w:hAnsi="Arial Narrow" w:cs="Arial Narrow" w:eastAsia="Arial Narrow" w:hint="default"/>
                <w:sz w:val="21"/>
                <w:szCs w:val="21"/>
              </w:rPr>
            </w:pPr>
            <w:r>
              <w:rPr>
                <w:rFonts w:ascii="Arial Narrow"/>
                <w:spacing w:val="-1"/>
                <w:sz w:val="21"/>
              </w:rPr>
              <w:t>889,913.74</w:t>
            </w:r>
            <w:r>
              <w:rPr>
                <w:rFonts w:ascii="Arial Narrow"/>
                <w:sz w:val="21"/>
              </w:rPr>
            </w:r>
          </w:p>
        </w:tc>
      </w:tr>
      <w:tr>
        <w:trPr>
          <w:trHeight w:val="382"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19"/>
              <w:jc w:val="right"/>
              <w:rPr>
                <w:rFonts w:ascii="Arial Narrow" w:hAnsi="Arial Narrow" w:cs="Arial Narrow" w:eastAsia="Arial Narrow" w:hint="default"/>
                <w:sz w:val="21"/>
                <w:szCs w:val="21"/>
              </w:rPr>
            </w:pPr>
            <w:r>
              <w:rPr>
                <w:rFonts w:ascii="Arial Narrow"/>
                <w:spacing w:val="-1"/>
                <w:sz w:val="21"/>
              </w:rPr>
              <w:t>207,774.94</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2,410.14</w:t>
            </w:r>
            <w:r>
              <w:rPr>
                <w:rFonts w:ascii="Arial Narrow"/>
                <w:sz w:val="21"/>
              </w:rPr>
            </w:r>
          </w:p>
        </w:tc>
      </w:tr>
      <w:tr>
        <w:trPr>
          <w:trHeight w:val="643"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72"/>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处置固定资产、无形资产和其他长期资产的损失（收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519"/>
              <w:jc w:val="right"/>
              <w:rPr>
                <w:rFonts w:ascii="Arial Narrow" w:hAnsi="Arial Narrow" w:cs="Arial Narrow" w:eastAsia="Arial Narrow" w:hint="default"/>
                <w:sz w:val="21"/>
                <w:szCs w:val="21"/>
              </w:rPr>
            </w:pPr>
            <w:r>
              <w:rPr>
                <w:rFonts w:ascii="Arial Narrow"/>
                <w:spacing w:val="-1"/>
                <w:sz w:val="21"/>
              </w:rPr>
              <w:t>423,261.20</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right"/>
              <w:rPr>
                <w:rFonts w:ascii="Arial Narrow" w:hAnsi="Arial Narrow" w:cs="Arial Narrow" w:eastAsia="Arial Narrow" w:hint="default"/>
                <w:sz w:val="21"/>
                <w:szCs w:val="21"/>
              </w:rPr>
            </w:pPr>
            <w:r>
              <w:rPr>
                <w:rFonts w:ascii="Arial Narrow"/>
                <w:spacing w:val="-1"/>
                <w:sz w:val="21"/>
              </w:rPr>
              <w:t>-6,684.26</w:t>
            </w:r>
            <w:r>
              <w:rPr>
                <w:rFonts w:ascii="Arial Narrow"/>
                <w:sz w:val="21"/>
              </w:rPr>
            </w:r>
          </w:p>
        </w:tc>
      </w:tr>
      <w:tr>
        <w:trPr>
          <w:trHeight w:val="383"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20"/>
              <w:jc w:val="right"/>
              <w:rPr>
                <w:rFonts w:ascii="Arial Narrow" w:hAnsi="Arial Narrow" w:cs="Arial Narrow" w:eastAsia="Arial Narrow" w:hint="default"/>
                <w:sz w:val="21"/>
                <w:szCs w:val="21"/>
              </w:rPr>
            </w:pPr>
            <w:r>
              <w:rPr>
                <w:rFonts w:ascii="Arial Narrow"/>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20"/>
              <w:jc w:val="right"/>
              <w:rPr>
                <w:rFonts w:ascii="Arial Narrow" w:hAnsi="Arial Narrow" w:cs="Arial Narrow" w:eastAsia="Arial Narrow" w:hint="default"/>
                <w:sz w:val="21"/>
                <w:szCs w:val="21"/>
              </w:rPr>
            </w:pPr>
            <w:r>
              <w:rPr>
                <w:rFonts w:ascii="Arial Narrow"/>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Arial Narrow" w:hAnsi="Arial Narrow" w:cs="Arial Narrow" w:eastAsia="Arial Narrow" w:hint="default"/>
                <w:sz w:val="21"/>
                <w:szCs w:val="21"/>
              </w:rPr>
            </w:pPr>
            <w:r>
              <w:rPr>
                <w:rFonts w:ascii="Arial Narrow"/>
                <w:w w:val="100"/>
                <w:sz w:val="21"/>
              </w:rPr>
              <w:t>-</w:t>
            </w:r>
          </w:p>
        </w:tc>
      </w:tr>
      <w:tr>
        <w:trPr>
          <w:trHeight w:val="398"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19"/>
              <w:jc w:val="right"/>
              <w:rPr>
                <w:rFonts w:ascii="Arial Narrow" w:hAnsi="Arial Narrow" w:cs="Arial Narrow" w:eastAsia="Arial Narrow" w:hint="default"/>
                <w:sz w:val="21"/>
                <w:szCs w:val="21"/>
              </w:rPr>
            </w:pPr>
            <w:r>
              <w:rPr>
                <w:rFonts w:ascii="Arial Narrow"/>
                <w:spacing w:val="-1"/>
                <w:sz w:val="21"/>
              </w:rPr>
              <w:t>-7,212,010.57</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-6,473,122.37</w:t>
            </w:r>
            <w:r>
              <w:rPr>
                <w:rFonts w:ascii="Arial Narrow"/>
                <w:sz w:val="21"/>
              </w:rPr>
            </w:r>
          </w:p>
        </w:tc>
      </w:tr>
      <w:tr>
        <w:trPr>
          <w:trHeight w:val="398"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19"/>
              <w:jc w:val="right"/>
              <w:rPr>
                <w:rFonts w:ascii="Arial Narrow" w:hAnsi="Arial Narrow" w:cs="Arial Narrow" w:eastAsia="Arial Narrow" w:hint="default"/>
                <w:sz w:val="21"/>
                <w:szCs w:val="21"/>
              </w:rPr>
            </w:pPr>
            <w:r>
              <w:rPr>
                <w:rFonts w:ascii="Arial Narrow"/>
                <w:spacing w:val="-1"/>
                <w:sz w:val="21"/>
              </w:rPr>
              <w:t>-1,382,890.12</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Arial Narrow" w:hAnsi="Arial Narrow" w:cs="Arial Narrow" w:eastAsia="Arial Narrow" w:hint="default"/>
                <w:sz w:val="21"/>
                <w:szCs w:val="21"/>
              </w:rPr>
            </w:pPr>
            <w:r>
              <w:rPr>
                <w:rFonts w:ascii="Arial Narrow"/>
                <w:spacing w:val="-1"/>
                <w:sz w:val="21"/>
              </w:rPr>
              <w:t>-5,513,912.14</w:t>
            </w:r>
            <w:r>
              <w:rPr>
                <w:rFonts w:ascii="Arial Narrow"/>
                <w:sz w:val="21"/>
              </w:rPr>
            </w:r>
          </w:p>
        </w:tc>
      </w:tr>
      <w:tr>
        <w:trPr>
          <w:trHeight w:val="396"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19"/>
              <w:jc w:val="right"/>
              <w:rPr>
                <w:rFonts w:ascii="Arial Narrow" w:hAnsi="Arial Narrow" w:cs="Arial Narrow" w:eastAsia="Arial Narrow" w:hint="default"/>
                <w:sz w:val="21"/>
                <w:szCs w:val="21"/>
              </w:rPr>
            </w:pPr>
            <w:r>
              <w:rPr>
                <w:rFonts w:ascii="Arial Narrow"/>
                <w:spacing w:val="-1"/>
                <w:sz w:val="21"/>
              </w:rPr>
              <w:t>-1,541,258.44</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-922,031.29</w:t>
            </w:r>
            <w:r>
              <w:rPr>
                <w:rFonts w:ascii="Arial Narrow"/>
                <w:sz w:val="21"/>
              </w:rPr>
            </w:r>
          </w:p>
        </w:tc>
      </w:tr>
      <w:tr>
        <w:trPr>
          <w:trHeight w:val="397"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20"/>
              <w:jc w:val="right"/>
              <w:rPr>
                <w:rFonts w:ascii="Arial Narrow" w:hAnsi="Arial Narrow" w:cs="Arial Narrow" w:eastAsia="Arial Narrow" w:hint="default"/>
                <w:sz w:val="21"/>
                <w:szCs w:val="21"/>
              </w:rPr>
            </w:pPr>
            <w:r>
              <w:rPr>
                <w:rFonts w:ascii="Arial Narrow"/>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19"/>
              <w:jc w:val="right"/>
              <w:rPr>
                <w:rFonts w:ascii="Arial Narrow" w:hAnsi="Arial Narrow" w:cs="Arial Narrow" w:eastAsia="Arial Narrow" w:hint="default"/>
                <w:sz w:val="21"/>
                <w:szCs w:val="21"/>
              </w:rPr>
            </w:pPr>
            <w:r>
              <w:rPr>
                <w:rFonts w:ascii="Arial Narrow"/>
                <w:spacing w:val="-1"/>
                <w:sz w:val="21"/>
              </w:rPr>
              <w:t>29,279.88</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Arial Narrow" w:hAnsi="Arial Narrow" w:cs="Arial Narrow" w:eastAsia="Arial Narrow" w:hint="default"/>
                <w:sz w:val="21"/>
                <w:szCs w:val="21"/>
              </w:rPr>
            </w:pPr>
            <w:r>
              <w:rPr>
                <w:rFonts w:ascii="Arial Narrow"/>
                <w:spacing w:val="-1"/>
                <w:sz w:val="21"/>
              </w:rPr>
              <w:t>841,486.59</w:t>
            </w:r>
            <w:r>
              <w:rPr>
                <w:rFonts w:ascii="Arial Narrow"/>
                <w:sz w:val="21"/>
              </w:rPr>
            </w:r>
          </w:p>
        </w:tc>
      </w:tr>
      <w:tr>
        <w:trPr>
          <w:trHeight w:val="397"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19"/>
              <w:jc w:val="right"/>
              <w:rPr>
                <w:rFonts w:ascii="Arial Narrow" w:hAnsi="Arial Narrow" w:cs="Arial Narrow" w:eastAsia="Arial Narrow" w:hint="default"/>
                <w:sz w:val="21"/>
                <w:szCs w:val="21"/>
              </w:rPr>
            </w:pPr>
            <w:r>
              <w:rPr>
                <w:rFonts w:ascii="Arial Narrow"/>
                <w:spacing w:val="-1"/>
                <w:sz w:val="21"/>
              </w:rPr>
              <w:t>-120,403,328.01</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-90,891,139.76</w:t>
            </w:r>
            <w:r>
              <w:rPr>
                <w:rFonts w:ascii="Arial Narrow"/>
                <w:sz w:val="21"/>
              </w:rPr>
            </w:r>
          </w:p>
        </w:tc>
      </w:tr>
      <w:tr>
        <w:trPr>
          <w:trHeight w:val="397"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19"/>
              <w:jc w:val="right"/>
              <w:rPr>
                <w:rFonts w:ascii="Arial Narrow" w:hAnsi="Arial Narrow" w:cs="Arial Narrow" w:eastAsia="Arial Narrow" w:hint="default"/>
                <w:sz w:val="21"/>
                <w:szCs w:val="21"/>
              </w:rPr>
            </w:pPr>
            <w:r>
              <w:rPr>
                <w:rFonts w:ascii="Arial Narrow"/>
                <w:spacing w:val="-1"/>
                <w:sz w:val="21"/>
              </w:rPr>
              <w:t>65,216,594.46</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Arial Narrow" w:hAnsi="Arial Narrow" w:cs="Arial Narrow" w:eastAsia="Arial Narrow" w:hint="default"/>
                <w:sz w:val="21"/>
                <w:szCs w:val="21"/>
              </w:rPr>
            </w:pPr>
            <w:r>
              <w:rPr>
                <w:rFonts w:ascii="Arial Narrow"/>
                <w:spacing w:val="-1"/>
                <w:sz w:val="21"/>
              </w:rPr>
              <w:t>76,258,560.63</w:t>
            </w:r>
            <w:r>
              <w:rPr>
                <w:rFonts w:ascii="Arial Narrow"/>
                <w:sz w:val="21"/>
              </w:rPr>
            </w:r>
          </w:p>
        </w:tc>
      </w:tr>
      <w:tr>
        <w:trPr>
          <w:trHeight w:val="396"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19"/>
              <w:jc w:val="right"/>
              <w:rPr>
                <w:rFonts w:ascii="Arial Narrow" w:hAnsi="Arial Narrow" w:cs="Arial Narrow" w:eastAsia="Arial Narrow" w:hint="default"/>
                <w:sz w:val="21"/>
                <w:szCs w:val="21"/>
              </w:rPr>
            </w:pPr>
            <w:r>
              <w:rPr>
                <w:rFonts w:ascii="Arial Narrow"/>
                <w:spacing w:val="-1"/>
                <w:sz w:val="21"/>
              </w:rPr>
              <w:t>-2,357,983.94</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-3,825,249.68</w:t>
            </w:r>
            <w:r>
              <w:rPr>
                <w:rFonts w:ascii="Arial Narrow"/>
                <w:sz w:val="21"/>
              </w:rPr>
            </w:r>
          </w:p>
        </w:tc>
      </w:tr>
      <w:tr>
        <w:trPr>
          <w:trHeight w:val="396"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19"/>
              <w:jc w:val="right"/>
              <w:rPr>
                <w:rFonts w:ascii="Arial Narrow" w:hAnsi="Arial Narrow" w:cs="Arial Narrow" w:eastAsia="Arial Narrow" w:hint="default"/>
                <w:sz w:val="21"/>
                <w:szCs w:val="21"/>
              </w:rPr>
            </w:pPr>
            <w:r>
              <w:rPr>
                <w:rFonts w:ascii="Arial Narrow"/>
                <w:spacing w:val="-1"/>
                <w:sz w:val="21"/>
              </w:rPr>
              <w:t>842,753.72</w:t>
            </w:r>
            <w:r>
              <w:rPr>
                <w:rFonts w:ascii="Arial Narrow"/>
                <w:sz w:val="21"/>
              </w:rPr>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26,975,393.38</w:t>
            </w:r>
            <w:r>
              <w:rPr>
                <w:rFonts w:ascii="Arial Narrow"/>
                <w:sz w:val="21"/>
              </w:rPr>
            </w:r>
          </w:p>
        </w:tc>
      </w:tr>
      <w:tr>
        <w:trPr>
          <w:trHeight w:val="399"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253" w:type="dxa"/>
            <w:tcBorders>
              <w:top w:val="nil" w:sz="6" w:space="0" w:color="auto"/>
              <w:left w:val="nil" w:sz="6" w:space="0" w:color="auto"/>
              <w:bottom w:val="nil" w:sz="6" w:space="0" w:color="auto"/>
              <w:right w:val="nil" w:sz="6" w:space="0" w:color="auto"/>
            </w:tcBorders>
          </w:tcPr>
          <w:p>
            <w:pPr/>
          </w:p>
        </w:tc>
        <w:tc>
          <w:tcPr>
            <w:tcW w:w="1683" w:type="dxa"/>
            <w:tcBorders>
              <w:top w:val="nil" w:sz="6" w:space="0" w:color="auto"/>
              <w:left w:val="nil" w:sz="6" w:space="0" w:color="auto"/>
              <w:bottom w:val="nil" w:sz="6" w:space="0" w:color="auto"/>
              <w:right w:val="nil" w:sz="6" w:space="0" w:color="auto"/>
            </w:tcBorders>
          </w:tcPr>
          <w:p>
            <w:pPr/>
          </w:p>
        </w:tc>
      </w:tr>
      <w:tr>
        <w:trPr>
          <w:trHeight w:val="396"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20"/>
              <w:jc w:val="right"/>
              <w:rPr>
                <w:rFonts w:ascii="Arial Narrow" w:hAnsi="Arial Narrow" w:cs="Arial Narrow" w:eastAsia="Arial Narrow" w:hint="default"/>
                <w:sz w:val="21"/>
                <w:szCs w:val="21"/>
              </w:rPr>
            </w:pPr>
            <w:r>
              <w:rPr>
                <w:rFonts w:ascii="Arial Narrow"/>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r>
        <w:trPr>
          <w:trHeight w:val="396"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20"/>
              <w:jc w:val="right"/>
              <w:rPr>
                <w:rFonts w:ascii="Arial Narrow" w:hAnsi="Arial Narrow" w:cs="Arial Narrow" w:eastAsia="Arial Narrow" w:hint="default"/>
                <w:sz w:val="21"/>
                <w:szCs w:val="21"/>
              </w:rPr>
            </w:pPr>
            <w:r>
              <w:rPr>
                <w:rFonts w:ascii="Arial Narrow"/>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r>
        <w:trPr>
          <w:trHeight w:val="308" w:hRule="exact"/>
        </w:trPr>
        <w:tc>
          <w:tcPr>
            <w:tcW w:w="520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20"/>
              <w:jc w:val="right"/>
              <w:rPr>
                <w:rFonts w:ascii="Arial Narrow" w:hAnsi="Arial Narrow" w:cs="Arial Narrow" w:eastAsia="Arial Narrow" w:hint="default"/>
                <w:sz w:val="21"/>
                <w:szCs w:val="21"/>
              </w:rPr>
            </w:pPr>
            <w:r>
              <w:rPr>
                <w:rFonts w:ascii="Arial Narrow"/>
                <w:w w:val="100"/>
                <w:sz w:val="21"/>
              </w:rPr>
              <w:t>-</w:t>
            </w:r>
          </w:p>
        </w:tc>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Arial Narrow" w:hAnsi="Arial Narrow" w:cs="Arial Narrow" w:eastAsia="Arial Narrow" w:hint="default"/>
                <w:sz w:val="21"/>
                <w:szCs w:val="21"/>
              </w:rPr>
            </w:pPr>
            <w:r>
              <w:rPr>
                <w:rFonts w:ascii="Arial Narrow"/>
                <w:w w:val="100"/>
                <w:sz w:val="21"/>
              </w:rPr>
              <w:t>-</w:t>
            </w:r>
          </w:p>
        </w:tc>
      </w:tr>
    </w:tbl>
    <w:p>
      <w:pPr>
        <w:spacing w:after="0" w:line="240" w:lineRule="auto"/>
        <w:jc w:val="right"/>
        <w:rPr>
          <w:rFonts w:ascii="Arial Narrow" w:hAnsi="Arial Narrow" w:cs="Arial Narrow" w:eastAsia="Arial Narrow" w:hint="default"/>
          <w:sz w:val="21"/>
          <w:szCs w:val="21"/>
        </w:rPr>
        <w:sectPr>
          <w:pgSz w:w="11900" w:h="16850"/>
          <w:pgMar w:header="0" w:footer="919" w:top="1640" w:bottom="1100" w:left="1140" w:right="94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4143"/>
        <w:gridCol w:w="3308"/>
        <w:gridCol w:w="1701"/>
      </w:tblGrid>
      <w:tr>
        <w:trPr>
          <w:trHeight w:val="496" w:hRule="exact"/>
        </w:trPr>
        <w:tc>
          <w:tcPr>
            <w:tcW w:w="386" w:type="dxa"/>
            <w:tcBorders>
              <w:top w:val="single" w:sz="6" w:space="0" w:color="000000"/>
              <w:left w:val="nil" w:sz="6" w:space="0" w:color="auto"/>
              <w:bottom w:val="nil" w:sz="6" w:space="0" w:color="auto"/>
              <w:right w:val="nil" w:sz="6" w:space="0" w:color="auto"/>
            </w:tcBorders>
          </w:tcPr>
          <w:p>
            <w:pPr/>
          </w:p>
        </w:tc>
        <w:tc>
          <w:tcPr>
            <w:tcW w:w="4143"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left="14" w:right="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3308" w:type="dxa"/>
            <w:tcBorders>
              <w:top w:val="single" w:sz="6" w:space="0" w:color="000000"/>
              <w:left w:val="nil" w:sz="6" w:space="0" w:color="auto"/>
              <w:bottom w:val="nil" w:sz="6" w:space="0" w:color="auto"/>
              <w:right w:val="nil" w:sz="6" w:space="0" w:color="auto"/>
            </w:tcBorders>
          </w:tcPr>
          <w:p>
            <w:pPr/>
          </w:p>
        </w:tc>
        <w:tc>
          <w:tcPr>
            <w:tcW w:w="1701" w:type="dxa"/>
            <w:tcBorders>
              <w:top w:val="single" w:sz="6" w:space="0" w:color="000000"/>
              <w:left w:val="nil" w:sz="6" w:space="0" w:color="auto"/>
              <w:bottom w:val="nil" w:sz="6" w:space="0" w:color="auto"/>
              <w:right w:val="nil" w:sz="6" w:space="0" w:color="auto"/>
            </w:tcBorders>
          </w:tcPr>
          <w:p>
            <w:pP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0"/>
              <w:jc w:val="right"/>
              <w:rPr>
                <w:rFonts w:ascii="Arial Narrow" w:hAnsi="Arial Narrow" w:cs="Arial Narrow" w:eastAsia="Arial Narrow" w:hint="default"/>
                <w:sz w:val="21"/>
                <w:szCs w:val="21"/>
              </w:rPr>
            </w:pPr>
            <w:r>
              <w:rPr>
                <w:rFonts w:ascii="Arial Narrow"/>
                <w:spacing w:val="-1"/>
                <w:sz w:val="21"/>
              </w:rPr>
              <w:t>372,247,146.80</w:t>
            </w:r>
            <w:r>
              <w:rPr>
                <w:rFonts w:ascii="Arial Narrow"/>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386,158,948.37</w:t>
            </w:r>
            <w:r>
              <w:rPr>
                <w:rFonts w:ascii="Arial Narrow"/>
                <w:sz w:val="21"/>
              </w:rPr>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0"/>
              <w:jc w:val="right"/>
              <w:rPr>
                <w:rFonts w:ascii="Arial Narrow" w:hAnsi="Arial Narrow" w:cs="Arial Narrow" w:eastAsia="Arial Narrow" w:hint="default"/>
                <w:sz w:val="21"/>
                <w:szCs w:val="21"/>
              </w:rPr>
            </w:pPr>
            <w:r>
              <w:rPr>
                <w:rFonts w:ascii="Arial Narrow"/>
                <w:spacing w:val="-1"/>
                <w:sz w:val="21"/>
              </w:rPr>
              <w:t>386,158,948.37</w:t>
            </w:r>
            <w:r>
              <w:rPr>
                <w:rFonts w:ascii="Arial Narrow"/>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395,939,547.04</w:t>
            </w:r>
            <w:r>
              <w:rPr>
                <w:rFonts w:ascii="Arial Narrow"/>
                <w:sz w:val="21"/>
              </w:rPr>
            </w: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w w:val="100"/>
                <w:sz w:val="21"/>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41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330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1"/>
              <w:jc w:val="right"/>
              <w:rPr>
                <w:rFonts w:ascii="Arial Narrow" w:hAnsi="Arial Narrow" w:cs="Arial Narrow" w:eastAsia="Arial Narrow" w:hint="default"/>
                <w:sz w:val="21"/>
                <w:szCs w:val="21"/>
              </w:rPr>
            </w:pPr>
            <w:r>
              <w:rPr>
                <w:rFonts w:ascii="Arial Narrow"/>
                <w:w w:val="100"/>
                <w:sz w:val="21"/>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spacing w:val="-1"/>
                <w:sz w:val="21"/>
              </w:rPr>
              <w:t>28,000,000.00</w:t>
            </w:r>
            <w:r>
              <w:rPr>
                <w:rFonts w:ascii="Arial Narrow"/>
                <w:sz w:val="21"/>
              </w:rPr>
            </w:r>
          </w:p>
        </w:tc>
      </w:tr>
      <w:tr>
        <w:trPr>
          <w:trHeight w:val="406" w:hRule="exact"/>
        </w:trPr>
        <w:tc>
          <w:tcPr>
            <w:tcW w:w="386" w:type="dxa"/>
            <w:tcBorders>
              <w:top w:val="nil" w:sz="6" w:space="0" w:color="auto"/>
              <w:left w:val="nil" w:sz="6" w:space="0" w:color="auto"/>
              <w:bottom w:val="nil" w:sz="6" w:space="0" w:color="auto"/>
              <w:right w:val="nil" w:sz="6" w:space="0" w:color="auto"/>
            </w:tcBorders>
          </w:tcPr>
          <w:p>
            <w:pPr/>
          </w:p>
        </w:tc>
        <w:tc>
          <w:tcPr>
            <w:tcW w:w="4143"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308"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right="499"/>
              <w:jc w:val="right"/>
              <w:rPr>
                <w:rFonts w:ascii="Arial Narrow" w:hAnsi="Arial Narrow" w:cs="Arial Narrow" w:eastAsia="Arial Narrow" w:hint="default"/>
                <w:sz w:val="21"/>
                <w:szCs w:val="21"/>
              </w:rPr>
            </w:pPr>
            <w:r>
              <w:rPr>
                <w:rFonts w:ascii="Arial Narrow"/>
                <w:spacing w:val="-2"/>
                <w:sz w:val="21"/>
              </w:rPr>
              <w:t>-13,911,801.57</w:t>
            </w:r>
          </w:p>
        </w:tc>
        <w:tc>
          <w:tcPr>
            <w:tcW w:w="1701"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-37,780,598.67</w:t>
            </w:r>
            <w:r>
              <w:rPr>
                <w:rFonts w:ascii="Arial Narrow"/>
                <w:sz w:val="21"/>
              </w:rPr>
            </w:r>
          </w:p>
        </w:tc>
      </w:tr>
    </w:tbl>
    <w:p>
      <w:pPr>
        <w:pStyle w:val="BodyText"/>
        <w:spacing w:line="240" w:lineRule="auto" w:before="79"/>
        <w:ind w:left="519" w:right="2957"/>
        <w:jc w:val="left"/>
      </w:pPr>
      <w:r>
        <w:rPr/>
        <w:t>（</w:t>
      </w:r>
      <w:r>
        <w:rPr>
          <w:rFonts w:ascii="Arial Narrow" w:hAnsi="Arial Narrow" w:cs="Arial Narrow" w:eastAsia="Arial Narrow" w:hint="default"/>
        </w:rPr>
        <w:t>2</w:t>
      </w:r>
      <w:r>
        <w:rPr/>
        <w:t>）本期取得或处置子公司及其他营业单位的相关信息</w:t>
      </w:r>
    </w:p>
    <w:p>
      <w:pPr>
        <w:spacing w:line="240" w:lineRule="auto" w:before="0"/>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5631"/>
        <w:gridCol w:w="1971"/>
        <w:gridCol w:w="1550"/>
      </w:tblGrid>
      <w:tr>
        <w:trPr>
          <w:trHeight w:val="418" w:hRule="exact"/>
        </w:trPr>
        <w:tc>
          <w:tcPr>
            <w:tcW w:w="5631" w:type="dxa"/>
            <w:tcBorders>
              <w:top w:val="single" w:sz="8" w:space="0" w:color="000000"/>
              <w:left w:val="nil" w:sz="6" w:space="0" w:color="auto"/>
              <w:bottom w:val="single" w:sz="4" w:space="0" w:color="000000"/>
              <w:right w:val="nil" w:sz="6" w:space="0" w:color="auto"/>
            </w:tcBorders>
          </w:tcPr>
          <w:p>
            <w:pPr>
              <w:pStyle w:val="TableParagraph"/>
              <w:tabs>
                <w:tab w:pos="525" w:val="left" w:leader="none"/>
              </w:tabs>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971"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445"/>
              <w:jc w:val="righ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50"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0"/>
              <w:jc w:val="righ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6" w:hRule="exact"/>
        </w:trPr>
        <w:tc>
          <w:tcPr>
            <w:tcW w:w="563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．取得子公司及其他营业单位的价格</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23,490,692.61</w:t>
            </w:r>
            <w:r>
              <w:rPr>
                <w:rFonts w:ascii="Arial Narrow"/>
                <w:sz w:val="21"/>
              </w:rPr>
            </w:r>
          </w:p>
        </w:tc>
      </w:tr>
      <w:tr>
        <w:trPr>
          <w:trHeight w:val="397"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．取得子公司及其他营业单位支付的现金和现金等价物</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Arial Narrow" w:hAnsi="Arial Narrow" w:cs="Arial Narrow" w:eastAsia="Arial Narrow" w:hint="default"/>
                <w:sz w:val="21"/>
                <w:szCs w:val="21"/>
              </w:rPr>
            </w:pPr>
            <w:r>
              <w:rPr>
                <w:rFonts w:ascii="Arial Narrow"/>
                <w:spacing w:val="-1"/>
                <w:sz w:val="21"/>
              </w:rPr>
              <w:t>17,090,761.78</w:t>
            </w:r>
            <w:r>
              <w:rPr>
                <w:rFonts w:ascii="Arial Narrow"/>
                <w:sz w:val="21"/>
              </w:rPr>
            </w:r>
          </w:p>
        </w:tc>
      </w:tr>
      <w:tr>
        <w:trPr>
          <w:trHeight w:val="395"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66"/>
              <w:jc w:val="right"/>
              <w:rPr>
                <w:rFonts w:ascii="宋体" w:hAnsi="宋体" w:cs="宋体" w:eastAsia="宋体" w:hint="default"/>
                <w:sz w:val="21"/>
                <w:szCs w:val="21"/>
              </w:rPr>
            </w:pPr>
            <w:r>
              <w:rPr>
                <w:rFonts w:ascii="宋体" w:hAnsi="宋体" w:cs="宋体" w:eastAsia="宋体" w:hint="default"/>
                <w:spacing w:val="-3"/>
                <w:w w:val="100"/>
                <w:sz w:val="21"/>
                <w:szCs w:val="21"/>
              </w:rPr>
              <w:t>减</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及</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营业</w:t>
            </w:r>
            <w:r>
              <w:rPr>
                <w:rFonts w:ascii="宋体" w:hAnsi="宋体" w:cs="宋体" w:eastAsia="宋体" w:hint="default"/>
                <w:w w:val="100"/>
                <w:sz w:val="21"/>
                <w:szCs w:val="21"/>
              </w:rPr>
              <w:t>单位</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的</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和</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等</w:t>
            </w:r>
            <w:r>
              <w:rPr>
                <w:rFonts w:ascii="宋体" w:hAnsi="宋体" w:cs="宋体" w:eastAsia="宋体" w:hint="default"/>
                <w:w w:val="100"/>
                <w:sz w:val="21"/>
                <w:szCs w:val="21"/>
              </w:rPr>
              <w:t>价物</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12,435,998.64</w:t>
            </w:r>
            <w:r>
              <w:rPr>
                <w:rFonts w:ascii="Arial Narrow"/>
                <w:sz w:val="21"/>
              </w:rPr>
            </w:r>
          </w:p>
        </w:tc>
      </w:tr>
      <w:tr>
        <w:trPr>
          <w:trHeight w:val="398"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．取得子公司及其他营业单位支付的现金净额</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spacing w:val="-1"/>
                <w:sz w:val="21"/>
              </w:rPr>
              <w:t>4,654,763.14</w:t>
            </w:r>
            <w:r>
              <w:rPr>
                <w:rFonts w:ascii="Arial Narrow"/>
                <w:sz w:val="21"/>
              </w:rPr>
            </w:r>
          </w:p>
        </w:tc>
      </w:tr>
      <w:tr>
        <w:trPr>
          <w:trHeight w:val="397"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．取得子公司的净资产</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Arial Narrow" w:hAnsi="Arial Narrow" w:cs="Arial Narrow" w:eastAsia="Arial Narrow" w:hint="default"/>
                <w:sz w:val="21"/>
                <w:szCs w:val="21"/>
              </w:rPr>
            </w:pPr>
            <w:r>
              <w:rPr>
                <w:rFonts w:ascii="Arial Narrow"/>
                <w:spacing w:val="-1"/>
                <w:sz w:val="21"/>
              </w:rPr>
              <w:t>42,906,855.90</w:t>
            </w:r>
            <w:r>
              <w:rPr>
                <w:rFonts w:ascii="Arial Narrow"/>
                <w:sz w:val="21"/>
              </w:rPr>
            </w:r>
          </w:p>
        </w:tc>
      </w:tr>
      <w:tr>
        <w:trPr>
          <w:trHeight w:val="396"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3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48,386,033.57</w:t>
            </w:r>
            <w:r>
              <w:rPr>
                <w:rFonts w:ascii="Arial Narrow"/>
                <w:sz w:val="21"/>
              </w:rPr>
            </w:r>
          </w:p>
        </w:tc>
      </w:tr>
      <w:tr>
        <w:trPr>
          <w:trHeight w:val="396"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17,714,706.94</w:t>
            </w:r>
            <w:r>
              <w:rPr>
                <w:rFonts w:ascii="Arial Narrow"/>
                <w:sz w:val="21"/>
              </w:rPr>
            </w:r>
          </w:p>
        </w:tc>
      </w:tr>
      <w:tr>
        <w:trPr>
          <w:trHeight w:val="398"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right"/>
              <w:rPr>
                <w:rFonts w:ascii="Arial Narrow" w:hAnsi="Arial Narrow" w:cs="Arial Narrow" w:eastAsia="Arial Narrow" w:hint="default"/>
                <w:sz w:val="21"/>
                <w:szCs w:val="21"/>
              </w:rPr>
            </w:pPr>
            <w:r>
              <w:rPr>
                <w:rFonts w:ascii="Arial Narrow"/>
                <w:spacing w:val="-1"/>
                <w:sz w:val="21"/>
              </w:rPr>
              <w:t>8,865,680.62</w:t>
            </w:r>
            <w:r>
              <w:rPr>
                <w:rFonts w:ascii="Arial Narrow"/>
                <w:sz w:val="21"/>
              </w:rPr>
            </w:r>
          </w:p>
        </w:tc>
      </w:tr>
      <w:tr>
        <w:trPr>
          <w:trHeight w:val="396"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3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14,328,203.99</w:t>
            </w:r>
            <w:r>
              <w:rPr>
                <w:rFonts w:ascii="Arial Narrow"/>
                <w:sz w:val="21"/>
              </w:rPr>
            </w:r>
          </w:p>
        </w:tc>
      </w:tr>
      <w:tr>
        <w:trPr>
          <w:trHeight w:val="396"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r>
        <w:trPr>
          <w:trHeight w:val="400"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．处置子公司及其他营业单位的价格</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．处置子公司及其他营业单位收到的现金和现金等价物</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Arial Narrow" w:hAnsi="Arial Narrow" w:cs="Arial Narrow" w:eastAsia="Arial Narrow" w:hint="default"/>
                <w:sz w:val="21"/>
                <w:szCs w:val="21"/>
              </w:rPr>
            </w:pPr>
            <w:r>
              <w:rPr>
                <w:rFonts w:ascii="Arial Narrow"/>
                <w:w w:val="100"/>
                <w:sz w:val="21"/>
              </w:rPr>
              <w:t>-</w:t>
            </w:r>
          </w:p>
        </w:tc>
      </w:tr>
      <w:tr>
        <w:trPr>
          <w:trHeight w:val="396"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66"/>
              <w:jc w:val="right"/>
              <w:rPr>
                <w:rFonts w:ascii="宋体" w:hAnsi="宋体" w:cs="宋体" w:eastAsia="宋体" w:hint="default"/>
                <w:sz w:val="21"/>
                <w:szCs w:val="21"/>
              </w:rPr>
            </w:pPr>
            <w:r>
              <w:rPr>
                <w:rFonts w:ascii="宋体" w:hAnsi="宋体" w:cs="宋体" w:eastAsia="宋体" w:hint="default"/>
                <w:spacing w:val="-2"/>
                <w:sz w:val="21"/>
                <w:szCs w:val="21"/>
              </w:rPr>
              <w:t>减：子公司及其他营业单位持有的现金和现金等价物</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r>
        <w:trPr>
          <w:trHeight w:val="399"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．处置子公司及其他营业单位收到的现金净额</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r>
        <w:trPr>
          <w:trHeight w:val="396"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．处置子公司的净资产</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r>
        <w:trPr>
          <w:trHeight w:val="396"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2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r>
        <w:trPr>
          <w:trHeight w:val="396"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2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r>
        <w:trPr>
          <w:trHeight w:val="398" w:hRule="exact"/>
        </w:trPr>
        <w:tc>
          <w:tcPr>
            <w:tcW w:w="56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2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right"/>
              <w:rPr>
                <w:rFonts w:ascii="Arial Narrow" w:hAnsi="Arial Narrow" w:cs="Arial Narrow" w:eastAsia="Arial Narrow" w:hint="default"/>
                <w:sz w:val="21"/>
                <w:szCs w:val="21"/>
              </w:rPr>
            </w:pPr>
            <w:r>
              <w:rPr>
                <w:rFonts w:ascii="Arial Narrow"/>
                <w:w w:val="100"/>
                <w:sz w:val="21"/>
              </w:rPr>
              <w:t>-</w:t>
            </w:r>
          </w:p>
        </w:tc>
      </w:tr>
      <w:tr>
        <w:trPr>
          <w:trHeight w:val="404" w:hRule="exact"/>
        </w:trPr>
        <w:tc>
          <w:tcPr>
            <w:tcW w:w="5631"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29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971"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right="444"/>
              <w:jc w:val="right"/>
              <w:rPr>
                <w:rFonts w:ascii="Arial Narrow" w:hAnsi="Arial Narrow" w:cs="Arial Narrow" w:eastAsia="Arial Narrow" w:hint="default"/>
                <w:sz w:val="21"/>
                <w:szCs w:val="21"/>
              </w:rPr>
            </w:pPr>
            <w:r>
              <w:rPr>
                <w:rFonts w:ascii="Arial Narrow"/>
                <w:w w:val="100"/>
                <w:sz w:val="21"/>
              </w:rPr>
              <w:t>-</w:t>
            </w:r>
          </w:p>
        </w:tc>
        <w:tc>
          <w:tcPr>
            <w:tcW w:w="1550" w:type="dxa"/>
            <w:tcBorders>
              <w:top w:val="nil" w:sz="6" w:space="0" w:color="auto"/>
              <w:left w:val="nil" w:sz="6" w:space="0" w:color="auto"/>
              <w:bottom w:val="single" w:sz="8" w:space="0" w:color="000000"/>
              <w:right w:val="nil" w:sz="6" w:space="0" w:color="auto"/>
            </w:tcBorders>
          </w:tcPr>
          <w:p>
            <w:pPr>
              <w:pStyle w:val="TableParagraph"/>
              <w:spacing w:line="240" w:lineRule="auto" w:before="70"/>
              <w:ind w:right="1"/>
              <w:jc w:val="right"/>
              <w:rPr>
                <w:rFonts w:ascii="Arial Narrow" w:hAnsi="Arial Narrow" w:cs="Arial Narrow" w:eastAsia="Arial Narrow" w:hint="default"/>
                <w:sz w:val="21"/>
                <w:szCs w:val="21"/>
              </w:rPr>
            </w:pPr>
            <w:r>
              <w:rPr>
                <w:rFonts w:ascii="Arial Narrow"/>
                <w:w w:val="100"/>
                <w:sz w:val="21"/>
              </w:rPr>
              <w:t>-</w:t>
            </w:r>
          </w:p>
        </w:tc>
      </w:tr>
    </w:tbl>
    <w:p>
      <w:pPr>
        <w:pStyle w:val="BodyText"/>
        <w:spacing w:line="240" w:lineRule="auto" w:before="79"/>
        <w:ind w:left="519" w:right="2957"/>
        <w:jc w:val="left"/>
      </w:pPr>
      <w:r>
        <w:rPr/>
        <w:t>（</w:t>
      </w:r>
      <w:r>
        <w:rPr>
          <w:rFonts w:ascii="Arial Narrow" w:hAnsi="Arial Narrow" w:cs="Arial Narrow" w:eastAsia="Arial Narrow" w:hint="default"/>
        </w:rPr>
        <w:t>3</w:t>
      </w:r>
      <w:r>
        <w:rPr/>
        <w:t>）现金及现金等价物的构成</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4462"/>
        <w:gridCol w:w="2888"/>
        <w:gridCol w:w="1786"/>
      </w:tblGrid>
      <w:tr>
        <w:trPr>
          <w:trHeight w:val="418" w:hRule="exact"/>
        </w:trPr>
        <w:tc>
          <w:tcPr>
            <w:tcW w:w="4462"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00"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888"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416"/>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786"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5" w:hRule="exact"/>
        </w:trPr>
        <w:tc>
          <w:tcPr>
            <w:tcW w:w="4462" w:type="dxa"/>
            <w:tcBorders>
              <w:top w:val="single" w:sz="4" w:space="0" w:color="000000"/>
              <w:left w:val="nil" w:sz="6" w:space="0" w:color="auto"/>
              <w:bottom w:val="nil" w:sz="6" w:space="0" w:color="auto"/>
              <w:right w:val="nil" w:sz="6" w:space="0" w:color="auto"/>
            </w:tcBorders>
          </w:tcPr>
          <w:p>
            <w:pPr>
              <w:pStyle w:val="TableParagraph"/>
              <w:spacing w:line="312" w:lineRule="exact"/>
              <w:ind w:right="0"/>
              <w:jc w:val="left"/>
              <w:rPr>
                <w:rFonts w:ascii="宋体" w:hAnsi="宋体" w:cs="宋体" w:eastAsia="宋体" w:hint="default"/>
                <w:sz w:val="24"/>
                <w:szCs w:val="24"/>
              </w:rPr>
            </w:pPr>
            <w:r>
              <w:rPr>
                <w:rFonts w:ascii="宋体" w:hAnsi="宋体" w:cs="宋体" w:eastAsia="宋体" w:hint="default"/>
                <w:sz w:val="24"/>
                <w:szCs w:val="24"/>
              </w:rPr>
              <w:t>一、现金</w:t>
            </w:r>
          </w:p>
        </w:tc>
        <w:tc>
          <w:tcPr>
            <w:tcW w:w="288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416"/>
              <w:jc w:val="right"/>
              <w:rPr>
                <w:rFonts w:ascii="Arial Narrow" w:hAnsi="Arial Narrow" w:cs="Arial Narrow" w:eastAsia="Arial Narrow" w:hint="default"/>
                <w:sz w:val="24"/>
                <w:szCs w:val="24"/>
              </w:rPr>
            </w:pPr>
            <w:r>
              <w:rPr>
                <w:rFonts w:ascii="Arial Narrow"/>
                <w:spacing w:val="-1"/>
                <w:sz w:val="24"/>
              </w:rPr>
              <w:t>372,247,146.80</w:t>
            </w: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right"/>
              <w:rPr>
                <w:rFonts w:ascii="Arial Narrow" w:hAnsi="Arial Narrow" w:cs="Arial Narrow" w:eastAsia="Arial Narrow" w:hint="default"/>
                <w:sz w:val="24"/>
                <w:szCs w:val="24"/>
              </w:rPr>
            </w:pPr>
            <w:r>
              <w:rPr>
                <w:rFonts w:ascii="Arial Narrow"/>
                <w:spacing w:val="-1"/>
                <w:sz w:val="24"/>
              </w:rPr>
              <w:t>386,158,948.37</w:t>
            </w:r>
          </w:p>
        </w:tc>
      </w:tr>
      <w:tr>
        <w:trPr>
          <w:trHeight w:val="394"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313" w:lineRule="exact"/>
              <w:ind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15"/>
              <w:jc w:val="right"/>
              <w:rPr>
                <w:rFonts w:ascii="Arial Narrow" w:hAnsi="Arial Narrow" w:cs="Arial Narrow" w:eastAsia="Arial Narrow" w:hint="default"/>
                <w:sz w:val="24"/>
                <w:szCs w:val="24"/>
              </w:rPr>
            </w:pPr>
            <w:r>
              <w:rPr>
                <w:rFonts w:ascii="Arial Narrow"/>
                <w:spacing w:val="-1"/>
                <w:sz w:val="24"/>
              </w:rPr>
              <w:t>52,468.30</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Arial Narrow" w:hAnsi="Arial Narrow" w:cs="Arial Narrow" w:eastAsia="Arial Narrow" w:hint="default"/>
                <w:sz w:val="24"/>
                <w:szCs w:val="24"/>
              </w:rPr>
            </w:pPr>
            <w:r>
              <w:rPr>
                <w:rFonts w:ascii="Arial Narrow"/>
                <w:spacing w:val="-1"/>
                <w:sz w:val="24"/>
              </w:rPr>
              <w:t>43,480.78</w:t>
            </w:r>
          </w:p>
        </w:tc>
      </w:tr>
      <w:tr>
        <w:trPr>
          <w:trHeight w:val="323" w:hRule="exact"/>
        </w:trPr>
        <w:tc>
          <w:tcPr>
            <w:tcW w:w="4462" w:type="dxa"/>
            <w:tcBorders>
              <w:top w:val="nil" w:sz="6" w:space="0" w:color="auto"/>
              <w:left w:val="nil" w:sz="6" w:space="0" w:color="auto"/>
              <w:bottom w:val="nil" w:sz="6" w:space="0" w:color="auto"/>
              <w:right w:val="nil" w:sz="6" w:space="0" w:color="auto"/>
            </w:tcBorders>
          </w:tcPr>
          <w:p>
            <w:pPr>
              <w:pStyle w:val="TableParagraph"/>
              <w:spacing w:line="240" w:lineRule="auto" w:before="1"/>
              <w:ind w:left="479"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6"/>
              <w:jc w:val="right"/>
              <w:rPr>
                <w:rFonts w:ascii="Arial Narrow" w:hAnsi="Arial Narrow" w:cs="Arial Narrow" w:eastAsia="Arial Narrow" w:hint="default"/>
                <w:sz w:val="24"/>
                <w:szCs w:val="24"/>
              </w:rPr>
            </w:pPr>
            <w:r>
              <w:rPr>
                <w:rFonts w:ascii="Arial Narrow"/>
                <w:spacing w:val="-1"/>
                <w:sz w:val="24"/>
              </w:rPr>
              <w:t>372,194,678.50</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pacing w:val="-2"/>
                <w:sz w:val="24"/>
              </w:rPr>
              <w:t>386,115,467.59</w:t>
            </w:r>
          </w:p>
        </w:tc>
      </w:tr>
    </w:tbl>
    <w:p>
      <w:pPr>
        <w:spacing w:after="0" w:line="240" w:lineRule="auto"/>
        <w:jc w:val="right"/>
        <w:rPr>
          <w:rFonts w:ascii="Arial Narrow" w:hAnsi="Arial Narrow" w:cs="Arial Narrow" w:eastAsia="Arial Narrow" w:hint="default"/>
          <w:sz w:val="24"/>
          <w:szCs w:val="24"/>
        </w:rPr>
        <w:sectPr>
          <w:footerReference w:type="default" r:id="rId67"/>
          <w:pgSz w:w="11900" w:h="16850"/>
          <w:pgMar w:footer="919" w:header="0" w:top="1640" w:bottom="1100" w:left="1180" w:right="94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4716"/>
        <w:gridCol w:w="2649"/>
        <w:gridCol w:w="1786"/>
      </w:tblGrid>
      <w:tr>
        <w:trPr>
          <w:trHeight w:val="494" w:hRule="exact"/>
        </w:trPr>
        <w:tc>
          <w:tcPr>
            <w:tcW w:w="386" w:type="dxa"/>
            <w:tcBorders>
              <w:top w:val="single" w:sz="6" w:space="0" w:color="000000"/>
              <w:left w:val="nil" w:sz="6" w:space="0" w:color="auto"/>
              <w:bottom w:val="nil" w:sz="6" w:space="0" w:color="auto"/>
              <w:right w:val="nil" w:sz="6" w:space="0" w:color="auto"/>
            </w:tcBorders>
          </w:tcPr>
          <w:p>
            <w:pPr/>
          </w:p>
        </w:tc>
        <w:tc>
          <w:tcPr>
            <w:tcW w:w="4716" w:type="dxa"/>
            <w:tcBorders>
              <w:top w:val="single" w:sz="6" w:space="0" w:color="000000"/>
              <w:left w:val="nil" w:sz="6" w:space="0" w:color="auto"/>
              <w:bottom w:val="nil" w:sz="6" w:space="0" w:color="auto"/>
              <w:right w:val="nil" w:sz="6" w:space="0" w:color="auto"/>
            </w:tcBorders>
          </w:tcPr>
          <w:p>
            <w:pPr>
              <w:pStyle w:val="TableParagraph"/>
              <w:spacing w:line="240" w:lineRule="auto" w:before="91"/>
              <w:ind w:left="494" w:right="0"/>
              <w:jc w:val="lef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2649"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right="415"/>
              <w:jc w:val="right"/>
              <w:rPr>
                <w:rFonts w:ascii="Arial Narrow" w:hAnsi="Arial Narrow" w:cs="Arial Narrow" w:eastAsia="Arial Narrow" w:hint="default"/>
                <w:sz w:val="24"/>
                <w:szCs w:val="24"/>
              </w:rPr>
            </w:pPr>
            <w:r>
              <w:rPr>
                <w:rFonts w:ascii="Arial Narrow"/>
                <w:sz w:val="24"/>
              </w:rPr>
              <w:t>-</w:t>
            </w:r>
          </w:p>
        </w:tc>
        <w:tc>
          <w:tcPr>
            <w:tcW w:w="1786" w:type="dxa"/>
            <w:tcBorders>
              <w:top w:val="single" w:sz="6" w:space="0" w:color="000000"/>
              <w:left w:val="nil" w:sz="6" w:space="0" w:color="auto"/>
              <w:bottom w:val="nil" w:sz="6" w:space="0" w:color="auto"/>
              <w:right w:val="nil" w:sz="6" w:space="0" w:color="auto"/>
            </w:tcBorders>
          </w:tcPr>
          <w:p>
            <w:pPr>
              <w:pStyle w:val="TableParagraph"/>
              <w:spacing w:line="240" w:lineRule="auto" w:before="142"/>
              <w:ind w:right="0"/>
              <w:jc w:val="right"/>
              <w:rPr>
                <w:rFonts w:ascii="Arial Narrow" w:hAnsi="Arial Narrow" w:cs="Arial Narrow" w:eastAsia="Arial Narrow" w:hint="default"/>
                <w:sz w:val="24"/>
                <w:szCs w:val="24"/>
              </w:rPr>
            </w:pPr>
            <w:r>
              <w:rPr>
                <w:rFonts w:ascii="Arial Narrow"/>
                <w:sz w:val="24"/>
              </w:rPr>
              <w:t>-</w:t>
            </w:r>
          </w:p>
        </w:tc>
      </w:tr>
      <w:tr>
        <w:trPr>
          <w:trHeight w:val="398" w:hRule="exact"/>
        </w:trPr>
        <w:tc>
          <w:tcPr>
            <w:tcW w:w="386" w:type="dxa"/>
            <w:tcBorders>
              <w:top w:val="nil" w:sz="6" w:space="0" w:color="auto"/>
              <w:left w:val="nil" w:sz="6" w:space="0" w:color="auto"/>
              <w:bottom w:val="nil" w:sz="6" w:space="0" w:color="auto"/>
              <w:right w:val="nil" w:sz="6" w:space="0" w:color="auto"/>
            </w:tcBorders>
          </w:tcPr>
          <w:p>
            <w:pPr/>
          </w:p>
        </w:tc>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二、现金等价物</w:t>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5"/>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z w:val="24"/>
              </w:rPr>
              <w:t>-</w:t>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471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其中：三个月内到期的债券投资</w:t>
            </w:r>
          </w:p>
        </w:tc>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15"/>
              <w:jc w:val="right"/>
              <w:rPr>
                <w:rFonts w:ascii="Arial Narrow" w:hAnsi="Arial Narrow" w:cs="Arial Narrow" w:eastAsia="Arial Narrow" w:hint="default"/>
                <w:sz w:val="24"/>
                <w:szCs w:val="24"/>
              </w:rPr>
            </w:pPr>
            <w:r>
              <w:rPr>
                <w:rFonts w:ascii="Arial Narrow"/>
                <w:sz w:val="24"/>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z w:val="24"/>
              </w:rPr>
              <w:t>-</w:t>
            </w:r>
          </w:p>
        </w:tc>
      </w:tr>
      <w:tr>
        <w:trPr>
          <w:trHeight w:val="406" w:hRule="exact"/>
        </w:trPr>
        <w:tc>
          <w:tcPr>
            <w:tcW w:w="386" w:type="dxa"/>
            <w:tcBorders>
              <w:top w:val="nil" w:sz="6" w:space="0" w:color="auto"/>
              <w:left w:val="nil" w:sz="6" w:space="0" w:color="auto"/>
              <w:bottom w:val="nil" w:sz="6" w:space="0" w:color="auto"/>
              <w:right w:val="nil" w:sz="6" w:space="0" w:color="auto"/>
            </w:tcBorders>
          </w:tcPr>
          <w:p>
            <w:pPr/>
          </w:p>
        </w:tc>
        <w:tc>
          <w:tcPr>
            <w:tcW w:w="4716"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三、期末现金及现金等价物余额</w:t>
            </w:r>
          </w:p>
        </w:tc>
        <w:tc>
          <w:tcPr>
            <w:tcW w:w="2649"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416"/>
              <w:jc w:val="right"/>
              <w:rPr>
                <w:rFonts w:ascii="Arial Narrow" w:hAnsi="Arial Narrow" w:cs="Arial Narrow" w:eastAsia="Arial Narrow" w:hint="default"/>
                <w:sz w:val="24"/>
                <w:szCs w:val="24"/>
              </w:rPr>
            </w:pPr>
            <w:r>
              <w:rPr>
                <w:rFonts w:ascii="Arial Narrow"/>
                <w:spacing w:val="-1"/>
                <w:sz w:val="24"/>
              </w:rPr>
              <w:t>372,247,146.80</w:t>
            </w:r>
          </w:p>
        </w:tc>
        <w:tc>
          <w:tcPr>
            <w:tcW w:w="1786" w:type="dxa"/>
            <w:tcBorders>
              <w:top w:val="nil" w:sz="6" w:space="0" w:color="auto"/>
              <w:left w:val="nil" w:sz="6" w:space="0" w:color="auto"/>
              <w:bottom w:val="single" w:sz="8" w:space="0" w:color="000000"/>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spacing w:val="-1"/>
                <w:sz w:val="24"/>
              </w:rPr>
              <w:t>386,158,948.37</w:t>
            </w:r>
          </w:p>
        </w:tc>
      </w:tr>
    </w:tbl>
    <w:p>
      <w:pPr>
        <w:pStyle w:val="BodyText"/>
        <w:spacing w:line="240" w:lineRule="auto" w:before="79"/>
        <w:ind w:left="519" w:right="4177"/>
        <w:jc w:val="left"/>
      </w:pPr>
      <w:r>
        <w:rPr/>
        <w:t>（</w:t>
      </w:r>
      <w:r>
        <w:rPr>
          <w:rFonts w:ascii="Arial Narrow" w:hAnsi="Arial Narrow" w:cs="Arial Narrow" w:eastAsia="Arial Narrow" w:hint="default"/>
        </w:rPr>
        <w:t>4</w:t>
      </w:r>
      <w:r>
        <w:rPr/>
        <w:t>）货币资金与现金及现金等价物的调节</w:t>
      </w:r>
    </w:p>
    <w:p>
      <w:pPr>
        <w:spacing w:line="240" w:lineRule="auto" w:before="2"/>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6358"/>
        <w:gridCol w:w="2906"/>
      </w:tblGrid>
      <w:tr>
        <w:trPr>
          <w:trHeight w:val="410" w:hRule="exact"/>
        </w:trPr>
        <w:tc>
          <w:tcPr>
            <w:tcW w:w="635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b/>
                <w:bCs/>
                <w:sz w:val="24"/>
                <w:szCs w:val="24"/>
              </w:rPr>
              <w:t>列示于现金流量表的现金及现金等价物包括：</w:t>
            </w:r>
            <w:r>
              <w:rPr>
                <w:rFonts w:ascii="宋体" w:hAnsi="宋体" w:cs="宋体" w:eastAsia="宋体" w:hint="default"/>
                <w:sz w:val="24"/>
                <w:szCs w:val="24"/>
              </w:rPr>
            </w:r>
          </w:p>
        </w:tc>
        <w:tc>
          <w:tcPr>
            <w:tcW w:w="2906"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s>
              <w:spacing w:line="240" w:lineRule="auto" w:before="3"/>
              <w:ind w:right="135"/>
              <w:jc w:val="right"/>
              <w:rPr>
                <w:rFonts w:ascii="宋体" w:hAnsi="宋体" w:cs="宋体" w:eastAsia="宋体" w:hint="default"/>
                <w:sz w:val="24"/>
                <w:szCs w:val="24"/>
              </w:rPr>
            </w:pPr>
            <w:r>
              <w:rPr>
                <w:rFonts w:ascii="宋体" w:hAnsi="宋体" w:cs="宋体" w:eastAsia="宋体" w:hint="default"/>
                <w:b/>
                <w:bCs/>
                <w:w w:val="95"/>
                <w:sz w:val="24"/>
                <w:szCs w:val="24"/>
              </w:rPr>
              <w:t>金</w:t>
              <w:tab/>
              <w:t>额</w:t>
            </w:r>
            <w:r>
              <w:rPr>
                <w:rFonts w:ascii="宋体" w:hAnsi="宋体" w:cs="宋体" w:eastAsia="宋体" w:hint="default"/>
                <w:sz w:val="24"/>
                <w:szCs w:val="24"/>
              </w:rPr>
            </w:r>
          </w:p>
        </w:tc>
      </w:tr>
      <w:tr>
        <w:trPr>
          <w:trHeight w:val="406" w:hRule="exact"/>
        </w:trPr>
        <w:tc>
          <w:tcPr>
            <w:tcW w:w="635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sz w:val="24"/>
                <w:szCs w:val="24"/>
              </w:rPr>
              <w:t>期末货币资金</w:t>
            </w:r>
          </w:p>
        </w:tc>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378,824,821.80</w:t>
            </w:r>
          </w:p>
        </w:tc>
      </w:tr>
      <w:tr>
        <w:trPr>
          <w:trHeight w:val="396" w:hRule="exact"/>
        </w:trPr>
        <w:tc>
          <w:tcPr>
            <w:tcW w:w="635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减：使用受到限制的存款</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6,577,675.00</w:t>
            </w:r>
          </w:p>
        </w:tc>
      </w:tr>
      <w:tr>
        <w:trPr>
          <w:trHeight w:val="398" w:hRule="exact"/>
        </w:trPr>
        <w:tc>
          <w:tcPr>
            <w:tcW w:w="635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加：持有期限不超过三个月的国债投资</w:t>
            </w:r>
          </w:p>
        </w:tc>
        <w:tc>
          <w:tcPr>
            <w:tcW w:w="290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z w:val="24"/>
              </w:rPr>
              <w:t>-</w:t>
            </w:r>
          </w:p>
        </w:tc>
      </w:tr>
      <w:tr>
        <w:trPr>
          <w:trHeight w:val="399" w:hRule="exact"/>
        </w:trPr>
        <w:tc>
          <w:tcPr>
            <w:tcW w:w="635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期末现金及现金等价物余额</w:t>
            </w:r>
          </w:p>
        </w:tc>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372,247,146.80</w:t>
            </w:r>
          </w:p>
        </w:tc>
      </w:tr>
    </w:tbl>
    <w:p>
      <w:pPr>
        <w:spacing w:line="396" w:lineRule="auto" w:before="79"/>
        <w:ind w:left="102" w:right="5597" w:firstLine="0"/>
        <w:jc w:val="left"/>
        <w:rPr>
          <w:rFonts w:ascii="宋体" w:hAnsi="宋体" w:cs="宋体" w:eastAsia="宋体" w:hint="default"/>
          <w:sz w:val="24"/>
          <w:szCs w:val="24"/>
        </w:rPr>
      </w:pPr>
      <w:r>
        <w:rPr>
          <w:rFonts w:ascii="宋体" w:hAnsi="宋体" w:cs="宋体" w:eastAsia="宋体" w:hint="default"/>
          <w:b/>
          <w:bCs/>
          <w:sz w:val="24"/>
          <w:szCs w:val="24"/>
        </w:rPr>
        <w:t>六、关联方及关联交易</w:t>
      </w:r>
      <w:r>
        <w:rPr>
          <w:rFonts w:ascii="宋体" w:hAnsi="宋体" w:cs="宋体" w:eastAsia="宋体" w:hint="default"/>
          <w:b/>
          <w:bCs/>
          <w:w w:val="99"/>
          <w:sz w:val="24"/>
          <w:szCs w:val="24"/>
        </w:rPr>
        <w:t> </w:t>
      </w:r>
      <w:r>
        <w:rPr>
          <w:rFonts w:ascii="Arial Narrow" w:hAnsi="Arial Narrow" w:cs="Arial Narrow" w:eastAsia="Arial Narrow" w:hint="default"/>
          <w:sz w:val="24"/>
          <w:szCs w:val="24"/>
        </w:rPr>
        <w:t>1</w:t>
      </w:r>
      <w:r>
        <w:rPr>
          <w:rFonts w:ascii="宋体" w:hAnsi="宋体" w:cs="宋体" w:eastAsia="宋体" w:hint="default"/>
          <w:sz w:val="24"/>
          <w:szCs w:val="24"/>
        </w:rPr>
        <w:t>、本公司的实际控制人 本公司的实际控制人为自然人钟耳顺。 </w:t>
      </w:r>
      <w:r>
        <w:rPr>
          <w:rFonts w:ascii="Arial Narrow" w:hAnsi="Arial Narrow" w:cs="Arial Narrow" w:eastAsia="Arial Narrow" w:hint="default"/>
          <w:sz w:val="24"/>
          <w:szCs w:val="24"/>
        </w:rPr>
        <w:t>2</w:t>
      </w:r>
      <w:r>
        <w:rPr>
          <w:rFonts w:ascii="宋体" w:hAnsi="宋体" w:cs="宋体" w:eastAsia="宋体" w:hint="default"/>
          <w:sz w:val="24"/>
          <w:szCs w:val="24"/>
        </w:rPr>
        <w:t>、本公司的子公司情况</w:t>
      </w:r>
    </w:p>
    <w:p>
      <w:pPr>
        <w:spacing w:line="240" w:lineRule="auto" w:before="9"/>
        <w:rPr>
          <w:rFonts w:ascii="宋体" w:hAnsi="宋体" w:cs="宋体" w:eastAsia="宋体" w:hint="default"/>
          <w:sz w:val="4"/>
          <w:szCs w:val="4"/>
        </w:rPr>
      </w:pPr>
    </w:p>
    <w:tbl>
      <w:tblPr>
        <w:tblW w:w="0" w:type="auto"/>
        <w:jc w:val="left"/>
        <w:tblInd w:w="414" w:type="dxa"/>
        <w:tblLayout w:type="fixed"/>
        <w:tblCellMar>
          <w:top w:w="0" w:type="dxa"/>
          <w:left w:w="0" w:type="dxa"/>
          <w:bottom w:w="0" w:type="dxa"/>
          <w:right w:w="0" w:type="dxa"/>
        </w:tblCellMar>
        <w:tblLook w:val="01E0"/>
      </w:tblPr>
      <w:tblGrid>
        <w:gridCol w:w="880"/>
        <w:gridCol w:w="635"/>
        <w:gridCol w:w="436"/>
        <w:gridCol w:w="1653"/>
        <w:gridCol w:w="668"/>
        <w:gridCol w:w="836"/>
        <w:gridCol w:w="1460"/>
        <w:gridCol w:w="792"/>
        <w:gridCol w:w="780"/>
        <w:gridCol w:w="1144"/>
      </w:tblGrid>
      <w:tr>
        <w:trPr>
          <w:trHeight w:val="1378" w:hRule="exact"/>
        </w:trPr>
        <w:tc>
          <w:tcPr>
            <w:tcW w:w="88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8" w:right="35"/>
              <w:jc w:val="left"/>
              <w:rPr>
                <w:rFonts w:ascii="宋体" w:hAnsi="宋体" w:cs="宋体" w:eastAsia="宋体" w:hint="default"/>
                <w:sz w:val="21"/>
                <w:szCs w:val="21"/>
              </w:rPr>
            </w:pPr>
            <w:r>
              <w:rPr>
                <w:rFonts w:ascii="宋体" w:hAnsi="宋体" w:cs="宋体" w:eastAsia="宋体" w:hint="default"/>
                <w:b/>
                <w:bCs/>
                <w:spacing w:val="21"/>
                <w:sz w:val="21"/>
                <w:szCs w:val="21"/>
              </w:rPr>
              <w:t>子公司</w:t>
            </w:r>
            <w:r>
              <w:rPr>
                <w:rFonts w:ascii="宋体" w:hAnsi="宋体" w:cs="宋体" w:eastAsia="宋体" w:hint="default"/>
                <w:b/>
                <w:bCs/>
                <w:spacing w:val="-102"/>
                <w:sz w:val="21"/>
                <w:szCs w:val="21"/>
              </w:rPr>
              <w:t> </w:t>
            </w:r>
            <w:r>
              <w:rPr>
                <w:rFonts w:ascii="宋体" w:hAnsi="宋体" w:cs="宋体" w:eastAsia="宋体" w:hint="default"/>
                <w:b/>
                <w:bCs/>
                <w:sz w:val="21"/>
                <w:szCs w:val="21"/>
              </w:rPr>
              <w:t>全称</w:t>
            </w:r>
            <w:r>
              <w:rPr>
                <w:rFonts w:ascii="宋体" w:hAnsi="宋体" w:cs="宋体" w:eastAsia="宋体" w:hint="default"/>
                <w:sz w:val="21"/>
                <w:szCs w:val="21"/>
              </w:rPr>
            </w:r>
          </w:p>
        </w:tc>
        <w:tc>
          <w:tcPr>
            <w:tcW w:w="635" w:type="dxa"/>
            <w:tcBorders>
              <w:top w:val="single" w:sz="8" w:space="0" w:color="000000"/>
              <w:left w:val="nil" w:sz="6" w:space="0" w:color="auto"/>
              <w:bottom w:val="single" w:sz="4" w:space="0" w:color="000000"/>
              <w:right w:val="nil" w:sz="6" w:space="0" w:color="auto"/>
            </w:tcBorders>
          </w:tcPr>
          <w:p>
            <w:pPr>
              <w:pStyle w:val="TableParagraph"/>
              <w:spacing w:line="240" w:lineRule="exact"/>
              <w:ind w:left="104" w:right="0" w:hanging="3"/>
              <w:jc w:val="both"/>
              <w:rPr>
                <w:rFonts w:ascii="宋体" w:hAnsi="宋体" w:cs="宋体" w:eastAsia="宋体" w:hint="default"/>
                <w:sz w:val="21"/>
                <w:szCs w:val="21"/>
              </w:rPr>
            </w:pPr>
            <w:r>
              <w:rPr>
                <w:rFonts w:ascii="宋体" w:hAnsi="宋体" w:cs="宋体" w:eastAsia="宋体" w:hint="default"/>
                <w:b/>
                <w:bCs/>
                <w:w w:val="100"/>
                <w:sz w:val="21"/>
                <w:szCs w:val="21"/>
              </w:rPr>
              <w:t>子</w:t>
            </w:r>
            <w:r>
              <w:rPr>
                <w:rFonts w:ascii="宋体" w:hAnsi="宋体" w:cs="宋体" w:eastAsia="宋体" w:hint="default"/>
                <w:w w:val="100"/>
                <w:sz w:val="21"/>
                <w:szCs w:val="21"/>
              </w:rPr>
            </w:r>
          </w:p>
          <w:p>
            <w:pPr>
              <w:pStyle w:val="TableParagraph"/>
              <w:spacing w:line="237" w:lineRule="auto" w:before="2"/>
              <w:ind w:left="104" w:right="317"/>
              <w:jc w:val="both"/>
              <w:rPr>
                <w:rFonts w:ascii="宋体" w:hAnsi="宋体" w:cs="宋体" w:eastAsia="宋体" w:hint="default"/>
                <w:sz w:val="21"/>
                <w:szCs w:val="21"/>
              </w:rPr>
            </w:pPr>
            <w:r>
              <w:rPr>
                <w:rFonts w:ascii="宋体" w:hAnsi="宋体" w:cs="宋体" w:eastAsia="宋体" w:hint="default"/>
                <w:b/>
                <w:bCs/>
                <w:sz w:val="21"/>
                <w:szCs w:val="21"/>
              </w:rPr>
              <w:t>公</w:t>
            </w:r>
            <w:r>
              <w:rPr>
                <w:rFonts w:ascii="宋体" w:hAnsi="宋体" w:cs="宋体" w:eastAsia="宋体" w:hint="default"/>
                <w:b/>
                <w:bCs/>
                <w:w w:val="100"/>
                <w:sz w:val="21"/>
                <w:szCs w:val="21"/>
              </w:rPr>
              <w:t> </w:t>
            </w:r>
            <w:r>
              <w:rPr>
                <w:rFonts w:ascii="宋体" w:hAnsi="宋体" w:cs="宋体" w:eastAsia="宋体" w:hint="default"/>
                <w:b/>
                <w:bCs/>
                <w:sz w:val="21"/>
                <w:szCs w:val="21"/>
              </w:rPr>
              <w:t>司</w:t>
            </w:r>
            <w:r>
              <w:rPr>
                <w:rFonts w:ascii="宋体" w:hAnsi="宋体" w:cs="宋体" w:eastAsia="宋体" w:hint="default"/>
                <w:b/>
                <w:bCs/>
                <w:w w:val="100"/>
                <w:sz w:val="21"/>
                <w:szCs w:val="21"/>
              </w:rPr>
              <w:t> </w:t>
            </w:r>
            <w:r>
              <w:rPr>
                <w:rFonts w:ascii="宋体" w:hAnsi="宋体" w:cs="宋体" w:eastAsia="宋体" w:hint="default"/>
                <w:b/>
                <w:bCs/>
                <w:sz w:val="21"/>
                <w:szCs w:val="21"/>
              </w:rPr>
              <w:t>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436" w:type="dxa"/>
            <w:tcBorders>
              <w:top w:val="single" w:sz="8" w:space="0" w:color="000000"/>
              <w:left w:val="nil" w:sz="6" w:space="0" w:color="auto"/>
              <w:bottom w:val="single" w:sz="4" w:space="0" w:color="000000"/>
              <w:right w:val="nil" w:sz="6" w:space="0" w:color="auto"/>
            </w:tcBorders>
          </w:tcPr>
          <w:p>
            <w:pPr>
              <w:pStyle w:val="TableParagraph"/>
              <w:spacing w:line="237" w:lineRule="auto" w:before="105"/>
              <w:ind w:left="33" w:right="189" w:hanging="3"/>
              <w:jc w:val="both"/>
              <w:rPr>
                <w:rFonts w:ascii="宋体" w:hAnsi="宋体" w:cs="宋体" w:eastAsia="宋体" w:hint="default"/>
                <w:sz w:val="21"/>
                <w:szCs w:val="21"/>
              </w:rPr>
            </w:pPr>
            <w:r>
              <w:rPr>
                <w:rFonts w:ascii="宋体" w:hAnsi="宋体" w:cs="宋体" w:eastAsia="宋体" w:hint="default"/>
                <w:b/>
                <w:bCs/>
                <w:sz w:val="21"/>
                <w:szCs w:val="21"/>
              </w:rPr>
              <w:t>企</w:t>
            </w:r>
            <w:r>
              <w:rPr>
                <w:rFonts w:ascii="宋体" w:hAnsi="宋体" w:cs="宋体" w:eastAsia="宋体" w:hint="default"/>
                <w:b/>
                <w:bCs/>
                <w:w w:val="100"/>
                <w:sz w:val="21"/>
                <w:szCs w:val="21"/>
              </w:rPr>
              <w:t> </w:t>
            </w:r>
            <w:r>
              <w:rPr>
                <w:rFonts w:ascii="宋体" w:hAnsi="宋体" w:cs="宋体" w:eastAsia="宋体" w:hint="default"/>
                <w:b/>
                <w:bCs/>
                <w:sz w:val="21"/>
                <w:szCs w:val="21"/>
              </w:rPr>
              <w:t>业</w:t>
            </w:r>
            <w:r>
              <w:rPr>
                <w:rFonts w:ascii="宋体" w:hAnsi="宋体" w:cs="宋体" w:eastAsia="宋体" w:hint="default"/>
                <w:b/>
                <w:bCs/>
                <w:w w:val="100"/>
                <w:sz w:val="21"/>
                <w:szCs w:val="21"/>
              </w:rPr>
              <w:t> </w:t>
            </w:r>
            <w:r>
              <w:rPr>
                <w:rFonts w:ascii="宋体" w:hAnsi="宋体" w:cs="宋体" w:eastAsia="宋体" w:hint="default"/>
                <w:b/>
                <w:bCs/>
                <w:sz w:val="21"/>
                <w:szCs w:val="21"/>
              </w:rPr>
              <w:t>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1653"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2"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668" w:type="dxa"/>
            <w:tcBorders>
              <w:top w:val="single" w:sz="8" w:space="0" w:color="000000"/>
              <w:left w:val="nil" w:sz="6" w:space="0" w:color="auto"/>
              <w:bottom w:val="single" w:sz="4" w:space="0" w:color="000000"/>
              <w:right w:val="nil" w:sz="6" w:space="0" w:color="auto"/>
            </w:tcBorders>
          </w:tcPr>
          <w:p>
            <w:pPr>
              <w:pStyle w:val="TableParagraph"/>
              <w:spacing w:line="237" w:lineRule="auto" w:before="105"/>
              <w:ind w:left="160" w:right="294"/>
              <w:jc w:val="both"/>
              <w:rPr>
                <w:rFonts w:ascii="宋体" w:hAnsi="宋体" w:cs="宋体" w:eastAsia="宋体" w:hint="default"/>
                <w:sz w:val="21"/>
                <w:szCs w:val="21"/>
              </w:rPr>
            </w:pPr>
            <w:r>
              <w:rPr>
                <w:rFonts w:ascii="宋体" w:hAnsi="宋体" w:cs="宋体" w:eastAsia="宋体" w:hint="default"/>
                <w:b/>
                <w:bCs/>
                <w:sz w:val="21"/>
                <w:szCs w:val="21"/>
              </w:rPr>
              <w:t>法</w:t>
            </w:r>
            <w:r>
              <w:rPr>
                <w:rFonts w:ascii="宋体" w:hAnsi="宋体" w:cs="宋体" w:eastAsia="宋体" w:hint="default"/>
                <w:b/>
                <w:bCs/>
                <w:w w:val="100"/>
                <w:sz w:val="21"/>
                <w:szCs w:val="21"/>
              </w:rPr>
              <w:t> </w:t>
            </w:r>
            <w:r>
              <w:rPr>
                <w:rFonts w:ascii="宋体" w:hAnsi="宋体" w:cs="宋体" w:eastAsia="宋体" w:hint="default"/>
                <w:b/>
                <w:bCs/>
                <w:sz w:val="21"/>
                <w:szCs w:val="21"/>
              </w:rPr>
              <w:t>人</w:t>
            </w:r>
            <w:r>
              <w:rPr>
                <w:rFonts w:ascii="宋体" w:hAnsi="宋体" w:cs="宋体" w:eastAsia="宋体" w:hint="default"/>
                <w:b/>
                <w:bCs/>
                <w:w w:val="100"/>
                <w:sz w:val="21"/>
                <w:szCs w:val="21"/>
              </w:rPr>
              <w:t> </w:t>
            </w:r>
            <w:r>
              <w:rPr>
                <w:rFonts w:ascii="宋体" w:hAnsi="宋体" w:cs="宋体" w:eastAsia="宋体" w:hint="default"/>
                <w:b/>
                <w:bCs/>
                <w:sz w:val="21"/>
                <w:szCs w:val="21"/>
              </w:rPr>
              <w:t>代</w:t>
            </w:r>
            <w:r>
              <w:rPr>
                <w:rFonts w:ascii="宋体" w:hAnsi="宋体" w:cs="宋体" w:eastAsia="宋体" w:hint="default"/>
                <w:b/>
                <w:bCs/>
                <w:w w:val="100"/>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tc>
        <w:tc>
          <w:tcPr>
            <w:tcW w:w="836"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 w:right="29"/>
              <w:jc w:val="left"/>
              <w:rPr>
                <w:rFonts w:ascii="宋体" w:hAnsi="宋体" w:cs="宋体" w:eastAsia="宋体" w:hint="default"/>
                <w:sz w:val="21"/>
                <w:szCs w:val="21"/>
              </w:rPr>
            </w:pPr>
            <w:r>
              <w:rPr>
                <w:rFonts w:ascii="宋体" w:hAnsi="宋体" w:cs="宋体" w:eastAsia="宋体" w:hint="default"/>
                <w:b/>
                <w:bCs/>
                <w:sz w:val="21"/>
                <w:szCs w:val="21"/>
              </w:rPr>
              <w:t>业 务</w:t>
            </w:r>
            <w:r>
              <w:rPr>
                <w:rFonts w:ascii="宋体" w:hAnsi="宋体" w:cs="宋体" w:eastAsia="宋体" w:hint="default"/>
                <w:b/>
                <w:bCs/>
                <w:spacing w:val="-51"/>
                <w:sz w:val="21"/>
                <w:szCs w:val="21"/>
              </w:rPr>
              <w:t> </w:t>
            </w:r>
            <w:r>
              <w:rPr>
                <w:rFonts w:ascii="宋体" w:hAnsi="宋体" w:cs="宋体" w:eastAsia="宋体" w:hint="default"/>
                <w:b/>
                <w:bCs/>
                <w:sz w:val="21"/>
                <w:szCs w:val="21"/>
              </w:rPr>
              <w:t>性</w:t>
            </w:r>
            <w:r>
              <w:rPr>
                <w:rFonts w:ascii="宋体" w:hAnsi="宋体" w:cs="宋体" w:eastAsia="宋体" w:hint="default"/>
                <w:b/>
                <w:bCs/>
                <w:w w:val="100"/>
                <w:sz w:val="21"/>
                <w:szCs w:val="21"/>
              </w:rPr>
              <w:t> </w:t>
            </w:r>
            <w:r>
              <w:rPr>
                <w:rFonts w:ascii="宋体" w:hAnsi="宋体" w:cs="宋体" w:eastAsia="宋体" w:hint="default"/>
                <w:b/>
                <w:bCs/>
                <w:sz w:val="21"/>
                <w:szCs w:val="21"/>
              </w:rPr>
              <w:t>质</w:t>
            </w:r>
            <w:r>
              <w:rPr>
                <w:rFonts w:ascii="宋体" w:hAnsi="宋体" w:cs="宋体" w:eastAsia="宋体" w:hint="default"/>
                <w:sz w:val="21"/>
                <w:szCs w:val="21"/>
              </w:rPr>
            </w:r>
          </w:p>
        </w:tc>
        <w:tc>
          <w:tcPr>
            <w:tcW w:w="1460"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792"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30"/>
                <w:szCs w:val="30"/>
              </w:rPr>
            </w:pPr>
          </w:p>
          <w:p>
            <w:pPr>
              <w:pStyle w:val="TableParagraph"/>
              <w:spacing w:line="272" w:lineRule="exact"/>
              <w:ind w:left="83" w:right="22"/>
              <w:jc w:val="left"/>
              <w:rPr>
                <w:rFonts w:ascii="Arial Narrow" w:hAnsi="Arial Narrow" w:cs="Arial Narrow" w:eastAsia="Arial Narrow" w:hint="default"/>
                <w:sz w:val="21"/>
                <w:szCs w:val="21"/>
              </w:rPr>
            </w:pPr>
            <w:r>
              <w:rPr>
                <w:rFonts w:ascii="宋体" w:hAnsi="宋体" w:cs="宋体" w:eastAsia="宋体" w:hint="default"/>
                <w:b/>
                <w:bCs/>
                <w:spacing w:val="15"/>
                <w:sz w:val="21"/>
                <w:szCs w:val="21"/>
              </w:rPr>
              <w:t>持股比</w:t>
            </w:r>
            <w:r>
              <w:rPr>
                <w:rFonts w:ascii="宋体" w:hAnsi="宋体" w:cs="宋体" w:eastAsia="宋体" w:hint="default"/>
                <w:b/>
                <w:bCs/>
                <w:spacing w:val="-102"/>
                <w:sz w:val="21"/>
                <w:szCs w:val="21"/>
              </w:rPr>
              <w:t> </w:t>
            </w:r>
            <w:r>
              <w:rPr>
                <w:rFonts w:ascii="宋体" w:hAnsi="宋体" w:cs="宋体" w:eastAsia="宋体"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780"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30"/>
                <w:szCs w:val="30"/>
              </w:rPr>
            </w:pPr>
          </w:p>
          <w:p>
            <w:pPr>
              <w:pStyle w:val="TableParagraph"/>
              <w:spacing w:line="272" w:lineRule="exact"/>
              <w:ind w:left="24" w:right="12"/>
              <w:jc w:val="left"/>
              <w:rPr>
                <w:rFonts w:ascii="Arial Narrow" w:hAnsi="Arial Narrow" w:cs="Arial Narrow" w:eastAsia="Arial Narrow" w:hint="default"/>
                <w:sz w:val="21"/>
                <w:szCs w:val="21"/>
              </w:rPr>
            </w:pPr>
            <w:r>
              <w:rPr>
                <w:rFonts w:ascii="宋体" w:hAnsi="宋体" w:cs="宋体" w:eastAsia="宋体" w:hint="default"/>
                <w:b/>
                <w:bCs/>
                <w:spacing w:val="23"/>
                <w:sz w:val="21"/>
                <w:szCs w:val="21"/>
              </w:rPr>
              <w:t>表决权</w:t>
            </w:r>
            <w:r>
              <w:rPr>
                <w:rFonts w:ascii="宋体" w:hAnsi="宋体" w:cs="宋体" w:eastAsia="宋体" w:hint="default"/>
                <w:b/>
                <w:bCs/>
                <w:spacing w:val="-102"/>
                <w:sz w:val="21"/>
                <w:szCs w:val="21"/>
              </w:rPr>
              <w:t> </w:t>
            </w: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144" w:type="dxa"/>
            <w:tcBorders>
              <w:top w:val="single" w:sz="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4" w:right="0"/>
              <w:jc w:val="left"/>
              <w:rPr>
                <w:rFonts w:ascii="宋体" w:hAnsi="宋体" w:cs="宋体" w:eastAsia="宋体" w:hint="default"/>
                <w:sz w:val="21"/>
                <w:szCs w:val="21"/>
              </w:rPr>
            </w:pPr>
            <w:r>
              <w:rPr>
                <w:rFonts w:ascii="宋体" w:hAnsi="宋体" w:cs="宋体" w:eastAsia="宋体" w:hint="default"/>
                <w:b/>
                <w:bCs/>
                <w:spacing w:val="13"/>
                <w:sz w:val="21"/>
                <w:szCs w:val="21"/>
              </w:rPr>
              <w:t>组织机构代</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b/>
                <w:bCs/>
                <w:sz w:val="21"/>
                <w:szCs w:val="21"/>
              </w:rPr>
              <w:t>码</w:t>
            </w:r>
            <w:r>
              <w:rPr>
                <w:rFonts w:ascii="宋体" w:hAnsi="宋体" w:cs="宋体" w:eastAsia="宋体" w:hint="default"/>
                <w:sz w:val="21"/>
                <w:szCs w:val="21"/>
              </w:rPr>
            </w:r>
          </w:p>
        </w:tc>
      </w:tr>
      <w:tr>
        <w:trPr>
          <w:trHeight w:val="1093" w:hRule="exact"/>
        </w:trPr>
        <w:tc>
          <w:tcPr>
            <w:tcW w:w="880"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pacing w:val="21"/>
                <w:sz w:val="21"/>
                <w:szCs w:val="21"/>
              </w:rPr>
              <w:t>北京超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37" w:lineRule="auto"/>
              <w:ind w:left="108" w:right="35"/>
              <w:jc w:val="both"/>
              <w:rPr>
                <w:rFonts w:ascii="宋体" w:hAnsi="宋体" w:cs="宋体" w:eastAsia="宋体" w:hint="default"/>
                <w:sz w:val="21"/>
                <w:szCs w:val="21"/>
              </w:rPr>
            </w:pPr>
            <w:r>
              <w:rPr>
                <w:rFonts w:ascii="宋体" w:hAnsi="宋体" w:cs="宋体" w:eastAsia="宋体" w:hint="default"/>
                <w:spacing w:val="21"/>
                <w:sz w:val="21"/>
                <w:szCs w:val="21"/>
              </w:rPr>
              <w:t>图信息</w:t>
            </w:r>
            <w:r>
              <w:rPr>
                <w:rFonts w:ascii="宋体" w:hAnsi="宋体" w:cs="宋体" w:eastAsia="宋体" w:hint="default"/>
                <w:spacing w:val="-99"/>
                <w:sz w:val="21"/>
                <w:szCs w:val="21"/>
              </w:rPr>
              <w:t> </w:t>
            </w:r>
            <w:r>
              <w:rPr>
                <w:rFonts w:ascii="宋体" w:hAnsi="宋体" w:cs="宋体" w:eastAsia="宋体" w:hint="default"/>
                <w:spacing w:val="21"/>
                <w:sz w:val="21"/>
                <w:szCs w:val="21"/>
              </w:rPr>
              <w:t>技术有</w:t>
            </w:r>
            <w:r>
              <w:rPr>
                <w:rFonts w:ascii="宋体" w:hAnsi="宋体" w:cs="宋体" w:eastAsia="宋体" w:hint="default"/>
                <w:spacing w:val="-99"/>
                <w:sz w:val="21"/>
                <w:szCs w:val="21"/>
              </w:rPr>
              <w:t> </w:t>
            </w:r>
            <w:r>
              <w:rPr>
                <w:rFonts w:ascii="宋体" w:hAnsi="宋体" w:cs="宋体" w:eastAsia="宋体" w:hint="default"/>
                <w:sz w:val="21"/>
                <w:szCs w:val="21"/>
              </w:rPr>
              <w:t>限公司</w:t>
            </w:r>
          </w:p>
        </w:tc>
        <w:tc>
          <w:tcPr>
            <w:tcW w:w="635" w:type="dxa"/>
            <w:tcBorders>
              <w:top w:val="single" w:sz="4" w:space="0" w:color="000000"/>
              <w:left w:val="nil" w:sz="6" w:space="0" w:color="auto"/>
              <w:bottom w:val="nil" w:sz="6" w:space="0" w:color="auto"/>
              <w:right w:val="nil" w:sz="6" w:space="0" w:color="auto"/>
            </w:tcBorders>
          </w:tcPr>
          <w:p>
            <w:pPr>
              <w:pStyle w:val="TableParagraph"/>
              <w:spacing w:line="273" w:lineRule="exact" w:before="102"/>
              <w:ind w:left="37"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1"/>
                <w:sz w:val="21"/>
                <w:szCs w:val="21"/>
              </w:rPr>
              <w:t> </w:t>
            </w:r>
            <w:r>
              <w:rPr>
                <w:rFonts w:ascii="宋体" w:hAnsi="宋体" w:cs="宋体" w:eastAsia="宋体" w:hint="default"/>
                <w:sz w:val="21"/>
                <w:szCs w:val="21"/>
              </w:rPr>
              <w:t>资</w:t>
            </w:r>
          </w:p>
          <w:p>
            <w:pPr>
              <w:pStyle w:val="TableParagraph"/>
              <w:spacing w:line="240" w:lineRule="auto"/>
              <w:ind w:left="37" w:right="29"/>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36" w:type="dxa"/>
            <w:tcBorders>
              <w:top w:val="single" w:sz="4" w:space="0" w:color="000000"/>
              <w:left w:val="nil" w:sz="6" w:space="0" w:color="auto"/>
              <w:bottom w:val="nil" w:sz="6" w:space="0" w:color="auto"/>
              <w:right w:val="nil" w:sz="6" w:space="0" w:color="auto"/>
            </w:tcBorders>
          </w:tcPr>
          <w:p>
            <w:pPr>
              <w:pStyle w:val="TableParagraph"/>
              <w:spacing w:line="239" w:lineRule="exact"/>
              <w:ind w:left="71"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37" w:lineRule="auto"/>
              <w:ind w:left="71" w:right="15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39" w:lineRule="exact"/>
              <w:ind w:left="195"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z w:val="21"/>
                <w:szCs w:val="21"/>
              </w:rPr>
              <w:t>京</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朝</w:t>
            </w:r>
            <w:r>
              <w:rPr>
                <w:rFonts w:ascii="宋体" w:hAnsi="宋体" w:cs="宋体" w:eastAsia="宋体" w:hint="default"/>
                <w:spacing w:val="-76"/>
                <w:sz w:val="21"/>
                <w:szCs w:val="21"/>
              </w:rPr>
              <w:t> </w:t>
            </w:r>
            <w:r>
              <w:rPr>
                <w:rFonts w:ascii="宋体" w:hAnsi="宋体" w:cs="宋体" w:eastAsia="宋体" w:hint="default"/>
                <w:sz w:val="21"/>
                <w:szCs w:val="21"/>
              </w:rPr>
              <w:t>阳</w:t>
            </w:r>
            <w:r>
              <w:rPr>
                <w:rFonts w:ascii="宋体" w:hAnsi="宋体" w:cs="宋体" w:eastAsia="宋体" w:hint="default"/>
                <w:spacing w:val="-78"/>
                <w:sz w:val="21"/>
                <w:szCs w:val="21"/>
              </w:rPr>
              <w:t> </w:t>
            </w:r>
            <w:r>
              <w:rPr>
                <w:rFonts w:ascii="宋体" w:hAnsi="宋体" w:cs="宋体" w:eastAsia="宋体" w:hint="default"/>
                <w:sz w:val="21"/>
                <w:szCs w:val="21"/>
              </w:rPr>
              <w:t>区</w:t>
            </w:r>
          </w:p>
          <w:p>
            <w:pPr>
              <w:pStyle w:val="TableParagraph"/>
              <w:spacing w:line="225" w:lineRule="auto" w:before="13"/>
              <w:ind w:left="195" w:right="50"/>
              <w:jc w:val="both"/>
              <w:rPr>
                <w:rFonts w:ascii="宋体" w:hAnsi="宋体" w:cs="宋体" w:eastAsia="宋体" w:hint="default"/>
                <w:sz w:val="21"/>
                <w:szCs w:val="21"/>
              </w:rPr>
            </w:pPr>
            <w:r>
              <w:rPr>
                <w:rFonts w:ascii="宋体" w:hAnsi="宋体" w:cs="宋体" w:eastAsia="宋体" w:hint="default"/>
                <w:spacing w:val="9"/>
                <w:sz w:val="21"/>
                <w:szCs w:val="21"/>
              </w:rPr>
              <w:t>安翔北里甲</w:t>
            </w:r>
            <w:r>
              <w:rPr>
                <w:rFonts w:ascii="宋体" w:hAnsi="宋体" w:cs="宋体" w:eastAsia="宋体" w:hint="default"/>
                <w:spacing w:val="21"/>
                <w:sz w:val="21"/>
                <w:szCs w:val="21"/>
              </w:rPr>
              <w:t> </w:t>
            </w:r>
            <w:r>
              <w:rPr>
                <w:rFonts w:ascii="Arial Narrow" w:hAnsi="Arial Narrow" w:cs="Arial Narrow" w:eastAsia="Arial Narrow" w:hint="default"/>
                <w:spacing w:val="-13"/>
                <w:sz w:val="21"/>
                <w:szCs w:val="21"/>
              </w:rPr>
              <w:t>11</w:t>
            </w:r>
            <w:r>
              <w:rPr>
                <w:rFonts w:ascii="Arial Narrow" w:hAnsi="Arial Narrow" w:cs="Arial Narrow" w:eastAsia="Arial Narrow" w:hint="default"/>
                <w:spacing w:val="-13"/>
                <w:w w:val="100"/>
                <w:sz w:val="21"/>
                <w:szCs w:val="21"/>
              </w:rPr>
              <w:t> </w:t>
            </w:r>
            <w:r>
              <w:rPr>
                <w:rFonts w:ascii="宋体" w:hAnsi="宋体" w:cs="宋体" w:eastAsia="宋体" w:hint="default"/>
                <w:sz w:val="21"/>
                <w:szCs w:val="21"/>
              </w:rPr>
              <w:t>号院</w:t>
            </w:r>
            <w:r>
              <w:rPr>
                <w:rFonts w:ascii="宋体" w:hAnsi="宋体" w:cs="宋体" w:eastAsia="宋体" w:hint="default"/>
                <w:spacing w:val="-79"/>
                <w:sz w:val="21"/>
                <w:szCs w:val="21"/>
              </w:rPr>
              <w:t> </w:t>
            </w:r>
            <w:r>
              <w:rPr>
                <w:rFonts w:ascii="Arial Narrow" w:hAnsi="Arial Narrow" w:cs="Arial Narrow" w:eastAsia="Arial Narrow" w:hint="default"/>
                <w:sz w:val="21"/>
                <w:szCs w:val="21"/>
              </w:rPr>
              <w:t>1</w:t>
            </w:r>
            <w:r>
              <w:rPr>
                <w:rFonts w:ascii="Arial Narrow" w:hAnsi="Arial Narrow" w:cs="Arial Narrow" w:eastAsia="Arial Narrow" w:hint="default"/>
                <w:spacing w:val="-20"/>
                <w:sz w:val="21"/>
                <w:szCs w:val="21"/>
              </w:rPr>
              <w:t> </w:t>
            </w:r>
            <w:r>
              <w:rPr>
                <w:rFonts w:ascii="宋体" w:hAnsi="宋体" w:cs="宋体" w:eastAsia="宋体" w:hint="default"/>
                <w:sz w:val="21"/>
                <w:szCs w:val="21"/>
              </w:rPr>
              <w:t>号楼</w:t>
            </w:r>
            <w:r>
              <w:rPr>
                <w:rFonts w:ascii="宋体" w:hAnsi="宋体" w:cs="宋体" w:eastAsia="宋体" w:hint="default"/>
                <w:spacing w:val="-79"/>
                <w:sz w:val="21"/>
                <w:szCs w:val="21"/>
              </w:rPr>
              <w:t> </w:t>
            </w:r>
            <w:r>
              <w:rPr>
                <w:rFonts w:ascii="Arial Narrow" w:hAnsi="Arial Narrow" w:cs="Arial Narrow" w:eastAsia="Arial Narrow" w:hint="default"/>
                <w:sz w:val="21"/>
                <w:szCs w:val="21"/>
              </w:rPr>
              <w:t>1310</w:t>
            </w:r>
            <w:r>
              <w:rPr>
                <w:rFonts w:ascii="Arial Narrow" w:hAnsi="Arial Narrow" w:cs="Arial Narrow" w:eastAsia="Arial Narrow" w:hint="default"/>
                <w:spacing w:val="-1"/>
                <w:w w:val="100"/>
                <w:sz w:val="21"/>
                <w:szCs w:val="21"/>
              </w:rPr>
              <w:t> </w:t>
            </w:r>
            <w:r>
              <w:rPr>
                <w:rFonts w:ascii="宋体" w:hAnsi="宋体" w:cs="宋体" w:eastAsia="宋体" w:hint="default"/>
                <w:sz w:val="21"/>
                <w:szCs w:val="21"/>
              </w:rPr>
              <w:t>室</w:t>
            </w:r>
          </w:p>
        </w:tc>
        <w:tc>
          <w:tcPr>
            <w:tcW w:w="66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8"/>
              <w:jc w:val="left"/>
              <w:rPr>
                <w:rFonts w:ascii="宋体" w:hAnsi="宋体" w:cs="宋体" w:eastAsia="宋体" w:hint="default"/>
                <w:sz w:val="21"/>
                <w:szCs w:val="21"/>
              </w:rPr>
            </w:pPr>
            <w:r>
              <w:rPr>
                <w:rFonts w:ascii="宋体" w:hAnsi="宋体" w:cs="宋体" w:eastAsia="宋体" w:hint="default"/>
                <w:spacing w:val="45"/>
                <w:w w:val="100"/>
                <w:sz w:val="21"/>
                <w:szCs w:val="21"/>
              </w:rPr>
              <w:t>王尔</w:t>
            </w:r>
            <w:r>
              <w:rPr>
                <w:rFonts w:ascii="宋体" w:hAnsi="宋体" w:cs="宋体" w:eastAsia="宋体" w:hint="default"/>
                <w:spacing w:val="-14"/>
                <w:sz w:val="21"/>
                <w:szCs w:val="21"/>
              </w:rPr>
              <w:t> </w:t>
            </w:r>
            <w:r>
              <w:rPr>
                <w:rFonts w:ascii="宋体" w:hAnsi="宋体" w:cs="宋体" w:eastAsia="宋体" w:hint="default"/>
                <w:sz w:val="21"/>
                <w:szCs w:val="21"/>
              </w:rPr>
              <w:t>琪</w:t>
            </w:r>
          </w:p>
        </w:tc>
        <w:tc>
          <w:tcPr>
            <w:tcW w:w="836" w:type="dxa"/>
            <w:tcBorders>
              <w:top w:val="single" w:sz="4" w:space="0" w:color="000000"/>
              <w:left w:val="nil" w:sz="6" w:space="0" w:color="auto"/>
              <w:bottom w:val="nil" w:sz="6" w:space="0" w:color="auto"/>
              <w:right w:val="nil" w:sz="6" w:space="0" w:color="auto"/>
            </w:tcBorders>
          </w:tcPr>
          <w:p>
            <w:pPr>
              <w:pStyle w:val="TableParagraph"/>
              <w:spacing w:line="237" w:lineRule="auto" w:before="105"/>
              <w:ind w:left="53" w:right="135"/>
              <w:jc w:val="both"/>
              <w:rPr>
                <w:rFonts w:ascii="宋体" w:hAnsi="宋体" w:cs="宋体" w:eastAsia="宋体" w:hint="default"/>
                <w:sz w:val="21"/>
                <w:szCs w:val="21"/>
              </w:rPr>
            </w:pPr>
            <w:r>
              <w:rPr>
                <w:rFonts w:ascii="宋体" w:hAnsi="宋体" w:cs="宋体" w:eastAsia="宋体" w:hint="default"/>
                <w:spacing w:val="2"/>
                <w:sz w:val="21"/>
                <w:szCs w:val="21"/>
              </w:rPr>
              <w:t>软件开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发、销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售</w:t>
            </w:r>
          </w:p>
        </w:tc>
        <w:tc>
          <w:tcPr>
            <w:tcW w:w="14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365" w:right="0"/>
              <w:jc w:val="left"/>
              <w:rPr>
                <w:rFonts w:ascii="Arial Narrow" w:hAnsi="Arial Narrow" w:cs="Arial Narrow" w:eastAsia="Arial Narrow" w:hint="default"/>
                <w:sz w:val="21"/>
                <w:szCs w:val="21"/>
              </w:rPr>
            </w:pPr>
            <w:r>
              <w:rPr>
                <w:rFonts w:ascii="Arial Narrow"/>
                <w:sz w:val="21"/>
              </w:rPr>
              <w:t>5,000,000.00</w:t>
            </w:r>
          </w:p>
        </w:tc>
        <w:tc>
          <w:tcPr>
            <w:tcW w:w="79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78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5"/>
              <w:jc w:val="right"/>
              <w:rPr>
                <w:rFonts w:ascii="Arial Narrow" w:hAnsi="Arial Narrow" w:cs="Arial Narrow" w:eastAsia="Arial Narrow" w:hint="default"/>
                <w:sz w:val="21"/>
                <w:szCs w:val="21"/>
              </w:rPr>
            </w:pPr>
            <w:r>
              <w:rPr>
                <w:rFonts w:ascii="Arial Narrow"/>
                <w:spacing w:val="-1"/>
                <w:sz w:val="21"/>
              </w:rPr>
              <w:t>79162517-X</w:t>
            </w:r>
          </w:p>
        </w:tc>
      </w:tr>
      <w:tr>
        <w:trPr>
          <w:trHeight w:val="1095" w:hRule="exact"/>
        </w:trPr>
        <w:tc>
          <w:tcPr>
            <w:tcW w:w="880"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08" w:right="35"/>
              <w:jc w:val="both"/>
              <w:rPr>
                <w:rFonts w:ascii="宋体" w:hAnsi="宋体" w:cs="宋体" w:eastAsia="宋体" w:hint="default"/>
                <w:sz w:val="21"/>
                <w:szCs w:val="21"/>
              </w:rPr>
            </w:pPr>
            <w:r>
              <w:rPr>
                <w:rFonts w:ascii="宋体" w:hAnsi="宋体" w:cs="宋体" w:eastAsia="宋体" w:hint="default"/>
                <w:spacing w:val="21"/>
                <w:sz w:val="21"/>
                <w:szCs w:val="21"/>
              </w:rPr>
              <w:t>超图国</w:t>
            </w:r>
            <w:r>
              <w:rPr>
                <w:rFonts w:ascii="宋体" w:hAnsi="宋体" w:cs="宋体" w:eastAsia="宋体" w:hint="default"/>
                <w:spacing w:val="-99"/>
                <w:sz w:val="21"/>
                <w:szCs w:val="21"/>
              </w:rPr>
              <w:t> </w:t>
            </w:r>
            <w:r>
              <w:rPr>
                <w:rFonts w:ascii="宋体" w:hAnsi="宋体" w:cs="宋体" w:eastAsia="宋体" w:hint="default"/>
                <w:spacing w:val="21"/>
                <w:sz w:val="21"/>
                <w:szCs w:val="21"/>
              </w:rPr>
              <w:t>际有限</w:t>
            </w:r>
            <w:r>
              <w:rPr>
                <w:rFonts w:ascii="宋体" w:hAnsi="宋体" w:cs="宋体" w:eastAsia="宋体" w:hint="default"/>
                <w:spacing w:val="-99"/>
                <w:sz w:val="21"/>
                <w:szCs w:val="21"/>
              </w:rPr>
              <w:t> </w:t>
            </w:r>
            <w:r>
              <w:rPr>
                <w:rFonts w:ascii="宋体" w:hAnsi="宋体" w:cs="宋体" w:eastAsia="宋体" w:hint="default"/>
                <w:sz w:val="21"/>
                <w:szCs w:val="21"/>
              </w:rPr>
              <w:t>公司</w:t>
            </w:r>
          </w:p>
        </w:tc>
        <w:tc>
          <w:tcPr>
            <w:tcW w:w="635" w:type="dxa"/>
            <w:tcBorders>
              <w:top w:val="nil" w:sz="6" w:space="0" w:color="auto"/>
              <w:left w:val="nil" w:sz="6" w:space="0" w:color="auto"/>
              <w:bottom w:val="nil" w:sz="6" w:space="0" w:color="auto"/>
              <w:right w:val="nil" w:sz="6" w:space="0" w:color="auto"/>
            </w:tcBorders>
          </w:tcPr>
          <w:p>
            <w:pPr>
              <w:pStyle w:val="TableParagraph"/>
              <w:spacing w:line="273" w:lineRule="exact" w:before="104"/>
              <w:ind w:left="37"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1"/>
                <w:sz w:val="21"/>
                <w:szCs w:val="21"/>
              </w:rPr>
              <w:t> </w:t>
            </w:r>
            <w:r>
              <w:rPr>
                <w:rFonts w:ascii="宋体" w:hAnsi="宋体" w:cs="宋体" w:eastAsia="宋体" w:hint="default"/>
                <w:sz w:val="21"/>
                <w:szCs w:val="21"/>
              </w:rPr>
              <w:t>资</w:t>
            </w:r>
          </w:p>
          <w:p>
            <w:pPr>
              <w:pStyle w:val="TableParagraph"/>
              <w:spacing w:line="240" w:lineRule="auto"/>
              <w:ind w:left="37" w:right="29"/>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36" w:type="dxa"/>
            <w:tcBorders>
              <w:top w:val="nil" w:sz="6" w:space="0" w:color="auto"/>
              <w:left w:val="nil" w:sz="6" w:space="0" w:color="auto"/>
              <w:bottom w:val="nil" w:sz="6" w:space="0" w:color="auto"/>
              <w:right w:val="nil" w:sz="6" w:space="0" w:color="auto"/>
            </w:tcBorders>
          </w:tcPr>
          <w:p>
            <w:pPr>
              <w:pStyle w:val="TableParagraph"/>
              <w:spacing w:line="241" w:lineRule="exact"/>
              <w:ind w:left="71"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37" w:lineRule="auto"/>
              <w:ind w:left="71" w:right="15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653" w:type="dxa"/>
            <w:tcBorders>
              <w:top w:val="nil" w:sz="6" w:space="0" w:color="auto"/>
              <w:left w:val="nil" w:sz="6" w:space="0" w:color="auto"/>
              <w:bottom w:val="nil" w:sz="6" w:space="0" w:color="auto"/>
              <w:right w:val="nil" w:sz="6" w:space="0" w:color="auto"/>
            </w:tcBorders>
          </w:tcPr>
          <w:p>
            <w:pPr>
              <w:pStyle w:val="TableParagraph"/>
              <w:spacing w:line="241" w:lineRule="exact"/>
              <w:ind w:left="195"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76"/>
                <w:sz w:val="21"/>
                <w:szCs w:val="21"/>
              </w:rPr>
              <w:t> </w:t>
            </w:r>
            <w:r>
              <w:rPr>
                <w:rFonts w:ascii="宋体" w:hAnsi="宋体" w:cs="宋体" w:eastAsia="宋体" w:hint="default"/>
                <w:sz w:val="21"/>
                <w:szCs w:val="21"/>
              </w:rPr>
              <w:t>港</w:t>
            </w:r>
            <w:r>
              <w:rPr>
                <w:rFonts w:ascii="宋体" w:hAnsi="宋体" w:cs="宋体" w:eastAsia="宋体" w:hint="default"/>
                <w:spacing w:val="-78"/>
                <w:sz w:val="21"/>
                <w:szCs w:val="21"/>
              </w:rPr>
              <w:t> </w:t>
            </w:r>
            <w:r>
              <w:rPr>
                <w:rFonts w:ascii="宋体" w:hAnsi="宋体" w:cs="宋体" w:eastAsia="宋体" w:hint="default"/>
                <w:sz w:val="21"/>
                <w:szCs w:val="21"/>
              </w:rPr>
              <w:t>新</w:t>
            </w:r>
            <w:r>
              <w:rPr>
                <w:rFonts w:ascii="宋体" w:hAnsi="宋体" w:cs="宋体" w:eastAsia="宋体" w:hint="default"/>
                <w:spacing w:val="-78"/>
                <w:sz w:val="21"/>
                <w:szCs w:val="21"/>
              </w:rPr>
              <w:t> </w:t>
            </w:r>
            <w:r>
              <w:rPr>
                <w:rFonts w:ascii="宋体" w:hAnsi="宋体" w:cs="宋体" w:eastAsia="宋体" w:hint="default"/>
                <w:sz w:val="21"/>
                <w:szCs w:val="21"/>
              </w:rPr>
              <w:t>界</w:t>
            </w:r>
            <w:r>
              <w:rPr>
                <w:rFonts w:ascii="宋体" w:hAnsi="宋体" w:cs="宋体" w:eastAsia="宋体" w:hint="default"/>
                <w:spacing w:val="-76"/>
                <w:sz w:val="21"/>
                <w:szCs w:val="21"/>
              </w:rPr>
              <w:t> </w:t>
            </w:r>
            <w:r>
              <w:rPr>
                <w:rFonts w:ascii="宋体" w:hAnsi="宋体" w:cs="宋体" w:eastAsia="宋体" w:hint="default"/>
                <w:sz w:val="21"/>
                <w:szCs w:val="21"/>
              </w:rPr>
              <w:t>沙</w:t>
            </w:r>
            <w:r>
              <w:rPr>
                <w:rFonts w:ascii="宋体" w:hAnsi="宋体" w:cs="宋体" w:eastAsia="宋体" w:hint="default"/>
                <w:spacing w:val="-78"/>
                <w:sz w:val="21"/>
                <w:szCs w:val="21"/>
              </w:rPr>
              <w:t> </w:t>
            </w:r>
            <w:r>
              <w:rPr>
                <w:rFonts w:ascii="宋体" w:hAnsi="宋体" w:cs="宋体" w:eastAsia="宋体" w:hint="default"/>
                <w:sz w:val="21"/>
                <w:szCs w:val="21"/>
              </w:rPr>
              <w:t>田</w:t>
            </w:r>
          </w:p>
          <w:p>
            <w:pPr>
              <w:pStyle w:val="TableParagraph"/>
              <w:spacing w:line="240" w:lineRule="auto"/>
              <w:ind w:left="195" w:right="5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76"/>
                <w:sz w:val="21"/>
                <w:szCs w:val="21"/>
              </w:rPr>
              <w:t> </w:t>
            </w:r>
            <w:r>
              <w:rPr>
                <w:rFonts w:ascii="宋体" w:hAnsi="宋体" w:cs="宋体" w:eastAsia="宋体" w:hint="default"/>
                <w:sz w:val="21"/>
                <w:szCs w:val="21"/>
              </w:rPr>
              <w:t>港</w:t>
            </w:r>
            <w:r>
              <w:rPr>
                <w:rFonts w:ascii="宋体" w:hAnsi="宋体" w:cs="宋体" w:eastAsia="宋体" w:hint="default"/>
                <w:spacing w:val="-78"/>
                <w:sz w:val="21"/>
                <w:szCs w:val="21"/>
              </w:rPr>
              <w:t> </w:t>
            </w:r>
            <w:r>
              <w:rPr>
                <w:rFonts w:ascii="宋体" w:hAnsi="宋体" w:cs="宋体" w:eastAsia="宋体" w:hint="default"/>
                <w:sz w:val="21"/>
                <w:szCs w:val="21"/>
              </w:rPr>
              <w:t>科</w:t>
            </w:r>
            <w:r>
              <w:rPr>
                <w:rFonts w:ascii="宋体" w:hAnsi="宋体" w:cs="宋体" w:eastAsia="宋体" w:hint="default"/>
                <w:spacing w:val="-78"/>
                <w:sz w:val="21"/>
                <w:szCs w:val="21"/>
              </w:rPr>
              <w:t> </w:t>
            </w:r>
            <w:r>
              <w:rPr>
                <w:rFonts w:ascii="宋体" w:hAnsi="宋体" w:cs="宋体" w:eastAsia="宋体" w:hint="default"/>
                <w:sz w:val="21"/>
                <w:szCs w:val="21"/>
              </w:rPr>
              <w:t>学</w:t>
            </w:r>
            <w:r>
              <w:rPr>
                <w:rFonts w:ascii="宋体" w:hAnsi="宋体" w:cs="宋体" w:eastAsia="宋体" w:hint="default"/>
                <w:spacing w:val="-76"/>
                <w:sz w:val="21"/>
                <w:szCs w:val="21"/>
              </w:rPr>
              <w:t> </w:t>
            </w:r>
            <w:r>
              <w:rPr>
                <w:rFonts w:ascii="宋体" w:hAnsi="宋体" w:cs="宋体" w:eastAsia="宋体" w:hint="default"/>
                <w:sz w:val="21"/>
                <w:szCs w:val="21"/>
              </w:rPr>
              <w:t>园</w:t>
            </w:r>
            <w:r>
              <w:rPr>
                <w:rFonts w:ascii="宋体" w:hAnsi="宋体" w:cs="宋体" w:eastAsia="宋体" w:hint="default"/>
                <w:spacing w:val="-78"/>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pacing w:val="4"/>
                <w:sz w:val="21"/>
                <w:szCs w:val="21"/>
              </w:rPr>
              <w:t>技大道西 </w:t>
            </w:r>
            <w:r>
              <w:rPr>
                <w:rFonts w:ascii="Arial Narrow" w:hAnsi="Arial Narrow" w:cs="Arial Narrow" w:eastAsia="Arial Narrow" w:hint="default"/>
                <w:sz w:val="21"/>
                <w:szCs w:val="21"/>
              </w:rPr>
              <w:t>8 </w:t>
            </w:r>
            <w:r>
              <w:rPr>
                <w:rFonts w:ascii="Arial Narrow" w:hAnsi="Arial Narrow" w:cs="Arial Narrow" w:eastAsia="Arial Narrow" w:hint="default"/>
                <w:spacing w:val="33"/>
                <w:sz w:val="21"/>
                <w:szCs w:val="21"/>
              </w:rPr>
              <w:t> </w:t>
            </w:r>
            <w:r>
              <w:rPr>
                <w:rFonts w:ascii="宋体" w:hAnsi="宋体" w:cs="宋体" w:eastAsia="宋体" w:hint="default"/>
                <w:sz w:val="21"/>
                <w:szCs w:val="21"/>
              </w:rPr>
              <w:t>号</w:t>
            </w:r>
          </w:p>
          <w:p>
            <w:pPr>
              <w:pStyle w:val="TableParagraph"/>
              <w:spacing w:line="271" w:lineRule="exact"/>
              <w:ind w:left="195" w:right="0"/>
              <w:jc w:val="left"/>
              <w:rPr>
                <w:rFonts w:ascii="宋体" w:hAnsi="宋体" w:cs="宋体" w:eastAsia="宋体" w:hint="default"/>
                <w:sz w:val="21"/>
                <w:szCs w:val="21"/>
              </w:rPr>
            </w:pPr>
            <w:r>
              <w:rPr>
                <w:rFonts w:ascii="宋体" w:hAnsi="宋体" w:cs="宋体" w:eastAsia="宋体" w:hint="default"/>
                <w:sz w:val="21"/>
                <w:szCs w:val="21"/>
              </w:rPr>
              <w:t>西翼</w:t>
            </w:r>
            <w:r>
              <w:rPr>
                <w:rFonts w:ascii="宋体" w:hAnsi="宋体" w:cs="宋体" w:eastAsia="宋体" w:hint="default"/>
                <w:spacing w:val="-61"/>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4"/>
                <w:sz w:val="21"/>
                <w:szCs w:val="21"/>
              </w:rPr>
              <w:t> </w:t>
            </w:r>
            <w:r>
              <w:rPr>
                <w:rFonts w:ascii="宋体" w:hAnsi="宋体" w:cs="宋体" w:eastAsia="宋体" w:hint="default"/>
                <w:sz w:val="21"/>
                <w:szCs w:val="21"/>
              </w:rPr>
              <w:t>楼</w:t>
            </w:r>
            <w:r>
              <w:rPr>
                <w:rFonts w:ascii="宋体" w:hAnsi="宋体" w:cs="宋体" w:eastAsia="宋体" w:hint="default"/>
                <w:spacing w:val="-59"/>
                <w:sz w:val="21"/>
                <w:szCs w:val="21"/>
              </w:rPr>
              <w:t> </w:t>
            </w:r>
            <w:r>
              <w:rPr>
                <w:rFonts w:ascii="Arial Narrow" w:hAnsi="Arial Narrow" w:cs="Arial Narrow" w:eastAsia="Arial Narrow" w:hint="default"/>
                <w:sz w:val="21"/>
                <w:szCs w:val="21"/>
              </w:rPr>
              <w:t>201</w:t>
            </w:r>
            <w:r>
              <w:rPr>
                <w:rFonts w:ascii="Arial Narrow" w:hAnsi="Arial Narrow" w:cs="Arial Narrow" w:eastAsia="Arial Narrow" w:hint="default"/>
                <w:spacing w:val="-4"/>
                <w:sz w:val="21"/>
                <w:szCs w:val="21"/>
              </w:rPr>
              <w:t> </w:t>
            </w:r>
            <w:r>
              <w:rPr>
                <w:rFonts w:ascii="宋体" w:hAnsi="宋体" w:cs="宋体" w:eastAsia="宋体" w:hint="default"/>
                <w:sz w:val="21"/>
                <w:szCs w:val="21"/>
              </w:rPr>
              <w:t>室</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2" w:right="8"/>
              <w:jc w:val="left"/>
              <w:rPr>
                <w:rFonts w:ascii="宋体" w:hAnsi="宋体" w:cs="宋体" w:eastAsia="宋体" w:hint="default"/>
                <w:sz w:val="21"/>
                <w:szCs w:val="21"/>
              </w:rPr>
            </w:pPr>
            <w:r>
              <w:rPr>
                <w:rFonts w:ascii="宋体" w:hAnsi="宋体" w:cs="宋体" w:eastAsia="宋体" w:hint="default"/>
                <w:spacing w:val="45"/>
                <w:w w:val="100"/>
                <w:sz w:val="21"/>
                <w:szCs w:val="21"/>
              </w:rPr>
              <w:t>钟耳</w:t>
            </w:r>
            <w:r>
              <w:rPr>
                <w:rFonts w:ascii="宋体" w:hAnsi="宋体" w:cs="宋体" w:eastAsia="宋体" w:hint="default"/>
                <w:spacing w:val="-14"/>
                <w:sz w:val="21"/>
                <w:szCs w:val="21"/>
              </w:rPr>
              <w:t> </w:t>
            </w:r>
            <w:r>
              <w:rPr>
                <w:rFonts w:ascii="宋体" w:hAnsi="宋体" w:cs="宋体" w:eastAsia="宋体" w:hint="default"/>
                <w:sz w:val="21"/>
                <w:szCs w:val="21"/>
              </w:rPr>
              <w:t>顺</w:t>
            </w:r>
          </w:p>
        </w:tc>
        <w:tc>
          <w:tcPr>
            <w:tcW w:w="836"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53" w:right="135"/>
              <w:jc w:val="both"/>
              <w:rPr>
                <w:rFonts w:ascii="宋体" w:hAnsi="宋体" w:cs="宋体" w:eastAsia="宋体" w:hint="default"/>
                <w:sz w:val="21"/>
                <w:szCs w:val="21"/>
              </w:rPr>
            </w:pPr>
            <w:r>
              <w:rPr>
                <w:rFonts w:ascii="宋体" w:hAnsi="宋体" w:cs="宋体" w:eastAsia="宋体" w:hint="default"/>
                <w:spacing w:val="2"/>
                <w:sz w:val="21"/>
                <w:szCs w:val="21"/>
              </w:rPr>
              <w:t>软件开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发、销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售</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53" w:right="0"/>
              <w:jc w:val="left"/>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126"/>
              <w:ind w:left="367" w:right="0"/>
              <w:jc w:val="left"/>
              <w:rPr>
                <w:rFonts w:ascii="Arial Narrow" w:hAnsi="Arial Narrow" w:cs="Arial Narrow" w:eastAsia="Arial Narrow" w:hint="default"/>
                <w:sz w:val="21"/>
                <w:szCs w:val="21"/>
              </w:rPr>
            </w:pPr>
            <w:r>
              <w:rPr>
                <w:rFonts w:ascii="Arial Narrow"/>
                <w:sz w:val="21"/>
              </w:rPr>
              <w:t>4,500,000.00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4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4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5"/>
              <w:jc w:val="right"/>
              <w:rPr>
                <w:rFonts w:ascii="Arial Narrow" w:hAnsi="Arial Narrow" w:cs="Arial Narrow" w:eastAsia="Arial Narrow" w:hint="default"/>
                <w:sz w:val="21"/>
                <w:szCs w:val="21"/>
              </w:rPr>
            </w:pPr>
            <w:r>
              <w:rPr>
                <w:rFonts w:ascii="Arial Narrow"/>
                <w:spacing w:val="-1"/>
                <w:sz w:val="21"/>
              </w:rPr>
              <w:t>1097822</w:t>
            </w:r>
            <w:r>
              <w:rPr>
                <w:rFonts w:ascii="Arial Narrow"/>
                <w:sz w:val="21"/>
              </w:rPr>
            </w:r>
          </w:p>
        </w:tc>
      </w:tr>
      <w:tr>
        <w:trPr>
          <w:trHeight w:val="1096" w:hRule="exact"/>
        </w:trPr>
        <w:tc>
          <w:tcPr>
            <w:tcW w:w="880" w:type="dxa"/>
            <w:tcBorders>
              <w:top w:val="nil" w:sz="6" w:space="0" w:color="auto"/>
              <w:left w:val="nil" w:sz="6" w:space="0" w:color="auto"/>
              <w:bottom w:val="single" w:sz="8" w:space="0" w:color="000000"/>
              <w:right w:val="nil" w:sz="6" w:space="0" w:color="auto"/>
            </w:tcBorders>
          </w:tcPr>
          <w:p>
            <w:pPr>
              <w:pStyle w:val="TableParagraph"/>
              <w:spacing w:line="237" w:lineRule="auto" w:before="99"/>
              <w:ind w:left="108" w:right="35"/>
              <w:jc w:val="both"/>
              <w:rPr>
                <w:rFonts w:ascii="宋体" w:hAnsi="宋体" w:cs="宋体" w:eastAsia="宋体" w:hint="default"/>
                <w:sz w:val="21"/>
                <w:szCs w:val="21"/>
              </w:rPr>
            </w:pPr>
            <w:r>
              <w:rPr>
                <w:rFonts w:ascii="宋体" w:hAnsi="宋体" w:cs="宋体" w:eastAsia="宋体" w:hint="default"/>
                <w:spacing w:val="21"/>
                <w:sz w:val="21"/>
                <w:szCs w:val="21"/>
              </w:rPr>
              <w:t>日本超</w:t>
            </w:r>
            <w:r>
              <w:rPr>
                <w:rFonts w:ascii="宋体" w:hAnsi="宋体" w:cs="宋体" w:eastAsia="宋体" w:hint="default"/>
                <w:spacing w:val="-99"/>
                <w:sz w:val="21"/>
                <w:szCs w:val="21"/>
              </w:rPr>
              <w:t> </w:t>
            </w:r>
            <w:r>
              <w:rPr>
                <w:rFonts w:ascii="宋体" w:hAnsi="宋体" w:cs="宋体" w:eastAsia="宋体" w:hint="default"/>
                <w:spacing w:val="21"/>
                <w:sz w:val="21"/>
                <w:szCs w:val="21"/>
              </w:rPr>
              <w:t>图株式</w:t>
            </w:r>
            <w:r>
              <w:rPr>
                <w:rFonts w:ascii="宋体" w:hAnsi="宋体" w:cs="宋体" w:eastAsia="宋体" w:hint="default"/>
                <w:spacing w:val="-99"/>
                <w:sz w:val="21"/>
                <w:szCs w:val="21"/>
              </w:rPr>
              <w:t> </w:t>
            </w:r>
            <w:r>
              <w:rPr>
                <w:rFonts w:ascii="宋体" w:hAnsi="宋体" w:cs="宋体" w:eastAsia="宋体" w:hint="default"/>
                <w:sz w:val="21"/>
                <w:szCs w:val="21"/>
              </w:rPr>
              <w:t>会社</w:t>
            </w:r>
          </w:p>
        </w:tc>
        <w:tc>
          <w:tcPr>
            <w:tcW w:w="635" w:type="dxa"/>
            <w:tcBorders>
              <w:top w:val="nil" w:sz="6" w:space="0" w:color="auto"/>
              <w:left w:val="nil" w:sz="6" w:space="0" w:color="auto"/>
              <w:bottom w:val="single" w:sz="8" w:space="0" w:color="000000"/>
              <w:right w:val="nil" w:sz="6" w:space="0" w:color="auto"/>
            </w:tcBorders>
          </w:tcPr>
          <w:p>
            <w:pPr>
              <w:pStyle w:val="TableParagraph"/>
              <w:spacing w:line="274" w:lineRule="exact" w:before="97"/>
              <w:ind w:left="37"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41"/>
                <w:sz w:val="21"/>
                <w:szCs w:val="21"/>
              </w:rPr>
              <w:t> </w:t>
            </w:r>
            <w:r>
              <w:rPr>
                <w:rFonts w:ascii="宋体" w:hAnsi="宋体" w:cs="宋体" w:eastAsia="宋体" w:hint="default"/>
                <w:sz w:val="21"/>
                <w:szCs w:val="21"/>
              </w:rPr>
              <w:t>股</w:t>
            </w:r>
          </w:p>
          <w:p>
            <w:pPr>
              <w:pStyle w:val="TableParagraph"/>
              <w:spacing w:line="272" w:lineRule="exact" w:before="27"/>
              <w:ind w:left="37" w:right="29"/>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36" w:type="dxa"/>
            <w:tcBorders>
              <w:top w:val="nil" w:sz="6" w:space="0" w:color="auto"/>
              <w:left w:val="nil" w:sz="6" w:space="0" w:color="auto"/>
              <w:bottom w:val="single" w:sz="8" w:space="0" w:color="000000"/>
              <w:right w:val="nil" w:sz="6" w:space="0" w:color="auto"/>
            </w:tcBorders>
          </w:tcPr>
          <w:p>
            <w:pPr>
              <w:pStyle w:val="TableParagraph"/>
              <w:spacing w:line="236" w:lineRule="exact"/>
              <w:ind w:left="71"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37" w:lineRule="auto"/>
              <w:ind w:left="71" w:right="15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653" w:type="dxa"/>
            <w:tcBorders>
              <w:top w:val="nil" w:sz="6" w:space="0" w:color="auto"/>
              <w:left w:val="nil" w:sz="6" w:space="0" w:color="auto"/>
              <w:bottom w:val="single" w:sz="8" w:space="0" w:color="000000"/>
              <w:right w:val="nil" w:sz="6" w:space="0" w:color="auto"/>
            </w:tcBorders>
          </w:tcPr>
          <w:p>
            <w:pPr>
              <w:pStyle w:val="TableParagraph"/>
              <w:spacing w:line="240" w:lineRule="auto" w:before="97"/>
              <w:ind w:left="195" w:right="50"/>
              <w:jc w:val="left"/>
              <w:rPr>
                <w:rFonts w:ascii="Arial Narrow" w:hAnsi="Arial Narrow" w:cs="Arial Narrow" w:eastAsia="Arial Narrow" w:hint="default"/>
                <w:sz w:val="21"/>
                <w:szCs w:val="21"/>
              </w:rPr>
            </w:pPr>
            <w:r>
              <w:rPr>
                <w:rFonts w:ascii="宋体" w:hAnsi="宋体" w:cs="宋体" w:eastAsia="宋体" w:hint="default"/>
                <w:sz w:val="21"/>
                <w:szCs w:val="21"/>
              </w:rPr>
              <w:t>日</w:t>
            </w:r>
            <w:r>
              <w:rPr>
                <w:rFonts w:ascii="宋体" w:hAnsi="宋体" w:cs="宋体" w:eastAsia="宋体" w:hint="default"/>
                <w:spacing w:val="-76"/>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东</w:t>
            </w:r>
            <w:r>
              <w:rPr>
                <w:rFonts w:ascii="宋体" w:hAnsi="宋体" w:cs="宋体" w:eastAsia="宋体" w:hint="default"/>
                <w:spacing w:val="-78"/>
                <w:sz w:val="21"/>
                <w:szCs w:val="21"/>
              </w:rPr>
              <w:t> </w:t>
            </w:r>
            <w:r>
              <w:rPr>
                <w:rFonts w:ascii="宋体" w:hAnsi="宋体" w:cs="宋体" w:eastAsia="宋体" w:hint="default"/>
                <w:sz w:val="21"/>
                <w:szCs w:val="21"/>
              </w:rPr>
              <w:t>京</w:t>
            </w:r>
            <w:r>
              <w:rPr>
                <w:rFonts w:ascii="宋体" w:hAnsi="宋体" w:cs="宋体" w:eastAsia="宋体" w:hint="default"/>
                <w:spacing w:val="-76"/>
                <w:sz w:val="21"/>
                <w:szCs w:val="21"/>
              </w:rPr>
              <w:t> </w:t>
            </w:r>
            <w:r>
              <w:rPr>
                <w:rFonts w:ascii="宋体" w:hAnsi="宋体" w:cs="宋体" w:eastAsia="宋体" w:hint="default"/>
                <w:sz w:val="21"/>
                <w:szCs w:val="21"/>
              </w:rPr>
              <w:t>都</w:t>
            </w:r>
            <w:r>
              <w:rPr>
                <w:rFonts w:ascii="宋体" w:hAnsi="宋体" w:cs="宋体" w:eastAsia="宋体" w:hint="default"/>
                <w:spacing w:val="-78"/>
                <w:sz w:val="21"/>
                <w:szCs w:val="21"/>
              </w:rPr>
              <w:t> </w:t>
            </w:r>
            <w:r>
              <w:rPr>
                <w:rFonts w:ascii="宋体" w:hAnsi="宋体" w:cs="宋体" w:eastAsia="宋体" w:hint="default"/>
                <w:sz w:val="21"/>
                <w:szCs w:val="21"/>
              </w:rPr>
              <w:t>港</w:t>
            </w:r>
            <w:r>
              <w:rPr>
                <w:rFonts w:ascii="宋体" w:hAnsi="宋体" w:cs="宋体" w:eastAsia="宋体" w:hint="default"/>
                <w:w w:val="100"/>
                <w:sz w:val="21"/>
                <w:szCs w:val="21"/>
              </w:rPr>
              <w:t> </w:t>
            </w:r>
            <w:r>
              <w:rPr>
                <w:rFonts w:ascii="宋体" w:hAnsi="宋体" w:cs="宋体" w:eastAsia="宋体" w:hint="default"/>
                <w:spacing w:val="6"/>
                <w:sz w:val="21"/>
                <w:szCs w:val="21"/>
              </w:rPr>
              <w:t>区芝二丁目</w:t>
            </w:r>
            <w:r>
              <w:rPr>
                <w:rFonts w:ascii="宋体" w:hAnsi="宋体" w:cs="宋体" w:eastAsia="宋体" w:hint="default"/>
                <w:spacing w:val="24"/>
                <w:sz w:val="21"/>
                <w:szCs w:val="21"/>
              </w:rPr>
              <w:t> </w:t>
            </w:r>
            <w:r>
              <w:rPr>
                <w:rFonts w:ascii="Arial Narrow" w:hAnsi="Arial Narrow" w:cs="Arial Narrow" w:eastAsia="Arial Narrow" w:hint="default"/>
                <w:sz w:val="21"/>
                <w:szCs w:val="21"/>
              </w:rPr>
              <w:t>13</w:t>
            </w:r>
          </w:p>
          <w:p>
            <w:pPr>
              <w:pStyle w:val="TableParagraph"/>
              <w:spacing w:line="271" w:lineRule="exact"/>
              <w:ind w:left="195" w:right="0"/>
              <w:jc w:val="left"/>
              <w:rPr>
                <w:rFonts w:ascii="宋体" w:hAnsi="宋体" w:cs="宋体" w:eastAsia="宋体" w:hint="default"/>
                <w:sz w:val="21"/>
                <w:szCs w:val="21"/>
              </w:rPr>
            </w:pPr>
            <w:r>
              <w:rPr>
                <w:rFonts w:ascii="宋体" w:hAnsi="宋体" w:cs="宋体" w:eastAsia="宋体" w:hint="default"/>
                <w:sz w:val="21"/>
                <w:szCs w:val="21"/>
              </w:rPr>
              <w:t>番</w:t>
            </w:r>
            <w:r>
              <w:rPr>
                <w:rFonts w:ascii="宋体" w:hAnsi="宋体" w:cs="宋体" w:eastAsia="宋体" w:hint="default"/>
                <w:spacing w:val="-52"/>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号</w:t>
            </w:r>
          </w:p>
        </w:tc>
        <w:tc>
          <w:tcPr>
            <w:tcW w:w="668"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2" w:right="8"/>
              <w:jc w:val="left"/>
              <w:rPr>
                <w:rFonts w:ascii="宋体" w:hAnsi="宋体" w:cs="宋体" w:eastAsia="宋体" w:hint="default"/>
                <w:sz w:val="21"/>
                <w:szCs w:val="21"/>
              </w:rPr>
            </w:pPr>
            <w:r>
              <w:rPr>
                <w:rFonts w:ascii="宋体" w:hAnsi="宋体" w:cs="宋体" w:eastAsia="宋体" w:hint="default"/>
                <w:spacing w:val="45"/>
                <w:w w:val="100"/>
                <w:sz w:val="21"/>
                <w:szCs w:val="21"/>
              </w:rPr>
              <w:t>林秋</w:t>
            </w:r>
            <w:r>
              <w:rPr>
                <w:rFonts w:ascii="宋体" w:hAnsi="宋体" w:cs="宋体" w:eastAsia="宋体" w:hint="default"/>
                <w:spacing w:val="-14"/>
                <w:sz w:val="21"/>
                <w:szCs w:val="21"/>
              </w:rPr>
              <w:t> </w:t>
            </w:r>
            <w:r>
              <w:rPr>
                <w:rFonts w:ascii="宋体" w:hAnsi="宋体" w:cs="宋体" w:eastAsia="宋体" w:hint="default"/>
                <w:sz w:val="21"/>
                <w:szCs w:val="21"/>
              </w:rPr>
              <w:t>博</w:t>
            </w:r>
          </w:p>
        </w:tc>
        <w:tc>
          <w:tcPr>
            <w:tcW w:w="836" w:type="dxa"/>
            <w:tcBorders>
              <w:top w:val="nil" w:sz="6" w:space="0" w:color="auto"/>
              <w:left w:val="nil" w:sz="6" w:space="0" w:color="auto"/>
              <w:bottom w:val="single" w:sz="8" w:space="0" w:color="000000"/>
              <w:right w:val="nil" w:sz="6" w:space="0" w:color="auto"/>
            </w:tcBorders>
          </w:tcPr>
          <w:p>
            <w:pPr>
              <w:pStyle w:val="TableParagraph"/>
              <w:spacing w:line="237" w:lineRule="auto" w:before="99"/>
              <w:ind w:left="53" w:right="135"/>
              <w:jc w:val="both"/>
              <w:rPr>
                <w:rFonts w:ascii="宋体" w:hAnsi="宋体" w:cs="宋体" w:eastAsia="宋体" w:hint="default"/>
                <w:sz w:val="21"/>
                <w:szCs w:val="21"/>
              </w:rPr>
            </w:pPr>
            <w:r>
              <w:rPr>
                <w:rFonts w:ascii="宋体" w:hAnsi="宋体" w:cs="宋体" w:eastAsia="宋体" w:hint="default"/>
                <w:spacing w:val="2"/>
                <w:sz w:val="21"/>
                <w:szCs w:val="21"/>
              </w:rPr>
              <w:t>软件开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2"/>
                <w:sz w:val="21"/>
                <w:szCs w:val="21"/>
              </w:rPr>
              <w:t>发、销</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售</w:t>
            </w:r>
          </w:p>
        </w:tc>
        <w:tc>
          <w:tcPr>
            <w:tcW w:w="1460"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53"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126"/>
              <w:ind w:left="175" w:right="0"/>
              <w:jc w:val="left"/>
              <w:rPr>
                <w:rFonts w:ascii="Arial Narrow" w:hAnsi="Arial Narrow" w:cs="Arial Narrow" w:eastAsia="Arial Narrow" w:hint="default"/>
                <w:sz w:val="21"/>
                <w:szCs w:val="21"/>
              </w:rPr>
            </w:pPr>
            <w:r>
              <w:rPr>
                <w:rFonts w:ascii="Arial Narrow"/>
                <w:sz w:val="21"/>
              </w:rPr>
              <w:t>236,200,000.00</w:t>
            </w:r>
          </w:p>
        </w:tc>
        <w:tc>
          <w:tcPr>
            <w:tcW w:w="79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45"/>
              <w:jc w:val="right"/>
              <w:rPr>
                <w:rFonts w:ascii="Arial Narrow" w:hAnsi="Arial Narrow" w:cs="Arial Narrow" w:eastAsia="Arial Narrow" w:hint="default"/>
                <w:sz w:val="21"/>
                <w:szCs w:val="21"/>
              </w:rPr>
            </w:pPr>
            <w:r>
              <w:rPr>
                <w:rFonts w:ascii="Arial Narrow"/>
                <w:spacing w:val="-1"/>
                <w:sz w:val="21"/>
              </w:rPr>
              <w:t>36.60</w:t>
            </w:r>
            <w:r>
              <w:rPr>
                <w:rFonts w:ascii="Arial Narrow"/>
                <w:sz w:val="21"/>
              </w:rPr>
            </w:r>
          </w:p>
        </w:tc>
        <w:tc>
          <w:tcPr>
            <w:tcW w:w="780"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48"/>
              <w:jc w:val="right"/>
              <w:rPr>
                <w:rFonts w:ascii="Arial Narrow" w:hAnsi="Arial Narrow" w:cs="Arial Narrow" w:eastAsia="Arial Narrow" w:hint="default"/>
                <w:sz w:val="21"/>
                <w:szCs w:val="21"/>
              </w:rPr>
            </w:pPr>
            <w:r>
              <w:rPr>
                <w:rFonts w:ascii="Arial Narrow"/>
                <w:spacing w:val="-1"/>
                <w:sz w:val="21"/>
              </w:rPr>
              <w:t>51.69</w:t>
            </w:r>
            <w:r>
              <w:rPr>
                <w:rFonts w:ascii="Arial Narrow"/>
                <w:sz w:val="21"/>
              </w:rPr>
            </w:r>
          </w:p>
        </w:tc>
        <w:tc>
          <w:tcPr>
            <w:tcW w:w="114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07"/>
              <w:jc w:val="right"/>
              <w:rPr>
                <w:rFonts w:ascii="Arial Narrow" w:hAnsi="Arial Narrow" w:cs="Arial Narrow" w:eastAsia="Arial Narrow" w:hint="default"/>
                <w:sz w:val="21"/>
                <w:szCs w:val="21"/>
              </w:rPr>
            </w:pPr>
            <w:r>
              <w:rPr>
                <w:rFonts w:ascii="Arial Narrow"/>
                <w:w w:val="100"/>
                <w:sz w:val="21"/>
              </w:rPr>
              <w:t>-</w:t>
            </w:r>
          </w:p>
        </w:tc>
      </w:tr>
      <w:tr>
        <w:trPr>
          <w:trHeight w:val="1109" w:hRule="exact"/>
        </w:trPr>
        <w:tc>
          <w:tcPr>
            <w:tcW w:w="880" w:type="dxa"/>
            <w:tcBorders>
              <w:top w:val="single" w:sz="8" w:space="0" w:color="000000"/>
              <w:left w:val="nil" w:sz="6" w:space="0" w:color="auto"/>
              <w:bottom w:val="single" w:sz="8" w:space="0" w:color="000000"/>
              <w:right w:val="nil" w:sz="6" w:space="0" w:color="auto"/>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pacing w:val="21"/>
                <w:sz w:val="21"/>
                <w:szCs w:val="21"/>
              </w:rPr>
              <w:t>嘉兴兴</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37" w:lineRule="auto"/>
              <w:ind w:left="108" w:right="35"/>
              <w:jc w:val="both"/>
              <w:rPr>
                <w:rFonts w:ascii="宋体" w:hAnsi="宋体" w:cs="宋体" w:eastAsia="宋体" w:hint="default"/>
                <w:sz w:val="21"/>
                <w:szCs w:val="21"/>
              </w:rPr>
            </w:pPr>
            <w:r>
              <w:rPr>
                <w:rFonts w:ascii="宋体" w:hAnsi="宋体" w:cs="宋体" w:eastAsia="宋体" w:hint="default"/>
                <w:spacing w:val="21"/>
                <w:sz w:val="21"/>
                <w:szCs w:val="21"/>
              </w:rPr>
              <w:t>球信息</w:t>
            </w:r>
            <w:r>
              <w:rPr>
                <w:rFonts w:ascii="宋体" w:hAnsi="宋体" w:cs="宋体" w:eastAsia="宋体" w:hint="default"/>
                <w:spacing w:val="-99"/>
                <w:sz w:val="21"/>
                <w:szCs w:val="21"/>
              </w:rPr>
              <w:t> </w:t>
            </w:r>
            <w:r>
              <w:rPr>
                <w:rFonts w:ascii="宋体" w:hAnsi="宋体" w:cs="宋体" w:eastAsia="宋体" w:hint="default"/>
                <w:spacing w:val="21"/>
                <w:sz w:val="21"/>
                <w:szCs w:val="21"/>
              </w:rPr>
              <w:t>技术有</w:t>
            </w:r>
            <w:r>
              <w:rPr>
                <w:rFonts w:ascii="宋体" w:hAnsi="宋体" w:cs="宋体" w:eastAsia="宋体" w:hint="default"/>
                <w:spacing w:val="-99"/>
                <w:sz w:val="21"/>
                <w:szCs w:val="21"/>
              </w:rPr>
              <w:t> </w:t>
            </w:r>
            <w:r>
              <w:rPr>
                <w:rFonts w:ascii="宋体" w:hAnsi="宋体" w:cs="宋体" w:eastAsia="宋体" w:hint="default"/>
                <w:sz w:val="21"/>
                <w:szCs w:val="21"/>
              </w:rPr>
              <w:t>限公司</w:t>
            </w:r>
          </w:p>
        </w:tc>
        <w:tc>
          <w:tcPr>
            <w:tcW w:w="635" w:type="dxa"/>
            <w:tcBorders>
              <w:top w:val="single" w:sz="8" w:space="0" w:color="000000"/>
              <w:left w:val="nil" w:sz="6" w:space="0" w:color="auto"/>
              <w:bottom w:val="single" w:sz="8" w:space="0" w:color="000000"/>
              <w:right w:val="nil" w:sz="6" w:space="0" w:color="auto"/>
            </w:tcBorders>
          </w:tcPr>
          <w:p>
            <w:pPr>
              <w:pStyle w:val="TableParagraph"/>
              <w:spacing w:line="273" w:lineRule="exact" w:before="102"/>
              <w:ind w:left="37" w:right="0"/>
              <w:jc w:val="left"/>
              <w:rPr>
                <w:rFonts w:ascii="宋体" w:hAnsi="宋体" w:cs="宋体" w:eastAsia="宋体" w:hint="default"/>
                <w:sz w:val="21"/>
                <w:szCs w:val="21"/>
              </w:rPr>
            </w:pPr>
            <w:r>
              <w:rPr>
                <w:rFonts w:ascii="宋体" w:hAnsi="宋体" w:cs="宋体" w:eastAsia="宋体" w:hint="default"/>
                <w:sz w:val="21"/>
                <w:szCs w:val="21"/>
              </w:rPr>
              <w:t>全</w:t>
            </w:r>
            <w:r>
              <w:rPr>
                <w:rFonts w:ascii="宋体" w:hAnsi="宋体" w:cs="宋体" w:eastAsia="宋体" w:hint="default"/>
                <w:spacing w:val="41"/>
                <w:sz w:val="21"/>
                <w:szCs w:val="21"/>
              </w:rPr>
              <w:t> </w:t>
            </w:r>
            <w:r>
              <w:rPr>
                <w:rFonts w:ascii="宋体" w:hAnsi="宋体" w:cs="宋体" w:eastAsia="宋体" w:hint="default"/>
                <w:sz w:val="21"/>
                <w:szCs w:val="21"/>
              </w:rPr>
              <w:t>资</w:t>
            </w:r>
          </w:p>
          <w:p>
            <w:pPr>
              <w:pStyle w:val="TableParagraph"/>
              <w:spacing w:line="240" w:lineRule="auto"/>
              <w:ind w:left="37" w:right="29"/>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41"/>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436" w:type="dxa"/>
            <w:tcBorders>
              <w:top w:val="single" w:sz="8" w:space="0" w:color="000000"/>
              <w:left w:val="nil" w:sz="6" w:space="0" w:color="auto"/>
              <w:bottom w:val="single" w:sz="8" w:space="0" w:color="000000"/>
              <w:right w:val="nil" w:sz="6" w:space="0" w:color="auto"/>
            </w:tcBorders>
          </w:tcPr>
          <w:p>
            <w:pPr>
              <w:pStyle w:val="TableParagraph"/>
              <w:spacing w:line="239" w:lineRule="exact"/>
              <w:ind w:left="71"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37" w:lineRule="auto"/>
              <w:ind w:left="71" w:right="150"/>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653" w:type="dxa"/>
            <w:tcBorders>
              <w:top w:val="single" w:sz="8" w:space="0" w:color="000000"/>
              <w:left w:val="nil" w:sz="6" w:space="0" w:color="auto"/>
              <w:bottom w:val="single" w:sz="8" w:space="0" w:color="000000"/>
              <w:right w:val="nil" w:sz="6" w:space="0" w:color="auto"/>
            </w:tcBorders>
          </w:tcPr>
          <w:p>
            <w:pPr>
              <w:pStyle w:val="TableParagraph"/>
              <w:spacing w:line="273" w:lineRule="exact" w:before="102"/>
              <w:ind w:left="195" w:right="0"/>
              <w:jc w:val="left"/>
              <w:rPr>
                <w:rFonts w:ascii="宋体" w:hAnsi="宋体" w:cs="宋体" w:eastAsia="宋体" w:hint="default"/>
                <w:sz w:val="21"/>
                <w:szCs w:val="21"/>
              </w:rPr>
            </w:pPr>
            <w:r>
              <w:rPr>
                <w:rFonts w:ascii="宋体" w:hAnsi="宋体" w:cs="宋体" w:eastAsia="宋体" w:hint="default"/>
                <w:sz w:val="21"/>
                <w:szCs w:val="21"/>
              </w:rPr>
              <w:t>嘉</w:t>
            </w:r>
            <w:r>
              <w:rPr>
                <w:rFonts w:ascii="宋体" w:hAnsi="宋体" w:cs="宋体" w:eastAsia="宋体" w:hint="default"/>
                <w:spacing w:val="-76"/>
                <w:sz w:val="21"/>
                <w:szCs w:val="21"/>
              </w:rPr>
              <w:t> </w:t>
            </w:r>
            <w:r>
              <w:rPr>
                <w:rFonts w:ascii="宋体" w:hAnsi="宋体" w:cs="宋体" w:eastAsia="宋体" w:hint="default"/>
                <w:sz w:val="21"/>
                <w:szCs w:val="21"/>
              </w:rPr>
              <w:t>兴</w:t>
            </w:r>
            <w:r>
              <w:rPr>
                <w:rFonts w:ascii="宋体" w:hAnsi="宋体" w:cs="宋体" w:eastAsia="宋体" w:hint="default"/>
                <w:spacing w:val="-78"/>
                <w:sz w:val="21"/>
                <w:szCs w:val="21"/>
              </w:rPr>
              <w:t> </w:t>
            </w:r>
            <w:r>
              <w:rPr>
                <w:rFonts w:ascii="宋体" w:hAnsi="宋体" w:cs="宋体" w:eastAsia="宋体" w:hint="default"/>
                <w:sz w:val="21"/>
                <w:szCs w:val="21"/>
              </w:rPr>
              <w:t>市</w:t>
            </w:r>
            <w:r>
              <w:rPr>
                <w:rFonts w:ascii="宋体" w:hAnsi="宋体" w:cs="宋体" w:eastAsia="宋体" w:hint="default"/>
                <w:spacing w:val="-78"/>
                <w:sz w:val="21"/>
                <w:szCs w:val="21"/>
              </w:rPr>
              <w:t> </w:t>
            </w:r>
            <w:r>
              <w:rPr>
                <w:rFonts w:ascii="宋体" w:hAnsi="宋体" w:cs="宋体" w:eastAsia="宋体" w:hint="default"/>
                <w:sz w:val="21"/>
                <w:szCs w:val="21"/>
              </w:rPr>
              <w:t>城</w:t>
            </w:r>
            <w:r>
              <w:rPr>
                <w:rFonts w:ascii="宋体" w:hAnsi="宋体" w:cs="宋体" w:eastAsia="宋体" w:hint="default"/>
                <w:spacing w:val="-76"/>
                <w:sz w:val="21"/>
                <w:szCs w:val="21"/>
              </w:rPr>
              <w:t> </w:t>
            </w:r>
            <w:r>
              <w:rPr>
                <w:rFonts w:ascii="宋体" w:hAnsi="宋体" w:cs="宋体" w:eastAsia="宋体" w:hint="default"/>
                <w:sz w:val="21"/>
                <w:szCs w:val="21"/>
              </w:rPr>
              <w:t>南</w:t>
            </w:r>
            <w:r>
              <w:rPr>
                <w:rFonts w:ascii="宋体" w:hAnsi="宋体" w:cs="宋体" w:eastAsia="宋体" w:hint="default"/>
                <w:spacing w:val="-78"/>
                <w:sz w:val="21"/>
                <w:szCs w:val="21"/>
              </w:rPr>
              <w:t> </w:t>
            </w:r>
            <w:r>
              <w:rPr>
                <w:rFonts w:ascii="宋体" w:hAnsi="宋体" w:cs="宋体" w:eastAsia="宋体" w:hint="default"/>
                <w:sz w:val="21"/>
                <w:szCs w:val="21"/>
              </w:rPr>
              <w:t>路</w:t>
            </w:r>
          </w:p>
          <w:p>
            <w:pPr>
              <w:pStyle w:val="TableParagraph"/>
              <w:spacing w:line="280" w:lineRule="exact"/>
              <w:ind w:left="195" w:right="0"/>
              <w:jc w:val="left"/>
              <w:rPr>
                <w:rFonts w:ascii="宋体" w:hAnsi="宋体" w:cs="宋体" w:eastAsia="宋体" w:hint="default"/>
                <w:sz w:val="21"/>
                <w:szCs w:val="21"/>
              </w:rPr>
            </w:pPr>
            <w:r>
              <w:rPr>
                <w:rFonts w:ascii="Arial Narrow" w:hAnsi="Arial Narrow" w:cs="Arial Narrow" w:eastAsia="Arial Narrow" w:hint="default"/>
                <w:sz w:val="21"/>
                <w:szCs w:val="21"/>
              </w:rPr>
              <w:t>1369 </w:t>
            </w:r>
            <w:r>
              <w:rPr>
                <w:rFonts w:ascii="宋体" w:hAnsi="宋体" w:cs="宋体" w:eastAsia="宋体" w:hint="default"/>
                <w:sz w:val="21"/>
                <w:szCs w:val="21"/>
              </w:rPr>
              <w:t>号内 </w:t>
            </w:r>
            <w:r>
              <w:rPr>
                <w:rFonts w:ascii="Arial Narrow" w:hAnsi="Arial Narrow" w:cs="Arial Narrow" w:eastAsia="Arial Narrow" w:hint="default"/>
                <w:spacing w:val="-7"/>
                <w:sz w:val="21"/>
                <w:szCs w:val="21"/>
              </w:rPr>
              <w:t>11</w:t>
            </w:r>
            <w:r>
              <w:rPr>
                <w:rFonts w:ascii="Arial Narrow" w:hAnsi="Arial Narrow" w:cs="Arial Narrow" w:eastAsia="Arial Narrow" w:hint="default"/>
                <w:spacing w:val="8"/>
                <w:sz w:val="21"/>
                <w:szCs w:val="21"/>
              </w:rPr>
              <w:t> </w:t>
            </w:r>
            <w:r>
              <w:rPr>
                <w:rFonts w:ascii="宋体" w:hAnsi="宋体" w:cs="宋体" w:eastAsia="宋体" w:hint="default"/>
                <w:sz w:val="21"/>
                <w:szCs w:val="21"/>
              </w:rPr>
              <w:t>号</w:t>
            </w:r>
          </w:p>
          <w:p>
            <w:pPr>
              <w:pStyle w:val="TableParagraph"/>
              <w:spacing w:line="282" w:lineRule="exact"/>
              <w:ind w:left="195" w:right="0"/>
              <w:jc w:val="left"/>
              <w:rPr>
                <w:rFonts w:ascii="宋体" w:hAnsi="宋体" w:cs="宋体" w:eastAsia="宋体" w:hint="default"/>
                <w:sz w:val="21"/>
                <w:szCs w:val="21"/>
              </w:rPr>
            </w:pP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Arial Narrow" w:hAnsi="Arial Narrow" w:cs="Arial Narrow" w:eastAsia="Arial Narrow" w:hint="default"/>
                <w:sz w:val="21"/>
                <w:szCs w:val="21"/>
              </w:rPr>
              <w:t>403</w:t>
            </w:r>
            <w:r>
              <w:rPr>
                <w:rFonts w:ascii="Arial Narrow" w:hAnsi="Arial Narrow" w:cs="Arial Narrow" w:eastAsia="Arial Narrow" w:hint="default"/>
                <w:spacing w:val="4"/>
                <w:sz w:val="21"/>
                <w:szCs w:val="21"/>
              </w:rPr>
              <w:t> </w:t>
            </w:r>
            <w:r>
              <w:rPr>
                <w:rFonts w:ascii="宋体" w:hAnsi="宋体" w:cs="宋体" w:eastAsia="宋体" w:hint="default"/>
                <w:sz w:val="21"/>
                <w:szCs w:val="21"/>
              </w:rPr>
              <w:t>室</w:t>
            </w:r>
          </w:p>
        </w:tc>
        <w:tc>
          <w:tcPr>
            <w:tcW w:w="668" w:type="dxa"/>
            <w:tcBorders>
              <w:top w:val="single" w:sz="8" w:space="0" w:color="000000"/>
              <w:left w:val="nil" w:sz="6" w:space="0" w:color="auto"/>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8"/>
              <w:jc w:val="left"/>
              <w:rPr>
                <w:rFonts w:ascii="宋体" w:hAnsi="宋体" w:cs="宋体" w:eastAsia="宋体" w:hint="default"/>
                <w:sz w:val="21"/>
                <w:szCs w:val="21"/>
              </w:rPr>
            </w:pPr>
            <w:r>
              <w:rPr>
                <w:rFonts w:ascii="宋体" w:hAnsi="宋体" w:cs="宋体" w:eastAsia="宋体" w:hint="default"/>
                <w:spacing w:val="45"/>
                <w:w w:val="100"/>
                <w:sz w:val="21"/>
                <w:szCs w:val="21"/>
              </w:rPr>
              <w:t>林秋</w:t>
            </w:r>
            <w:r>
              <w:rPr>
                <w:rFonts w:ascii="宋体" w:hAnsi="宋体" w:cs="宋体" w:eastAsia="宋体" w:hint="default"/>
                <w:spacing w:val="-14"/>
                <w:sz w:val="21"/>
                <w:szCs w:val="21"/>
              </w:rPr>
              <w:t> </w:t>
            </w:r>
            <w:r>
              <w:rPr>
                <w:rFonts w:ascii="宋体" w:hAnsi="宋体" w:cs="宋体" w:eastAsia="宋体" w:hint="default"/>
                <w:sz w:val="21"/>
                <w:szCs w:val="21"/>
              </w:rPr>
              <w:t>博</w:t>
            </w:r>
          </w:p>
        </w:tc>
        <w:tc>
          <w:tcPr>
            <w:tcW w:w="836" w:type="dxa"/>
            <w:tcBorders>
              <w:top w:val="single" w:sz="8" w:space="0" w:color="000000"/>
              <w:left w:val="nil" w:sz="6" w:space="0" w:color="auto"/>
              <w:bottom w:val="single" w:sz="8" w:space="0" w:color="000000"/>
              <w:right w:val="nil" w:sz="6" w:space="0" w:color="auto"/>
            </w:tcBorders>
          </w:tcPr>
          <w:p>
            <w:pPr>
              <w:pStyle w:val="TableParagraph"/>
              <w:spacing w:line="272" w:lineRule="exact" w:before="130"/>
              <w:ind w:left="65" w:right="134"/>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发、销</w:t>
            </w:r>
          </w:p>
          <w:p>
            <w:pPr>
              <w:pStyle w:val="TableParagraph"/>
              <w:spacing w:line="249" w:lineRule="exact"/>
              <w:ind w:left="486"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460"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50" w:right="0"/>
              <w:jc w:val="left"/>
              <w:rPr>
                <w:rFonts w:ascii="宋体" w:hAnsi="宋体" w:cs="宋体" w:eastAsia="宋体" w:hint="default"/>
                <w:sz w:val="21"/>
                <w:szCs w:val="21"/>
              </w:rPr>
            </w:pPr>
            <w:r>
              <w:rPr>
                <w:rFonts w:ascii="宋体" w:hAnsi="宋体" w:cs="宋体" w:eastAsia="宋体" w:hint="default"/>
                <w:sz w:val="21"/>
                <w:szCs w:val="21"/>
              </w:rPr>
              <w:t>美元</w:t>
            </w:r>
          </w:p>
          <w:p>
            <w:pPr>
              <w:pStyle w:val="TableParagraph"/>
              <w:spacing w:line="240" w:lineRule="auto" w:before="25"/>
              <w:ind w:left="509" w:right="0"/>
              <w:jc w:val="left"/>
              <w:rPr>
                <w:rFonts w:ascii="Arial Narrow" w:hAnsi="Arial Narrow" w:cs="Arial Narrow" w:eastAsia="Arial Narrow" w:hint="default"/>
                <w:sz w:val="21"/>
                <w:szCs w:val="21"/>
              </w:rPr>
            </w:pPr>
            <w:r>
              <w:rPr>
                <w:rFonts w:ascii="Arial Narrow"/>
                <w:sz w:val="21"/>
              </w:rPr>
              <w:t>100,000.00</w:t>
            </w:r>
          </w:p>
        </w:tc>
        <w:tc>
          <w:tcPr>
            <w:tcW w:w="792"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3"/>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780"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46"/>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44" w:type="dxa"/>
            <w:tcBorders>
              <w:top w:val="single" w:sz="8"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6"/>
              <w:jc w:val="right"/>
              <w:rPr>
                <w:rFonts w:ascii="Arial Narrow" w:hAnsi="Arial Narrow" w:cs="Arial Narrow" w:eastAsia="Arial Narrow" w:hint="default"/>
                <w:sz w:val="21"/>
                <w:szCs w:val="21"/>
              </w:rPr>
            </w:pPr>
            <w:r>
              <w:rPr>
                <w:rFonts w:ascii="Arial Narrow"/>
                <w:spacing w:val="-1"/>
                <w:sz w:val="21"/>
              </w:rPr>
              <w:t>68998639-0</w:t>
            </w:r>
          </w:p>
        </w:tc>
      </w:tr>
    </w:tbl>
    <w:p>
      <w:pPr>
        <w:pStyle w:val="BodyText"/>
        <w:spacing w:line="240" w:lineRule="auto" w:before="79"/>
        <w:ind w:left="102" w:right="4177"/>
        <w:jc w:val="left"/>
      </w:pPr>
      <w:r>
        <w:rPr>
          <w:rFonts w:ascii="Arial Narrow" w:hAnsi="Arial Narrow" w:cs="Arial Narrow" w:eastAsia="Arial Narrow" w:hint="default"/>
        </w:rPr>
        <w:t>3</w:t>
      </w:r>
      <w:r>
        <w:rPr/>
        <w:t>、本公司的合营企业和联营企业情况</w:t>
      </w:r>
    </w:p>
    <w:p>
      <w:pPr>
        <w:spacing w:after="0" w:line="240" w:lineRule="auto"/>
        <w:jc w:val="left"/>
        <w:sectPr>
          <w:footerReference w:type="default" r:id="rId68"/>
          <w:pgSz w:w="11900" w:h="16850"/>
          <w:pgMar w:footer="919" w:header="0" w:top="1640" w:bottom="1100" w:left="1180" w:right="920"/>
          <w:pgNumType w:start="161"/>
        </w:sectPr>
      </w:pPr>
    </w:p>
    <w:p>
      <w:pPr>
        <w:spacing w:line="240" w:lineRule="auto" w:before="8"/>
        <w:rPr>
          <w:rFonts w:ascii="宋体" w:hAnsi="宋体" w:cs="宋体" w:eastAsia="宋体" w:hint="default"/>
          <w:sz w:val="5"/>
          <w:szCs w:val="5"/>
        </w:rPr>
      </w:pPr>
      <w:r>
        <w:rPr/>
        <w:pict>
          <v:group style="position:absolute;margin-left:62.664001pt;margin-top:85.93998pt;width:477.25pt;height:.1pt;mso-position-horizontal-relative:page;mso-position-vertical-relative:page;z-index:-764440" coordorigin="1253,1719" coordsize="9545,2">
            <v:shape style="position:absolute;left:1253;top:1719;width:9545;height:2" coordorigin="1253,1719" coordsize="9545,0" path="m1253,1719l10798,1719e" filled="false" stroked="true" strokeweight=".72pt" strokecolor="#000000">
              <v:path arrowok="t"/>
            </v:shape>
            <w10:wrap type="none"/>
          </v:group>
        </w:pict>
      </w:r>
    </w:p>
    <w:tbl>
      <w:tblPr>
        <w:tblW w:w="0" w:type="auto"/>
        <w:jc w:val="left"/>
        <w:tblInd w:w="147" w:type="dxa"/>
        <w:tblLayout w:type="fixed"/>
        <w:tblCellMar>
          <w:top w:w="0" w:type="dxa"/>
          <w:left w:w="0" w:type="dxa"/>
          <w:bottom w:w="0" w:type="dxa"/>
          <w:right w:w="0" w:type="dxa"/>
        </w:tblCellMar>
        <w:tblLook w:val="01E0"/>
      </w:tblPr>
      <w:tblGrid>
        <w:gridCol w:w="400"/>
        <w:gridCol w:w="1060"/>
        <w:gridCol w:w="445"/>
        <w:gridCol w:w="1657"/>
        <w:gridCol w:w="447"/>
        <w:gridCol w:w="912"/>
        <w:gridCol w:w="887"/>
        <w:gridCol w:w="912"/>
        <w:gridCol w:w="1184"/>
        <w:gridCol w:w="473"/>
        <w:gridCol w:w="1212"/>
      </w:tblGrid>
      <w:tr>
        <w:trPr>
          <w:trHeight w:val="106" w:hRule="exact"/>
        </w:trPr>
        <w:tc>
          <w:tcPr>
            <w:tcW w:w="40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single" w:sz="8" w:space="0" w:color="000000"/>
              <w:right w:val="nil" w:sz="6" w:space="0" w:color="auto"/>
            </w:tcBorders>
          </w:tcPr>
          <w:p>
            <w:pPr/>
          </w:p>
        </w:tc>
        <w:tc>
          <w:tcPr>
            <w:tcW w:w="445" w:type="dxa"/>
            <w:tcBorders>
              <w:top w:val="nil" w:sz="6" w:space="0" w:color="auto"/>
              <w:left w:val="nil" w:sz="6" w:space="0" w:color="auto"/>
              <w:bottom w:val="single" w:sz="8" w:space="0" w:color="000000"/>
              <w:right w:val="nil" w:sz="6" w:space="0" w:color="auto"/>
            </w:tcBorders>
          </w:tcPr>
          <w:p>
            <w:pPr/>
          </w:p>
        </w:tc>
        <w:tc>
          <w:tcPr>
            <w:tcW w:w="1657" w:type="dxa"/>
            <w:tcBorders>
              <w:top w:val="nil" w:sz="6" w:space="0" w:color="auto"/>
              <w:left w:val="nil" w:sz="6" w:space="0" w:color="auto"/>
              <w:bottom w:val="single" w:sz="8" w:space="0" w:color="000000"/>
              <w:right w:val="nil" w:sz="6" w:space="0" w:color="auto"/>
            </w:tcBorders>
          </w:tcPr>
          <w:p>
            <w:pPr/>
          </w:p>
        </w:tc>
        <w:tc>
          <w:tcPr>
            <w:tcW w:w="447" w:type="dxa"/>
            <w:tcBorders>
              <w:top w:val="nil" w:sz="6" w:space="0" w:color="auto"/>
              <w:left w:val="nil" w:sz="6" w:space="0" w:color="auto"/>
              <w:bottom w:val="single" w:sz="8" w:space="0" w:color="000000"/>
              <w:right w:val="nil" w:sz="6" w:space="0" w:color="auto"/>
            </w:tcBorders>
          </w:tcPr>
          <w:p>
            <w:pPr/>
          </w:p>
        </w:tc>
        <w:tc>
          <w:tcPr>
            <w:tcW w:w="912" w:type="dxa"/>
            <w:tcBorders>
              <w:top w:val="nil" w:sz="6" w:space="0" w:color="auto"/>
              <w:left w:val="nil" w:sz="6" w:space="0" w:color="auto"/>
              <w:bottom w:val="single" w:sz="8" w:space="0" w:color="000000"/>
              <w:right w:val="nil" w:sz="6" w:space="0" w:color="auto"/>
            </w:tcBorders>
          </w:tcPr>
          <w:p>
            <w:pPr/>
          </w:p>
        </w:tc>
        <w:tc>
          <w:tcPr>
            <w:tcW w:w="887" w:type="dxa"/>
            <w:tcBorders>
              <w:top w:val="nil" w:sz="6" w:space="0" w:color="auto"/>
              <w:left w:val="nil" w:sz="6" w:space="0" w:color="auto"/>
              <w:bottom w:val="single" w:sz="8" w:space="0" w:color="000000"/>
              <w:right w:val="nil" w:sz="6" w:space="0" w:color="auto"/>
            </w:tcBorders>
          </w:tcPr>
          <w:p>
            <w:pPr/>
          </w:p>
        </w:tc>
        <w:tc>
          <w:tcPr>
            <w:tcW w:w="912" w:type="dxa"/>
            <w:tcBorders>
              <w:top w:val="nil" w:sz="6" w:space="0" w:color="auto"/>
              <w:left w:val="nil" w:sz="6" w:space="0" w:color="auto"/>
              <w:bottom w:val="single" w:sz="8" w:space="0" w:color="000000"/>
              <w:right w:val="nil" w:sz="6" w:space="0" w:color="auto"/>
            </w:tcBorders>
          </w:tcPr>
          <w:p>
            <w:pPr/>
          </w:p>
        </w:tc>
        <w:tc>
          <w:tcPr>
            <w:tcW w:w="1184" w:type="dxa"/>
            <w:tcBorders>
              <w:top w:val="nil" w:sz="6" w:space="0" w:color="auto"/>
              <w:left w:val="nil" w:sz="6" w:space="0" w:color="auto"/>
              <w:bottom w:val="single" w:sz="8" w:space="0" w:color="000000"/>
              <w:right w:val="nil" w:sz="6" w:space="0" w:color="auto"/>
            </w:tcBorders>
          </w:tcPr>
          <w:p>
            <w:pPr/>
          </w:p>
        </w:tc>
        <w:tc>
          <w:tcPr>
            <w:tcW w:w="473" w:type="dxa"/>
            <w:tcBorders>
              <w:top w:val="nil" w:sz="6" w:space="0" w:color="auto"/>
              <w:left w:val="nil" w:sz="6" w:space="0" w:color="auto"/>
              <w:bottom w:val="single" w:sz="8" w:space="0" w:color="000000"/>
              <w:right w:val="nil" w:sz="6" w:space="0" w:color="auto"/>
            </w:tcBorders>
          </w:tcPr>
          <w:p>
            <w:pPr/>
          </w:p>
        </w:tc>
        <w:tc>
          <w:tcPr>
            <w:tcW w:w="1212" w:type="dxa"/>
            <w:tcBorders>
              <w:top w:val="nil" w:sz="6" w:space="0" w:color="auto"/>
              <w:left w:val="nil" w:sz="6" w:space="0" w:color="auto"/>
              <w:bottom w:val="single" w:sz="8" w:space="0" w:color="000000"/>
              <w:right w:val="nil" w:sz="6" w:space="0" w:color="auto"/>
            </w:tcBorders>
          </w:tcPr>
          <w:p>
            <w:pPr/>
          </w:p>
        </w:tc>
      </w:tr>
      <w:tr>
        <w:trPr>
          <w:trHeight w:val="1114" w:hRule="exact"/>
        </w:trPr>
        <w:tc>
          <w:tcPr>
            <w:tcW w:w="400" w:type="dxa"/>
            <w:tcBorders>
              <w:top w:val="nil" w:sz="6" w:space="0" w:color="auto"/>
              <w:left w:val="nil" w:sz="6" w:space="0" w:color="auto"/>
              <w:bottom w:val="nil" w:sz="6" w:space="0" w:color="auto"/>
              <w:right w:val="nil" w:sz="6" w:space="0" w:color="auto"/>
            </w:tcBorders>
          </w:tcPr>
          <w:p>
            <w:pPr/>
          </w:p>
        </w:tc>
        <w:tc>
          <w:tcPr>
            <w:tcW w:w="1060" w:type="dxa"/>
            <w:tcBorders>
              <w:top w:val="single" w:sz="8" w:space="0" w:color="000000"/>
              <w:left w:val="nil" w:sz="6" w:space="0" w:color="auto"/>
              <w:bottom w:val="single" w:sz="4" w:space="0" w:color="000000"/>
              <w:right w:val="nil" w:sz="6" w:space="0" w:color="auto"/>
            </w:tcBorders>
          </w:tcPr>
          <w:p>
            <w:pPr>
              <w:pStyle w:val="TableParagraph"/>
              <w:spacing w:line="237" w:lineRule="auto" w:before="110"/>
              <w:ind w:left="122" w:right="42"/>
              <w:jc w:val="both"/>
              <w:rPr>
                <w:rFonts w:ascii="宋体" w:hAnsi="宋体" w:cs="宋体" w:eastAsia="宋体" w:hint="default"/>
                <w:sz w:val="21"/>
                <w:szCs w:val="21"/>
              </w:rPr>
            </w:pPr>
            <w:r>
              <w:rPr>
                <w:rFonts w:ascii="宋体" w:hAnsi="宋体" w:cs="宋体" w:eastAsia="宋体" w:hint="default"/>
                <w:b/>
                <w:bCs/>
                <w:spacing w:val="57"/>
                <w:w w:val="100"/>
                <w:sz w:val="21"/>
                <w:szCs w:val="21"/>
              </w:rPr>
              <w:t>被投资</w:t>
            </w:r>
            <w:r>
              <w:rPr>
                <w:rFonts w:ascii="宋体" w:hAnsi="宋体" w:cs="宋体" w:eastAsia="宋体" w:hint="default"/>
                <w:b/>
                <w:bCs/>
                <w:spacing w:val="-20"/>
                <w:sz w:val="21"/>
                <w:szCs w:val="21"/>
              </w:rPr>
              <w:t> </w:t>
            </w:r>
            <w:r>
              <w:rPr>
                <w:rFonts w:ascii="宋体" w:hAnsi="宋体" w:cs="宋体" w:eastAsia="宋体" w:hint="default"/>
                <w:b/>
                <w:bCs/>
                <w:spacing w:val="57"/>
                <w:w w:val="100"/>
                <w:sz w:val="21"/>
                <w:szCs w:val="21"/>
              </w:rPr>
              <w:t>单位名</w:t>
            </w:r>
            <w:r>
              <w:rPr>
                <w:rFonts w:ascii="宋体" w:hAnsi="宋体" w:cs="宋体" w:eastAsia="宋体" w:hint="default"/>
                <w:b/>
                <w:bCs/>
                <w:spacing w:val="-20"/>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445" w:type="dxa"/>
            <w:tcBorders>
              <w:top w:val="single" w:sz="8" w:space="0" w:color="000000"/>
              <w:left w:val="nil" w:sz="6" w:space="0" w:color="auto"/>
              <w:bottom w:val="single" w:sz="4" w:space="0" w:color="000000"/>
              <w:right w:val="nil" w:sz="6" w:space="0" w:color="auto"/>
            </w:tcBorders>
          </w:tcPr>
          <w:p>
            <w:pPr>
              <w:pStyle w:val="TableParagraph"/>
              <w:spacing w:line="245" w:lineRule="exact"/>
              <w:ind w:left="46" w:right="0" w:hanging="3"/>
              <w:jc w:val="both"/>
              <w:rPr>
                <w:rFonts w:ascii="宋体" w:hAnsi="宋体" w:cs="宋体" w:eastAsia="宋体" w:hint="default"/>
                <w:sz w:val="21"/>
                <w:szCs w:val="21"/>
              </w:rPr>
            </w:pPr>
            <w:r>
              <w:rPr>
                <w:rFonts w:ascii="宋体" w:hAnsi="宋体" w:cs="宋体" w:eastAsia="宋体" w:hint="default"/>
                <w:b/>
                <w:bCs/>
                <w:w w:val="100"/>
                <w:sz w:val="21"/>
                <w:szCs w:val="21"/>
              </w:rPr>
              <w:t>企</w:t>
            </w:r>
            <w:r>
              <w:rPr>
                <w:rFonts w:ascii="宋体" w:hAnsi="宋体" w:cs="宋体" w:eastAsia="宋体" w:hint="default"/>
                <w:w w:val="100"/>
                <w:sz w:val="21"/>
                <w:szCs w:val="21"/>
              </w:rPr>
            </w:r>
          </w:p>
          <w:p>
            <w:pPr>
              <w:pStyle w:val="TableParagraph"/>
              <w:spacing w:line="237" w:lineRule="auto" w:before="2"/>
              <w:ind w:left="44" w:right="185" w:firstLine="2"/>
              <w:jc w:val="both"/>
              <w:rPr>
                <w:rFonts w:ascii="宋体" w:hAnsi="宋体" w:cs="宋体" w:eastAsia="宋体" w:hint="default"/>
                <w:sz w:val="21"/>
                <w:szCs w:val="21"/>
              </w:rPr>
            </w:pPr>
            <w:r>
              <w:rPr>
                <w:rFonts w:ascii="宋体" w:hAnsi="宋体" w:cs="宋体" w:eastAsia="宋体" w:hint="default"/>
                <w:b/>
                <w:bCs/>
                <w:sz w:val="21"/>
                <w:szCs w:val="21"/>
              </w:rPr>
              <w:t>业</w:t>
            </w:r>
            <w:r>
              <w:rPr>
                <w:rFonts w:ascii="宋体" w:hAnsi="宋体" w:cs="宋体" w:eastAsia="宋体" w:hint="default"/>
                <w:b/>
                <w:bCs/>
                <w:w w:val="100"/>
                <w:sz w:val="21"/>
                <w:szCs w:val="21"/>
              </w:rPr>
              <w:t> </w:t>
            </w:r>
            <w:r>
              <w:rPr>
                <w:rFonts w:ascii="宋体" w:hAnsi="宋体" w:cs="宋体" w:eastAsia="宋体" w:hint="default"/>
                <w:b/>
                <w:bCs/>
                <w:sz w:val="21"/>
                <w:szCs w:val="21"/>
              </w:rPr>
              <w:t>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1657" w:type="dxa"/>
            <w:tcBorders>
              <w:top w:val="single" w:sz="8"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447" w:type="dxa"/>
            <w:tcBorders>
              <w:top w:val="single" w:sz="8" w:space="0" w:color="000000"/>
              <w:left w:val="nil" w:sz="6" w:space="0" w:color="auto"/>
              <w:bottom w:val="single" w:sz="4" w:space="0" w:color="000000"/>
              <w:right w:val="nil" w:sz="6" w:space="0" w:color="auto"/>
            </w:tcBorders>
          </w:tcPr>
          <w:p>
            <w:pPr>
              <w:pStyle w:val="TableParagraph"/>
              <w:spacing w:line="245" w:lineRule="exact"/>
              <w:ind w:left="107" w:right="0"/>
              <w:jc w:val="both"/>
              <w:rPr>
                <w:rFonts w:ascii="宋体" w:hAnsi="宋体" w:cs="宋体" w:eastAsia="宋体" w:hint="default"/>
                <w:sz w:val="21"/>
                <w:szCs w:val="21"/>
              </w:rPr>
            </w:pPr>
            <w:r>
              <w:rPr>
                <w:rFonts w:ascii="宋体" w:hAnsi="宋体" w:cs="宋体" w:eastAsia="宋体" w:hint="default"/>
                <w:b/>
                <w:bCs/>
                <w:w w:val="100"/>
                <w:sz w:val="21"/>
                <w:szCs w:val="21"/>
              </w:rPr>
              <w:t>法</w:t>
            </w:r>
            <w:r>
              <w:rPr>
                <w:rFonts w:ascii="宋体" w:hAnsi="宋体" w:cs="宋体" w:eastAsia="宋体" w:hint="default"/>
                <w:w w:val="100"/>
                <w:sz w:val="21"/>
                <w:szCs w:val="21"/>
              </w:rPr>
            </w:r>
          </w:p>
          <w:p>
            <w:pPr>
              <w:pStyle w:val="TableParagraph"/>
              <w:spacing w:line="237" w:lineRule="auto" w:before="2"/>
              <w:ind w:left="107" w:right="126"/>
              <w:jc w:val="both"/>
              <w:rPr>
                <w:rFonts w:ascii="宋体" w:hAnsi="宋体" w:cs="宋体" w:eastAsia="宋体" w:hint="default"/>
                <w:sz w:val="21"/>
                <w:szCs w:val="21"/>
              </w:rPr>
            </w:pPr>
            <w:r>
              <w:rPr>
                <w:rFonts w:ascii="宋体" w:hAnsi="宋体" w:cs="宋体" w:eastAsia="宋体" w:hint="default"/>
                <w:b/>
                <w:bCs/>
                <w:sz w:val="21"/>
                <w:szCs w:val="21"/>
              </w:rPr>
              <w:t>人</w:t>
            </w:r>
            <w:r>
              <w:rPr>
                <w:rFonts w:ascii="宋体" w:hAnsi="宋体" w:cs="宋体" w:eastAsia="宋体" w:hint="default"/>
                <w:b/>
                <w:bCs/>
                <w:w w:val="100"/>
                <w:sz w:val="21"/>
                <w:szCs w:val="21"/>
              </w:rPr>
              <w:t> </w:t>
            </w:r>
            <w:r>
              <w:rPr>
                <w:rFonts w:ascii="宋体" w:hAnsi="宋体" w:cs="宋体" w:eastAsia="宋体" w:hint="default"/>
                <w:b/>
                <w:bCs/>
                <w:sz w:val="21"/>
                <w:szCs w:val="21"/>
              </w:rPr>
              <w:t>代</w:t>
            </w:r>
            <w:r>
              <w:rPr>
                <w:rFonts w:ascii="宋体" w:hAnsi="宋体" w:cs="宋体" w:eastAsia="宋体" w:hint="default"/>
                <w:b/>
                <w:bCs/>
                <w:w w:val="100"/>
                <w:sz w:val="21"/>
                <w:szCs w:val="21"/>
              </w:rPr>
              <w:t> </w:t>
            </w:r>
            <w:r>
              <w:rPr>
                <w:rFonts w:ascii="宋体" w:hAnsi="宋体" w:cs="宋体" w:eastAsia="宋体" w:hint="default"/>
                <w:b/>
                <w:bCs/>
                <w:sz w:val="21"/>
                <w:szCs w:val="21"/>
              </w:rPr>
              <w:t>表</w:t>
            </w:r>
            <w:r>
              <w:rPr>
                <w:rFonts w:ascii="宋体" w:hAnsi="宋体" w:cs="宋体" w:eastAsia="宋体" w:hint="default"/>
                <w:sz w:val="21"/>
                <w:szCs w:val="21"/>
              </w:rPr>
            </w:r>
          </w:p>
        </w:tc>
        <w:tc>
          <w:tcPr>
            <w:tcW w:w="912"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28" w:right="359"/>
              <w:jc w:val="left"/>
              <w:rPr>
                <w:rFonts w:ascii="宋体" w:hAnsi="宋体" w:cs="宋体" w:eastAsia="宋体" w:hint="default"/>
                <w:sz w:val="21"/>
                <w:szCs w:val="21"/>
              </w:rPr>
            </w:pP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tc>
        <w:tc>
          <w:tcPr>
            <w:tcW w:w="887"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85" w:right="377"/>
              <w:jc w:val="left"/>
              <w:rPr>
                <w:rFonts w:ascii="宋体" w:hAnsi="宋体" w:cs="宋体" w:eastAsia="宋体" w:hint="default"/>
                <w:sz w:val="21"/>
                <w:szCs w:val="21"/>
              </w:rPr>
            </w:pPr>
            <w:r>
              <w:rPr>
                <w:rFonts w:ascii="宋体" w:hAnsi="宋体" w:cs="宋体" w:eastAsia="宋体" w:hint="default"/>
                <w:b/>
                <w:bCs/>
                <w:sz w:val="21"/>
                <w:szCs w:val="21"/>
              </w:rPr>
              <w:t>注册</w:t>
            </w:r>
            <w:r>
              <w:rPr>
                <w:rFonts w:ascii="宋体" w:hAnsi="宋体" w:cs="宋体" w:eastAsia="宋体" w:hint="default"/>
                <w:b/>
                <w:bCs/>
                <w:w w:val="100"/>
                <w:sz w:val="21"/>
                <w:szCs w:val="21"/>
              </w:rPr>
              <w:t> </w:t>
            </w:r>
            <w:r>
              <w:rPr>
                <w:rFonts w:ascii="宋体" w:hAnsi="宋体" w:cs="宋体" w:eastAsia="宋体" w:hint="default"/>
                <w:b/>
                <w:bCs/>
                <w:sz w:val="21"/>
                <w:szCs w:val="21"/>
              </w:rPr>
              <w:t>资本</w:t>
            </w:r>
            <w:r>
              <w:rPr>
                <w:rFonts w:ascii="宋体" w:hAnsi="宋体" w:cs="宋体" w:eastAsia="宋体" w:hint="default"/>
                <w:sz w:val="21"/>
                <w:szCs w:val="21"/>
              </w:rPr>
            </w:r>
          </w:p>
        </w:tc>
        <w:tc>
          <w:tcPr>
            <w:tcW w:w="912" w:type="dxa"/>
            <w:tcBorders>
              <w:top w:val="single" w:sz="8" w:space="0" w:color="000000"/>
              <w:left w:val="nil" w:sz="6" w:space="0" w:color="auto"/>
              <w:bottom w:val="single" w:sz="4" w:space="0" w:color="000000"/>
              <w:right w:val="nil" w:sz="6" w:space="0" w:color="auto"/>
            </w:tcBorders>
          </w:tcPr>
          <w:p>
            <w:pPr>
              <w:pStyle w:val="TableParagraph"/>
              <w:spacing w:line="237" w:lineRule="auto" w:before="110"/>
              <w:ind w:left="84" w:right="29"/>
              <w:jc w:val="both"/>
              <w:rPr>
                <w:rFonts w:ascii="Arial Narrow" w:hAnsi="Arial Narrow" w:cs="Arial Narrow" w:eastAsia="Arial Narrow" w:hint="default"/>
                <w:sz w:val="21"/>
                <w:szCs w:val="21"/>
              </w:rPr>
            </w:pPr>
            <w:r>
              <w:rPr>
                <w:rFonts w:ascii="宋体" w:hAnsi="宋体" w:cs="宋体" w:eastAsia="宋体" w:hint="default"/>
                <w:b/>
                <w:bCs/>
                <w:spacing w:val="40"/>
                <w:sz w:val="21"/>
                <w:szCs w:val="21"/>
              </w:rPr>
              <w:t>本公</w:t>
            </w:r>
            <w:r>
              <w:rPr>
                <w:rFonts w:ascii="宋体" w:hAnsi="宋体" w:cs="宋体" w:eastAsia="宋体" w:hint="default"/>
                <w:b/>
                <w:bCs/>
                <w:spacing w:val="-23"/>
                <w:sz w:val="21"/>
                <w:szCs w:val="21"/>
              </w:rPr>
              <w:t> </w:t>
            </w:r>
            <w:r>
              <w:rPr>
                <w:rFonts w:ascii="宋体" w:hAnsi="宋体" w:cs="宋体" w:eastAsia="宋体" w:hint="default"/>
                <w:b/>
                <w:bCs/>
                <w:sz w:val="21"/>
                <w:szCs w:val="21"/>
              </w:rPr>
              <w:t>司</w:t>
            </w:r>
            <w:r>
              <w:rPr>
                <w:rFonts w:ascii="宋体" w:hAnsi="宋体" w:cs="宋体" w:eastAsia="宋体" w:hint="default"/>
                <w:b/>
                <w:bCs/>
                <w:w w:val="100"/>
                <w:sz w:val="21"/>
                <w:szCs w:val="21"/>
              </w:rPr>
              <w:t> </w:t>
            </w:r>
            <w:r>
              <w:rPr>
                <w:rFonts w:ascii="宋体" w:hAnsi="宋体" w:cs="宋体" w:eastAsia="宋体" w:hint="default"/>
                <w:b/>
                <w:bCs/>
                <w:spacing w:val="40"/>
                <w:sz w:val="21"/>
                <w:szCs w:val="21"/>
              </w:rPr>
              <w:t>持股</w:t>
            </w:r>
            <w:r>
              <w:rPr>
                <w:rFonts w:ascii="宋体" w:hAnsi="宋体" w:cs="宋体" w:eastAsia="宋体" w:hint="default"/>
                <w:b/>
                <w:bCs/>
                <w:spacing w:val="-23"/>
                <w:sz w:val="21"/>
                <w:szCs w:val="21"/>
              </w:rPr>
              <w:t> </w:t>
            </w: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184" w:type="dxa"/>
            <w:tcBorders>
              <w:top w:val="single" w:sz="8" w:space="0" w:color="000000"/>
              <w:left w:val="nil" w:sz="6" w:space="0" w:color="auto"/>
              <w:bottom w:val="single" w:sz="4" w:space="0" w:color="000000"/>
              <w:right w:val="nil" w:sz="6" w:space="0" w:color="auto"/>
            </w:tcBorders>
          </w:tcPr>
          <w:p>
            <w:pPr>
              <w:pStyle w:val="TableParagraph"/>
              <w:spacing w:line="237" w:lineRule="auto" w:before="110"/>
              <w:ind w:left="31" w:right="46"/>
              <w:jc w:val="both"/>
              <w:rPr>
                <w:rFonts w:ascii="Arial Narrow" w:hAnsi="Arial Narrow" w:cs="Arial Narrow" w:eastAsia="Arial Narrow" w:hint="default"/>
                <w:sz w:val="21"/>
                <w:szCs w:val="21"/>
              </w:rPr>
            </w:pPr>
            <w:r>
              <w:rPr>
                <w:rFonts w:ascii="宋体" w:hAnsi="宋体" w:cs="宋体" w:eastAsia="宋体" w:hint="default"/>
                <w:b/>
                <w:bCs/>
                <w:spacing w:val="8"/>
                <w:sz w:val="21"/>
                <w:szCs w:val="21"/>
              </w:rPr>
              <w:t>本公司在被</w:t>
            </w:r>
            <w:r>
              <w:rPr>
                <w:rFonts w:ascii="宋体" w:hAnsi="宋体" w:cs="宋体" w:eastAsia="宋体" w:hint="default"/>
                <w:b/>
                <w:bCs/>
                <w:spacing w:val="-99"/>
                <w:sz w:val="21"/>
                <w:szCs w:val="21"/>
              </w:rPr>
              <w:t> </w:t>
            </w:r>
            <w:r>
              <w:rPr>
                <w:rFonts w:ascii="宋体" w:hAnsi="宋体" w:cs="宋体" w:eastAsia="宋体" w:hint="default"/>
                <w:b/>
                <w:bCs/>
                <w:spacing w:val="8"/>
                <w:sz w:val="21"/>
                <w:szCs w:val="21"/>
              </w:rPr>
              <w:t>投资单位表</w:t>
            </w:r>
            <w:r>
              <w:rPr>
                <w:rFonts w:ascii="宋体" w:hAnsi="宋体" w:cs="宋体" w:eastAsia="宋体" w:hint="default"/>
                <w:b/>
                <w:bCs/>
                <w:spacing w:val="-99"/>
                <w:sz w:val="21"/>
                <w:szCs w:val="21"/>
              </w:rPr>
              <w:t> </w:t>
            </w:r>
            <w:r>
              <w:rPr>
                <w:rFonts w:ascii="宋体" w:hAnsi="宋体" w:cs="宋体" w:eastAsia="宋体" w:hint="default"/>
                <w:b/>
                <w:bCs/>
                <w:sz w:val="21"/>
                <w:szCs w:val="21"/>
              </w:rPr>
              <w:t>决权比例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473" w:type="dxa"/>
            <w:tcBorders>
              <w:top w:val="single" w:sz="8" w:space="0" w:color="000000"/>
              <w:left w:val="nil" w:sz="6" w:space="0" w:color="auto"/>
              <w:bottom w:val="single" w:sz="4" w:space="0" w:color="000000"/>
              <w:right w:val="nil" w:sz="6" w:space="0" w:color="auto"/>
            </w:tcBorders>
          </w:tcPr>
          <w:p>
            <w:pPr>
              <w:pStyle w:val="TableParagraph"/>
              <w:spacing w:line="245" w:lineRule="exact"/>
              <w:ind w:left="48" w:right="0"/>
              <w:jc w:val="both"/>
              <w:rPr>
                <w:rFonts w:ascii="宋体" w:hAnsi="宋体" w:cs="宋体" w:eastAsia="宋体" w:hint="default"/>
                <w:sz w:val="21"/>
                <w:szCs w:val="21"/>
              </w:rPr>
            </w:pPr>
            <w:r>
              <w:rPr>
                <w:rFonts w:ascii="宋体" w:hAnsi="宋体" w:cs="宋体" w:eastAsia="宋体" w:hint="default"/>
                <w:b/>
                <w:bCs/>
                <w:w w:val="100"/>
                <w:sz w:val="21"/>
                <w:szCs w:val="21"/>
              </w:rPr>
              <w:t>关</w:t>
            </w:r>
            <w:r>
              <w:rPr>
                <w:rFonts w:ascii="宋体" w:hAnsi="宋体" w:cs="宋体" w:eastAsia="宋体" w:hint="default"/>
                <w:w w:val="100"/>
                <w:sz w:val="21"/>
                <w:szCs w:val="21"/>
              </w:rPr>
            </w:r>
          </w:p>
          <w:p>
            <w:pPr>
              <w:pStyle w:val="TableParagraph"/>
              <w:spacing w:line="237" w:lineRule="auto" w:before="2"/>
              <w:ind w:left="48" w:right="211"/>
              <w:jc w:val="both"/>
              <w:rPr>
                <w:rFonts w:ascii="宋体" w:hAnsi="宋体" w:cs="宋体" w:eastAsia="宋体" w:hint="default"/>
                <w:sz w:val="21"/>
                <w:szCs w:val="21"/>
              </w:rPr>
            </w:pPr>
            <w:r>
              <w:rPr>
                <w:rFonts w:ascii="宋体" w:hAnsi="宋体" w:cs="宋体" w:eastAsia="宋体" w:hint="default"/>
                <w:b/>
                <w:bCs/>
                <w:sz w:val="21"/>
                <w:szCs w:val="21"/>
              </w:rPr>
              <w:t>联</w:t>
            </w:r>
            <w:r>
              <w:rPr>
                <w:rFonts w:ascii="宋体" w:hAnsi="宋体" w:cs="宋体" w:eastAsia="宋体" w:hint="default"/>
                <w:b/>
                <w:bCs/>
                <w:w w:val="100"/>
                <w:sz w:val="21"/>
                <w:szCs w:val="21"/>
              </w:rPr>
              <w:t> </w:t>
            </w:r>
            <w:r>
              <w:rPr>
                <w:rFonts w:ascii="宋体" w:hAnsi="宋体" w:cs="宋体" w:eastAsia="宋体" w:hint="default"/>
                <w:b/>
                <w:bCs/>
                <w:sz w:val="21"/>
                <w:szCs w:val="21"/>
              </w:rPr>
              <w:t>关</w:t>
            </w:r>
            <w:r>
              <w:rPr>
                <w:rFonts w:ascii="宋体" w:hAnsi="宋体" w:cs="宋体" w:eastAsia="宋体" w:hint="default"/>
                <w:b/>
                <w:bCs/>
                <w:w w:val="100"/>
                <w:sz w:val="21"/>
                <w:szCs w:val="21"/>
              </w:rPr>
              <w:t> </w:t>
            </w:r>
            <w:r>
              <w:rPr>
                <w:rFonts w:ascii="宋体" w:hAnsi="宋体" w:cs="宋体" w:eastAsia="宋体" w:hint="default"/>
                <w:b/>
                <w:bCs/>
                <w:sz w:val="21"/>
                <w:szCs w:val="21"/>
              </w:rPr>
              <w:t>系</w:t>
            </w:r>
            <w:r>
              <w:rPr>
                <w:rFonts w:ascii="宋体" w:hAnsi="宋体" w:cs="宋体" w:eastAsia="宋体" w:hint="default"/>
                <w:sz w:val="21"/>
                <w:szCs w:val="21"/>
              </w:rPr>
            </w:r>
          </w:p>
        </w:tc>
        <w:tc>
          <w:tcPr>
            <w:tcW w:w="1212"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86" w:right="1"/>
              <w:jc w:val="left"/>
              <w:rPr>
                <w:rFonts w:ascii="宋体" w:hAnsi="宋体" w:cs="宋体" w:eastAsia="宋体" w:hint="default"/>
                <w:sz w:val="21"/>
                <w:szCs w:val="21"/>
              </w:rPr>
            </w:pPr>
            <w:r>
              <w:rPr>
                <w:rFonts w:ascii="宋体" w:hAnsi="宋体" w:cs="宋体" w:eastAsia="宋体" w:hint="default"/>
                <w:b/>
                <w:bCs/>
                <w:spacing w:val="12"/>
                <w:sz w:val="21"/>
                <w:szCs w:val="21"/>
              </w:rPr>
              <w:t>组织机构代</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b/>
                <w:bCs/>
                <w:sz w:val="21"/>
                <w:szCs w:val="21"/>
              </w:rPr>
              <w:t>码</w:t>
            </w:r>
            <w:r>
              <w:rPr>
                <w:rFonts w:ascii="宋体" w:hAnsi="宋体" w:cs="宋体" w:eastAsia="宋体" w:hint="default"/>
                <w:sz w:val="21"/>
                <w:szCs w:val="21"/>
              </w:rPr>
            </w:r>
          </w:p>
        </w:tc>
      </w:tr>
      <w:tr>
        <w:trPr>
          <w:trHeight w:val="549" w:hRule="exact"/>
        </w:trPr>
        <w:tc>
          <w:tcPr>
            <w:tcW w:w="400" w:type="dxa"/>
            <w:tcBorders>
              <w:top w:val="nil" w:sz="6" w:space="0" w:color="auto"/>
              <w:left w:val="nil" w:sz="6" w:space="0" w:color="auto"/>
              <w:bottom w:val="nil" w:sz="6" w:space="0" w:color="auto"/>
              <w:right w:val="nil" w:sz="6" w:space="0" w:color="auto"/>
            </w:tcBorders>
          </w:tcPr>
          <w:p>
            <w:pPr/>
          </w:p>
        </w:tc>
        <w:tc>
          <w:tcPr>
            <w:tcW w:w="1060" w:type="dxa"/>
            <w:tcBorders>
              <w:top w:val="single" w:sz="4" w:space="0" w:color="000000"/>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联 营</w:t>
            </w:r>
            <w:r>
              <w:rPr>
                <w:rFonts w:ascii="宋体" w:hAnsi="宋体" w:cs="宋体" w:eastAsia="宋体" w:hint="default"/>
                <w:spacing w:val="-33"/>
                <w:sz w:val="21"/>
                <w:szCs w:val="21"/>
              </w:rPr>
              <w:t> </w:t>
            </w:r>
            <w:r>
              <w:rPr>
                <w:rFonts w:ascii="宋体" w:hAnsi="宋体" w:cs="宋体" w:eastAsia="宋体" w:hint="default"/>
                <w:sz w:val="21"/>
                <w:szCs w:val="21"/>
              </w:rPr>
              <w:t>企</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业</w:t>
            </w:r>
          </w:p>
        </w:tc>
        <w:tc>
          <w:tcPr>
            <w:tcW w:w="445" w:type="dxa"/>
            <w:tcBorders>
              <w:top w:val="single" w:sz="4" w:space="0" w:color="000000"/>
              <w:left w:val="nil" w:sz="6" w:space="0" w:color="auto"/>
              <w:bottom w:val="nil" w:sz="6" w:space="0" w:color="auto"/>
              <w:right w:val="nil" w:sz="6" w:space="0" w:color="auto"/>
            </w:tcBorders>
          </w:tcPr>
          <w:p>
            <w:pPr/>
          </w:p>
        </w:tc>
        <w:tc>
          <w:tcPr>
            <w:tcW w:w="1657" w:type="dxa"/>
            <w:tcBorders>
              <w:top w:val="single" w:sz="4" w:space="0" w:color="000000"/>
              <w:left w:val="nil" w:sz="6" w:space="0" w:color="auto"/>
              <w:bottom w:val="nil" w:sz="6" w:space="0" w:color="auto"/>
              <w:right w:val="nil" w:sz="6" w:space="0" w:color="auto"/>
            </w:tcBorders>
          </w:tcPr>
          <w:p>
            <w:pPr/>
          </w:p>
        </w:tc>
        <w:tc>
          <w:tcPr>
            <w:tcW w:w="447" w:type="dxa"/>
            <w:tcBorders>
              <w:top w:val="single" w:sz="4" w:space="0" w:color="000000"/>
              <w:left w:val="nil" w:sz="6" w:space="0" w:color="auto"/>
              <w:bottom w:val="nil" w:sz="6" w:space="0" w:color="auto"/>
              <w:right w:val="nil" w:sz="6" w:space="0" w:color="auto"/>
            </w:tcBorders>
          </w:tcPr>
          <w:p>
            <w:pPr/>
          </w:p>
        </w:tc>
        <w:tc>
          <w:tcPr>
            <w:tcW w:w="912" w:type="dxa"/>
            <w:tcBorders>
              <w:top w:val="single" w:sz="4" w:space="0" w:color="000000"/>
              <w:left w:val="nil" w:sz="6" w:space="0" w:color="auto"/>
              <w:bottom w:val="nil" w:sz="6" w:space="0" w:color="auto"/>
              <w:right w:val="nil" w:sz="6" w:space="0" w:color="auto"/>
            </w:tcBorders>
          </w:tcPr>
          <w:p>
            <w:pPr/>
          </w:p>
        </w:tc>
        <w:tc>
          <w:tcPr>
            <w:tcW w:w="887" w:type="dxa"/>
            <w:tcBorders>
              <w:top w:val="single" w:sz="4" w:space="0" w:color="000000"/>
              <w:left w:val="nil" w:sz="6" w:space="0" w:color="auto"/>
              <w:bottom w:val="nil" w:sz="6" w:space="0" w:color="auto"/>
              <w:right w:val="nil" w:sz="6" w:space="0" w:color="auto"/>
            </w:tcBorders>
          </w:tcPr>
          <w:p>
            <w:pPr/>
          </w:p>
        </w:tc>
        <w:tc>
          <w:tcPr>
            <w:tcW w:w="912" w:type="dxa"/>
            <w:tcBorders>
              <w:top w:val="single" w:sz="4" w:space="0" w:color="000000"/>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nil" w:sz="6" w:space="0" w:color="auto"/>
              <w:right w:val="nil" w:sz="6" w:space="0" w:color="auto"/>
            </w:tcBorders>
          </w:tcPr>
          <w:p>
            <w:pPr/>
          </w:p>
        </w:tc>
        <w:tc>
          <w:tcPr>
            <w:tcW w:w="473"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
        </w:tc>
      </w:tr>
      <w:tr>
        <w:trPr>
          <w:trHeight w:val="1090" w:hRule="exact"/>
        </w:trPr>
        <w:tc>
          <w:tcPr>
            <w:tcW w:w="40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z w:val="21"/>
                <w:szCs w:val="21"/>
              </w:rPr>
              <w:t>浙 江</w:t>
            </w:r>
            <w:r>
              <w:rPr>
                <w:rFonts w:ascii="宋体" w:hAnsi="宋体" w:cs="宋体" w:eastAsia="宋体" w:hint="default"/>
                <w:spacing w:val="-33"/>
                <w:sz w:val="21"/>
                <w:szCs w:val="21"/>
              </w:rPr>
              <w:t> </w:t>
            </w:r>
            <w:r>
              <w:rPr>
                <w:rFonts w:ascii="宋体" w:hAnsi="宋体" w:cs="宋体" w:eastAsia="宋体" w:hint="default"/>
                <w:sz w:val="21"/>
                <w:szCs w:val="21"/>
              </w:rPr>
              <w:t>中</w:t>
            </w:r>
          </w:p>
          <w:p>
            <w:pPr>
              <w:pStyle w:val="TableParagraph"/>
              <w:spacing w:line="237" w:lineRule="auto" w:before="2"/>
              <w:ind w:left="122" w:right="126"/>
              <w:jc w:val="both"/>
              <w:rPr>
                <w:rFonts w:ascii="宋体" w:hAnsi="宋体" w:cs="宋体" w:eastAsia="宋体" w:hint="default"/>
                <w:sz w:val="21"/>
                <w:szCs w:val="21"/>
              </w:rPr>
            </w:pPr>
            <w:r>
              <w:rPr>
                <w:rFonts w:ascii="宋体" w:hAnsi="宋体" w:cs="宋体" w:eastAsia="宋体" w:hint="default"/>
                <w:sz w:val="21"/>
                <w:szCs w:val="21"/>
              </w:rPr>
              <w:t>科 数</w:t>
            </w:r>
            <w:r>
              <w:rPr>
                <w:rFonts w:ascii="宋体" w:hAnsi="宋体" w:cs="宋体" w:eastAsia="宋体" w:hint="default"/>
                <w:spacing w:val="-33"/>
                <w:sz w:val="21"/>
                <w:szCs w:val="21"/>
              </w:rPr>
              <w:t> </w:t>
            </w:r>
            <w:r>
              <w:rPr>
                <w:rFonts w:ascii="宋体" w:hAnsi="宋体" w:cs="宋体" w:eastAsia="宋体" w:hint="default"/>
                <w:sz w:val="21"/>
                <w:szCs w:val="21"/>
              </w:rPr>
              <w:t>城</w:t>
            </w:r>
            <w:r>
              <w:rPr>
                <w:rFonts w:ascii="宋体" w:hAnsi="宋体" w:cs="宋体" w:eastAsia="宋体" w:hint="default"/>
                <w:w w:val="100"/>
                <w:sz w:val="21"/>
                <w:szCs w:val="21"/>
              </w:rPr>
              <w:t> </w:t>
            </w:r>
            <w:r>
              <w:rPr>
                <w:rFonts w:ascii="宋体" w:hAnsi="宋体" w:cs="宋体" w:eastAsia="宋体" w:hint="default"/>
                <w:sz w:val="21"/>
                <w:szCs w:val="21"/>
              </w:rPr>
              <w:t>软 件</w:t>
            </w:r>
            <w:r>
              <w:rPr>
                <w:rFonts w:ascii="宋体" w:hAnsi="宋体" w:cs="宋体" w:eastAsia="宋体" w:hint="default"/>
                <w:spacing w:val="-33"/>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445" w:type="dxa"/>
            <w:tcBorders>
              <w:top w:val="nil" w:sz="6" w:space="0" w:color="auto"/>
              <w:left w:val="nil" w:sz="6" w:space="0" w:color="auto"/>
              <w:bottom w:val="nil" w:sz="6" w:space="0" w:color="auto"/>
              <w:right w:val="nil" w:sz="6" w:space="0" w:color="auto"/>
            </w:tcBorders>
          </w:tcPr>
          <w:p>
            <w:pPr>
              <w:pStyle w:val="TableParagraph"/>
              <w:spacing w:line="240" w:lineRule="exact"/>
              <w:ind w:left="85" w:right="0"/>
              <w:jc w:val="both"/>
              <w:rPr>
                <w:rFonts w:ascii="宋体" w:hAnsi="宋体" w:cs="宋体" w:eastAsia="宋体" w:hint="default"/>
                <w:sz w:val="21"/>
                <w:szCs w:val="21"/>
              </w:rPr>
            </w:pPr>
            <w:r>
              <w:rPr>
                <w:rFonts w:ascii="宋体" w:hAnsi="宋体" w:cs="宋体" w:eastAsia="宋体" w:hint="default"/>
                <w:w w:val="100"/>
                <w:sz w:val="21"/>
                <w:szCs w:val="21"/>
              </w:rPr>
              <w:t>有</w:t>
            </w:r>
          </w:p>
          <w:p>
            <w:pPr>
              <w:pStyle w:val="TableParagraph"/>
              <w:spacing w:line="237" w:lineRule="auto" w:before="2"/>
              <w:ind w:left="85" w:right="146"/>
              <w:jc w:val="both"/>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657" w:type="dxa"/>
            <w:tcBorders>
              <w:top w:val="nil" w:sz="6" w:space="0" w:color="auto"/>
              <w:left w:val="nil" w:sz="6" w:space="0" w:color="auto"/>
              <w:bottom w:val="nil" w:sz="6" w:space="0" w:color="auto"/>
              <w:right w:val="nil" w:sz="6" w:space="0" w:color="auto"/>
            </w:tcBorders>
          </w:tcPr>
          <w:p>
            <w:pPr>
              <w:pStyle w:val="TableParagraph"/>
              <w:spacing w:line="232" w:lineRule="auto" w:before="110"/>
              <w:ind w:left="191" w:right="103"/>
              <w:jc w:val="both"/>
              <w:rPr>
                <w:rFonts w:ascii="宋体" w:hAnsi="宋体" w:cs="宋体" w:eastAsia="宋体" w:hint="default"/>
                <w:sz w:val="21"/>
                <w:szCs w:val="21"/>
              </w:rPr>
            </w:pPr>
            <w:r>
              <w:rPr>
                <w:rFonts w:ascii="宋体" w:hAnsi="宋体" w:cs="宋体" w:eastAsia="宋体" w:hint="default"/>
                <w:spacing w:val="14"/>
                <w:sz w:val="21"/>
                <w:szCs w:val="21"/>
              </w:rPr>
              <w:t>宁波高新区江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南路 </w:t>
            </w:r>
            <w:r>
              <w:rPr>
                <w:rFonts w:ascii="Arial Narrow" w:hAnsi="Arial Narrow" w:cs="Arial Narrow" w:eastAsia="Arial Narrow" w:hint="default"/>
                <w:sz w:val="21"/>
                <w:szCs w:val="21"/>
              </w:rPr>
              <w:t>599 </w:t>
            </w:r>
            <w:r>
              <w:rPr>
                <w:rFonts w:ascii="宋体" w:hAnsi="宋体" w:cs="宋体" w:eastAsia="宋体" w:hint="default"/>
                <w:sz w:val="21"/>
                <w:szCs w:val="21"/>
              </w:rPr>
              <w:t>号</w:t>
            </w:r>
            <w:r>
              <w:rPr>
                <w:rFonts w:ascii="宋体" w:hAnsi="宋体" w:cs="宋体" w:eastAsia="宋体" w:hint="default"/>
                <w:spacing w:val="-69"/>
                <w:sz w:val="21"/>
                <w:szCs w:val="21"/>
              </w:rPr>
              <w:t> </w:t>
            </w:r>
            <w:r>
              <w:rPr>
                <w:rFonts w:ascii="Arial Narrow" w:hAnsi="Arial Narrow" w:cs="Arial Narrow" w:eastAsia="Arial Narrow" w:hint="default"/>
                <w:sz w:val="21"/>
                <w:szCs w:val="21"/>
              </w:rPr>
              <w:t>8-5</w:t>
            </w:r>
            <w:r>
              <w:rPr>
                <w:rFonts w:ascii="Arial Narrow" w:hAnsi="Arial Narrow" w:cs="Arial Narrow" w:eastAsia="Arial Narrow" w:hint="default"/>
                <w:w w:val="100"/>
                <w:sz w:val="21"/>
                <w:szCs w:val="21"/>
              </w:rPr>
              <w:t> </w:t>
            </w:r>
            <w:r>
              <w:rPr>
                <w:rFonts w:ascii="宋体" w:hAnsi="宋体" w:cs="宋体" w:eastAsia="宋体" w:hint="default"/>
                <w:sz w:val="21"/>
                <w:szCs w:val="21"/>
              </w:rPr>
              <w:t>房</w:t>
            </w:r>
          </w:p>
        </w:tc>
        <w:tc>
          <w:tcPr>
            <w:tcW w:w="447"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07" w:right="126" w:hanging="3"/>
              <w:jc w:val="both"/>
              <w:rPr>
                <w:rFonts w:ascii="宋体" w:hAnsi="宋体" w:cs="宋体" w:eastAsia="宋体" w:hint="default"/>
                <w:sz w:val="21"/>
                <w:szCs w:val="21"/>
              </w:rPr>
            </w:pPr>
            <w:r>
              <w:rPr>
                <w:rFonts w:ascii="宋体" w:hAnsi="宋体" w:cs="宋体" w:eastAsia="宋体" w:hint="default"/>
                <w:sz w:val="21"/>
                <w:szCs w:val="21"/>
              </w:rPr>
              <w:t>沈</w:t>
            </w:r>
            <w:r>
              <w:rPr>
                <w:rFonts w:ascii="宋体" w:hAnsi="宋体" w:cs="宋体" w:eastAsia="宋体" w:hint="default"/>
                <w:w w:val="100"/>
                <w:sz w:val="21"/>
                <w:szCs w:val="21"/>
              </w:rPr>
              <w:t> </w:t>
            </w:r>
            <w:r>
              <w:rPr>
                <w:rFonts w:ascii="宋体" w:hAnsi="宋体" w:cs="宋体" w:eastAsia="宋体" w:hint="default"/>
                <w:sz w:val="21"/>
                <w:szCs w:val="21"/>
              </w:rPr>
              <w:t>舟</w:t>
            </w:r>
            <w:r>
              <w:rPr>
                <w:rFonts w:ascii="宋体" w:hAnsi="宋体" w:cs="宋体" w:eastAsia="宋体" w:hint="default"/>
                <w:w w:val="100"/>
                <w:sz w:val="21"/>
                <w:szCs w:val="21"/>
              </w:rPr>
              <w:t> </w:t>
            </w:r>
            <w:r>
              <w:rPr>
                <w:rFonts w:ascii="宋体" w:hAnsi="宋体" w:cs="宋体" w:eastAsia="宋体" w:hint="default"/>
                <w:sz w:val="21"/>
                <w:szCs w:val="21"/>
              </w:rPr>
              <w:t>峰</w:t>
            </w:r>
          </w:p>
        </w:tc>
        <w:tc>
          <w:tcPr>
            <w:tcW w:w="912" w:type="dxa"/>
            <w:tcBorders>
              <w:top w:val="nil" w:sz="6" w:space="0" w:color="auto"/>
              <w:left w:val="nil" w:sz="6" w:space="0" w:color="auto"/>
              <w:bottom w:val="nil" w:sz="6" w:space="0" w:color="auto"/>
              <w:right w:val="nil" w:sz="6" w:space="0" w:color="auto"/>
            </w:tcBorders>
          </w:tcPr>
          <w:p>
            <w:pPr>
              <w:pStyle w:val="TableParagraph"/>
              <w:spacing w:line="237" w:lineRule="auto" w:before="105"/>
              <w:ind w:left="171" w:right="83"/>
              <w:jc w:val="both"/>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24"/>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pacing w:val="6"/>
                <w:sz w:val="21"/>
                <w:szCs w:val="21"/>
              </w:rPr>
              <w:t>研发、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销售</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82"/>
              <w:jc w:val="right"/>
              <w:rPr>
                <w:rFonts w:ascii="Arial Narrow" w:hAnsi="Arial Narrow" w:cs="Arial Narrow" w:eastAsia="Arial Narrow" w:hint="default"/>
                <w:sz w:val="21"/>
                <w:szCs w:val="21"/>
              </w:rPr>
            </w:pPr>
            <w:r>
              <w:rPr>
                <w:rFonts w:ascii="Arial Narrow"/>
                <w:spacing w:val="-1"/>
                <w:sz w:val="21"/>
              </w:rPr>
              <w:t>1,000.00</w:t>
            </w:r>
            <w:r>
              <w:rPr>
                <w:rFonts w:ascii="Arial Narrow"/>
                <w:sz w:val="21"/>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39"/>
              <w:jc w:val="right"/>
              <w:rPr>
                <w:rFonts w:ascii="Arial Narrow" w:hAnsi="Arial Narrow" w:cs="Arial Narrow" w:eastAsia="Arial Narrow" w:hint="default"/>
                <w:sz w:val="21"/>
                <w:szCs w:val="21"/>
              </w:rPr>
            </w:pPr>
            <w:r>
              <w:rPr>
                <w:rFonts w:ascii="Arial Narrow"/>
                <w:spacing w:val="-1"/>
                <w:sz w:val="21"/>
              </w:rPr>
              <w:t>23.36</w:t>
            </w:r>
            <w:r>
              <w:rPr>
                <w:rFonts w:ascii="Arial Narrow"/>
                <w:sz w:val="21"/>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65"/>
              <w:jc w:val="right"/>
              <w:rPr>
                <w:rFonts w:ascii="Arial Narrow" w:hAnsi="Arial Narrow" w:cs="Arial Narrow" w:eastAsia="Arial Narrow" w:hint="default"/>
                <w:sz w:val="21"/>
                <w:szCs w:val="21"/>
              </w:rPr>
            </w:pPr>
            <w:r>
              <w:rPr>
                <w:rFonts w:ascii="Arial Narrow"/>
                <w:spacing w:val="-1"/>
                <w:sz w:val="21"/>
              </w:rPr>
              <w:t>23.36</w:t>
            </w:r>
            <w:r>
              <w:rPr>
                <w:rFonts w:ascii="Arial Narrow"/>
                <w:sz w:val="21"/>
              </w:rPr>
            </w:r>
          </w:p>
        </w:tc>
        <w:tc>
          <w:tcPr>
            <w:tcW w:w="473" w:type="dxa"/>
            <w:tcBorders>
              <w:top w:val="nil" w:sz="6" w:space="0" w:color="auto"/>
              <w:left w:val="nil" w:sz="6" w:space="0" w:color="auto"/>
              <w:bottom w:val="nil" w:sz="6" w:space="0" w:color="auto"/>
              <w:right w:val="nil" w:sz="6" w:space="0" w:color="auto"/>
            </w:tcBorders>
          </w:tcPr>
          <w:p>
            <w:pPr>
              <w:pStyle w:val="TableParagraph"/>
              <w:spacing w:line="240" w:lineRule="exact"/>
              <w:ind w:left="175" w:right="0"/>
              <w:jc w:val="both"/>
              <w:rPr>
                <w:rFonts w:ascii="宋体" w:hAnsi="宋体" w:cs="宋体" w:eastAsia="宋体" w:hint="default"/>
                <w:sz w:val="21"/>
                <w:szCs w:val="21"/>
              </w:rPr>
            </w:pPr>
            <w:r>
              <w:rPr>
                <w:rFonts w:ascii="宋体" w:hAnsi="宋体" w:cs="宋体" w:eastAsia="宋体" w:hint="default"/>
                <w:w w:val="100"/>
                <w:sz w:val="21"/>
                <w:szCs w:val="21"/>
              </w:rPr>
              <w:t>重</w:t>
            </w:r>
          </w:p>
          <w:p>
            <w:pPr>
              <w:pStyle w:val="TableParagraph"/>
              <w:spacing w:line="237" w:lineRule="auto" w:before="2"/>
              <w:ind w:left="175" w:right="84"/>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3"/>
              <w:jc w:val="right"/>
              <w:rPr>
                <w:rFonts w:ascii="Arial Narrow" w:hAnsi="Arial Narrow" w:cs="Arial Narrow" w:eastAsia="Arial Narrow" w:hint="default"/>
                <w:sz w:val="21"/>
                <w:szCs w:val="21"/>
              </w:rPr>
            </w:pPr>
            <w:r>
              <w:rPr>
                <w:rFonts w:ascii="Arial Narrow"/>
                <w:spacing w:val="-2"/>
                <w:sz w:val="21"/>
              </w:rPr>
              <w:t>72811697-0</w:t>
            </w:r>
          </w:p>
        </w:tc>
      </w:tr>
      <w:tr>
        <w:trPr>
          <w:trHeight w:val="1373" w:hRule="exact"/>
        </w:trPr>
        <w:tc>
          <w:tcPr>
            <w:tcW w:w="400"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single" w:sz="8" w:space="0" w:color="000000"/>
              <w:right w:val="nil" w:sz="6" w:space="0" w:color="auto"/>
            </w:tcBorders>
          </w:tcPr>
          <w:p>
            <w:pPr>
              <w:pStyle w:val="TableParagraph"/>
              <w:spacing w:line="241" w:lineRule="exact"/>
              <w:ind w:left="122" w:right="0"/>
              <w:jc w:val="both"/>
              <w:rPr>
                <w:rFonts w:ascii="宋体" w:hAnsi="宋体" w:cs="宋体" w:eastAsia="宋体" w:hint="default"/>
                <w:sz w:val="21"/>
                <w:szCs w:val="21"/>
              </w:rPr>
            </w:pPr>
            <w:r>
              <w:rPr>
                <w:rFonts w:ascii="宋体" w:hAnsi="宋体" w:cs="宋体" w:eastAsia="宋体" w:hint="default"/>
                <w:sz w:val="21"/>
                <w:szCs w:val="21"/>
              </w:rPr>
              <w:t>北 京</w:t>
            </w:r>
            <w:r>
              <w:rPr>
                <w:rFonts w:ascii="宋体" w:hAnsi="宋体" w:cs="宋体" w:eastAsia="宋体" w:hint="default"/>
                <w:spacing w:val="-33"/>
                <w:sz w:val="21"/>
                <w:szCs w:val="21"/>
              </w:rPr>
              <w:t> </w:t>
            </w:r>
            <w:r>
              <w:rPr>
                <w:rFonts w:ascii="宋体" w:hAnsi="宋体" w:cs="宋体" w:eastAsia="宋体" w:hint="default"/>
                <w:sz w:val="21"/>
                <w:szCs w:val="21"/>
              </w:rPr>
              <w:t>国</w:t>
            </w:r>
          </w:p>
          <w:p>
            <w:pPr>
              <w:pStyle w:val="TableParagraph"/>
              <w:spacing w:line="237" w:lineRule="auto" w:before="2"/>
              <w:ind w:left="122" w:right="126"/>
              <w:jc w:val="both"/>
              <w:rPr>
                <w:rFonts w:ascii="宋体" w:hAnsi="宋体" w:cs="宋体" w:eastAsia="宋体" w:hint="default"/>
                <w:sz w:val="21"/>
                <w:szCs w:val="21"/>
              </w:rPr>
            </w:pPr>
            <w:r>
              <w:rPr>
                <w:rFonts w:ascii="宋体" w:hAnsi="宋体" w:cs="宋体" w:eastAsia="宋体" w:hint="default"/>
                <w:sz w:val="21"/>
                <w:szCs w:val="21"/>
              </w:rPr>
              <w:t>遥 新</w:t>
            </w:r>
            <w:r>
              <w:rPr>
                <w:rFonts w:ascii="宋体" w:hAnsi="宋体" w:cs="宋体" w:eastAsia="宋体" w:hint="default"/>
                <w:spacing w:val="-33"/>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地 信</w:t>
            </w:r>
            <w:r>
              <w:rPr>
                <w:rFonts w:ascii="宋体" w:hAnsi="宋体" w:cs="宋体" w:eastAsia="宋体" w:hint="default"/>
                <w:spacing w:val="-33"/>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pacing w:val="42"/>
                <w:w w:val="100"/>
                <w:sz w:val="21"/>
                <w:szCs w:val="21"/>
              </w:rPr>
              <w:t>技术</w:t>
            </w:r>
            <w:r>
              <w:rPr>
                <w:rFonts w:ascii="宋体" w:hAnsi="宋体" w:cs="宋体" w:eastAsia="宋体" w:hint="default"/>
                <w:spacing w:val="-16"/>
                <w:w w:val="100"/>
                <w:sz w:val="21"/>
                <w:szCs w:val="21"/>
              </w:rPr>
              <w:t> </w:t>
            </w:r>
            <w:r>
              <w:rPr>
                <w:rFonts w:ascii="宋体" w:hAnsi="宋体" w:cs="宋体" w:eastAsia="宋体" w:hint="default"/>
                <w:w w:val="100"/>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445" w:type="dxa"/>
            <w:tcBorders>
              <w:top w:val="nil" w:sz="6" w:space="0" w:color="auto"/>
              <w:left w:val="nil" w:sz="6" w:space="0" w:color="auto"/>
              <w:bottom w:val="single" w:sz="8" w:space="0" w:color="000000"/>
              <w:right w:val="nil" w:sz="6" w:space="0" w:color="auto"/>
            </w:tcBorders>
          </w:tcPr>
          <w:p>
            <w:pPr>
              <w:pStyle w:val="TableParagraph"/>
              <w:spacing w:line="237" w:lineRule="auto" w:before="105"/>
              <w:ind w:left="85" w:right="146"/>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p>
        </w:tc>
        <w:tc>
          <w:tcPr>
            <w:tcW w:w="1657" w:type="dxa"/>
            <w:tcBorders>
              <w:top w:val="nil" w:sz="6" w:space="0" w:color="auto"/>
              <w:left w:val="nil" w:sz="6" w:space="0" w:color="auto"/>
              <w:bottom w:val="single" w:sz="8" w:space="0" w:color="000000"/>
              <w:right w:val="nil" w:sz="6" w:space="0" w:color="auto"/>
            </w:tcBorders>
          </w:tcPr>
          <w:p>
            <w:pPr>
              <w:pStyle w:val="TableParagraph"/>
              <w:spacing w:line="232" w:lineRule="auto" w:before="110"/>
              <w:ind w:left="191" w:right="105"/>
              <w:jc w:val="both"/>
              <w:rPr>
                <w:rFonts w:ascii="宋体" w:hAnsi="宋体" w:cs="宋体" w:eastAsia="宋体" w:hint="default"/>
                <w:sz w:val="21"/>
                <w:szCs w:val="21"/>
              </w:rPr>
            </w:pPr>
            <w:r>
              <w:rPr>
                <w:rFonts w:ascii="宋体" w:hAnsi="宋体" w:cs="宋体" w:eastAsia="宋体" w:hint="default"/>
                <w:spacing w:val="14"/>
                <w:sz w:val="21"/>
                <w:szCs w:val="21"/>
              </w:rPr>
              <w:t>北京市朝阳区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安翔北里甲</w:t>
            </w:r>
            <w:r>
              <w:rPr>
                <w:rFonts w:ascii="宋体" w:hAnsi="宋体" w:cs="宋体" w:eastAsia="宋体" w:hint="default"/>
                <w:spacing w:val="21"/>
                <w:sz w:val="21"/>
                <w:szCs w:val="21"/>
              </w:rPr>
              <w:t> </w:t>
            </w:r>
            <w:r>
              <w:rPr>
                <w:rFonts w:ascii="Arial Narrow" w:hAnsi="Arial Narrow" w:cs="Arial Narrow" w:eastAsia="Arial Narrow" w:hint="default"/>
                <w:spacing w:val="-13"/>
                <w:sz w:val="21"/>
                <w:szCs w:val="21"/>
              </w:rPr>
              <w:t>11</w:t>
            </w:r>
            <w:r>
              <w:rPr>
                <w:rFonts w:ascii="Arial Narrow" w:hAnsi="Arial Narrow" w:cs="Arial Narrow" w:eastAsia="Arial Narrow" w:hint="default"/>
                <w:spacing w:val="-46"/>
                <w:sz w:val="21"/>
                <w:szCs w:val="21"/>
              </w:rPr>
              <w:t> </w:t>
            </w:r>
            <w:r>
              <w:rPr>
                <w:rFonts w:ascii="宋体" w:hAnsi="宋体" w:cs="宋体" w:eastAsia="宋体" w:hint="default"/>
                <w:spacing w:val="14"/>
                <w:sz w:val="21"/>
                <w:szCs w:val="21"/>
              </w:rPr>
              <w:t>号北京创业大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Arial Narrow" w:hAnsi="Arial Narrow" w:cs="Arial Narrow" w:eastAsia="Arial Narrow" w:hint="default"/>
                <w:sz w:val="21"/>
                <w:szCs w:val="21"/>
              </w:rPr>
              <w:t>B</w:t>
            </w:r>
            <w:r>
              <w:rPr>
                <w:rFonts w:ascii="Arial Narrow" w:hAnsi="Arial Narrow" w:cs="Arial Narrow" w:eastAsia="Arial Narrow" w:hint="default"/>
                <w:spacing w:val="2"/>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Arial Narrow" w:hAnsi="Arial Narrow" w:cs="Arial Narrow" w:eastAsia="Arial Narrow" w:hint="default"/>
                <w:sz w:val="21"/>
                <w:szCs w:val="21"/>
              </w:rPr>
              <w:t>1301</w:t>
            </w:r>
            <w:r>
              <w:rPr>
                <w:rFonts w:ascii="Arial Narrow" w:hAnsi="Arial Narrow" w:cs="Arial Narrow" w:eastAsia="Arial Narrow" w:hint="default"/>
                <w:spacing w:val="4"/>
                <w:sz w:val="21"/>
                <w:szCs w:val="21"/>
              </w:rPr>
              <w:t> </w:t>
            </w:r>
            <w:r>
              <w:rPr>
                <w:rFonts w:ascii="宋体" w:hAnsi="宋体" w:cs="宋体" w:eastAsia="宋体" w:hint="default"/>
                <w:sz w:val="21"/>
                <w:szCs w:val="21"/>
              </w:rPr>
              <w:t>室</w:t>
            </w:r>
          </w:p>
        </w:tc>
        <w:tc>
          <w:tcPr>
            <w:tcW w:w="447"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07" w:right="126" w:hanging="3"/>
              <w:jc w:val="both"/>
              <w:rPr>
                <w:rFonts w:ascii="宋体" w:hAnsi="宋体" w:cs="宋体" w:eastAsia="宋体" w:hint="default"/>
                <w:sz w:val="21"/>
                <w:szCs w:val="21"/>
              </w:rPr>
            </w:pPr>
            <w:r>
              <w:rPr>
                <w:rFonts w:ascii="宋体" w:hAnsi="宋体" w:cs="宋体" w:eastAsia="宋体" w:hint="default"/>
                <w:sz w:val="21"/>
                <w:szCs w:val="21"/>
              </w:rPr>
              <w:t>吴</w:t>
            </w:r>
            <w:r>
              <w:rPr>
                <w:rFonts w:ascii="宋体" w:hAnsi="宋体" w:cs="宋体" w:eastAsia="宋体" w:hint="default"/>
                <w:w w:val="100"/>
                <w:sz w:val="21"/>
                <w:szCs w:val="21"/>
              </w:rPr>
              <w:t> </w:t>
            </w:r>
            <w:r>
              <w:rPr>
                <w:rFonts w:ascii="宋体" w:hAnsi="宋体" w:cs="宋体" w:eastAsia="宋体" w:hint="default"/>
                <w:sz w:val="21"/>
                <w:szCs w:val="21"/>
              </w:rPr>
              <w:t>秋</w:t>
            </w:r>
            <w:r>
              <w:rPr>
                <w:rFonts w:ascii="宋体" w:hAnsi="宋体" w:cs="宋体" w:eastAsia="宋体" w:hint="default"/>
                <w:w w:val="100"/>
                <w:sz w:val="21"/>
                <w:szCs w:val="21"/>
              </w:rPr>
              <w:t> </w:t>
            </w:r>
            <w:r>
              <w:rPr>
                <w:rFonts w:ascii="宋体" w:hAnsi="宋体" w:cs="宋体" w:eastAsia="宋体" w:hint="default"/>
                <w:sz w:val="21"/>
                <w:szCs w:val="21"/>
              </w:rPr>
              <w:t>华</w:t>
            </w:r>
          </w:p>
        </w:tc>
        <w:tc>
          <w:tcPr>
            <w:tcW w:w="912" w:type="dxa"/>
            <w:tcBorders>
              <w:top w:val="nil" w:sz="6" w:space="0" w:color="auto"/>
              <w:left w:val="nil" w:sz="6" w:space="0" w:color="auto"/>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71" w:right="83"/>
              <w:jc w:val="both"/>
              <w:rPr>
                <w:rFonts w:ascii="宋体" w:hAnsi="宋体" w:cs="宋体" w:eastAsia="宋体" w:hint="default"/>
                <w:sz w:val="21"/>
                <w:szCs w:val="21"/>
              </w:rPr>
            </w:pPr>
            <w:r>
              <w:rPr>
                <w:rFonts w:ascii="宋体" w:hAnsi="宋体" w:cs="宋体" w:eastAsia="宋体" w:hint="default"/>
                <w:spacing w:val="6"/>
                <w:sz w:val="21"/>
                <w:szCs w:val="21"/>
              </w:rPr>
              <w:t>软件研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6"/>
                <w:sz w:val="21"/>
                <w:szCs w:val="21"/>
              </w:rPr>
              <w:t>发、销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售</w:t>
            </w:r>
          </w:p>
        </w:tc>
        <w:tc>
          <w:tcPr>
            <w:tcW w:w="88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82"/>
              <w:jc w:val="right"/>
              <w:rPr>
                <w:rFonts w:ascii="Arial Narrow" w:hAnsi="Arial Narrow" w:cs="Arial Narrow" w:eastAsia="Arial Narrow" w:hint="default"/>
                <w:sz w:val="21"/>
                <w:szCs w:val="21"/>
              </w:rPr>
            </w:pPr>
            <w:r>
              <w:rPr>
                <w:rFonts w:ascii="Arial Narrow"/>
                <w:spacing w:val="-1"/>
                <w:sz w:val="21"/>
              </w:rPr>
              <w:t>500.00</w:t>
            </w:r>
            <w:r>
              <w:rPr>
                <w:rFonts w:ascii="Arial Narrow"/>
                <w:sz w:val="21"/>
              </w:rPr>
            </w:r>
          </w:p>
        </w:tc>
        <w:tc>
          <w:tcPr>
            <w:tcW w:w="91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39"/>
              <w:jc w:val="right"/>
              <w:rPr>
                <w:rFonts w:ascii="Arial Narrow" w:hAnsi="Arial Narrow" w:cs="Arial Narrow" w:eastAsia="Arial Narrow" w:hint="default"/>
                <w:sz w:val="21"/>
                <w:szCs w:val="21"/>
              </w:rPr>
            </w:pPr>
            <w:r>
              <w:rPr>
                <w:rFonts w:ascii="Arial Narrow"/>
                <w:spacing w:val="-1"/>
                <w:sz w:val="21"/>
              </w:rPr>
              <w:t>40.00</w:t>
            </w:r>
            <w:r>
              <w:rPr>
                <w:rFonts w:ascii="Arial Narrow"/>
                <w:sz w:val="21"/>
              </w:rPr>
            </w:r>
          </w:p>
        </w:tc>
        <w:tc>
          <w:tcPr>
            <w:tcW w:w="118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65"/>
              <w:jc w:val="right"/>
              <w:rPr>
                <w:rFonts w:ascii="Arial Narrow" w:hAnsi="Arial Narrow" w:cs="Arial Narrow" w:eastAsia="Arial Narrow" w:hint="default"/>
                <w:sz w:val="21"/>
                <w:szCs w:val="21"/>
              </w:rPr>
            </w:pPr>
            <w:r>
              <w:rPr>
                <w:rFonts w:ascii="Arial Narrow"/>
                <w:spacing w:val="-1"/>
                <w:sz w:val="21"/>
              </w:rPr>
              <w:t>40.00</w:t>
            </w:r>
            <w:r>
              <w:rPr>
                <w:rFonts w:ascii="Arial Narrow"/>
                <w:sz w:val="21"/>
              </w:rPr>
            </w:r>
          </w:p>
        </w:tc>
        <w:tc>
          <w:tcPr>
            <w:tcW w:w="473" w:type="dxa"/>
            <w:tcBorders>
              <w:top w:val="nil" w:sz="6" w:space="0" w:color="auto"/>
              <w:left w:val="nil" w:sz="6" w:space="0" w:color="auto"/>
              <w:bottom w:val="single" w:sz="8" w:space="0" w:color="000000"/>
              <w:right w:val="nil" w:sz="6" w:space="0" w:color="auto"/>
            </w:tcBorders>
          </w:tcPr>
          <w:p>
            <w:pPr>
              <w:pStyle w:val="TableParagraph"/>
              <w:spacing w:line="237" w:lineRule="auto" w:before="105"/>
              <w:ind w:left="175" w:right="84"/>
              <w:jc w:val="both"/>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w w:val="100"/>
                <w:sz w:val="21"/>
                <w:szCs w:val="21"/>
              </w:rPr>
              <w:t> </w:t>
            </w:r>
            <w:r>
              <w:rPr>
                <w:rFonts w:ascii="宋体" w:hAnsi="宋体" w:cs="宋体" w:eastAsia="宋体" w:hint="default"/>
                <w:sz w:val="21"/>
                <w:szCs w:val="21"/>
              </w:rPr>
              <w:t>大</w:t>
            </w:r>
            <w:r>
              <w:rPr>
                <w:rFonts w:ascii="宋体" w:hAnsi="宋体" w:cs="宋体" w:eastAsia="宋体" w:hint="default"/>
                <w:w w:val="100"/>
                <w:sz w:val="21"/>
                <w:szCs w:val="21"/>
              </w:rPr>
              <w:t> </w:t>
            </w:r>
            <w:r>
              <w:rPr>
                <w:rFonts w:ascii="宋体" w:hAnsi="宋体" w:cs="宋体" w:eastAsia="宋体" w:hint="default"/>
                <w:sz w:val="21"/>
                <w:szCs w:val="21"/>
              </w:rPr>
              <w:t>影</w:t>
            </w:r>
            <w:r>
              <w:rPr>
                <w:rFonts w:ascii="宋体" w:hAnsi="宋体" w:cs="宋体" w:eastAsia="宋体" w:hint="default"/>
                <w:w w:val="100"/>
                <w:sz w:val="21"/>
                <w:szCs w:val="21"/>
              </w:rPr>
              <w:t> </w:t>
            </w:r>
            <w:r>
              <w:rPr>
                <w:rFonts w:ascii="宋体" w:hAnsi="宋体" w:cs="宋体" w:eastAsia="宋体" w:hint="default"/>
                <w:sz w:val="21"/>
                <w:szCs w:val="21"/>
              </w:rPr>
              <w:t>响</w:t>
            </w:r>
          </w:p>
        </w:tc>
        <w:tc>
          <w:tcPr>
            <w:tcW w:w="121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76143898-X</w:t>
            </w:r>
          </w:p>
        </w:tc>
      </w:tr>
    </w:tbl>
    <w:p>
      <w:pPr>
        <w:pStyle w:val="BodyText"/>
        <w:spacing w:line="240" w:lineRule="auto" w:before="79"/>
        <w:ind w:left="142" w:right="0"/>
        <w:jc w:val="left"/>
      </w:pPr>
      <w:r>
        <w:rPr>
          <w:rFonts w:ascii="Arial Narrow" w:hAnsi="Arial Narrow" w:cs="Arial Narrow" w:eastAsia="Arial Narrow" w:hint="default"/>
        </w:rPr>
        <w:t>4</w:t>
      </w:r>
      <w:r>
        <w:rPr/>
        <w:t>、本公司的其他关联方情况</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4352"/>
        <w:gridCol w:w="2755"/>
        <w:gridCol w:w="1982"/>
      </w:tblGrid>
      <w:tr>
        <w:trPr>
          <w:trHeight w:val="391" w:hRule="exact"/>
        </w:trPr>
        <w:tc>
          <w:tcPr>
            <w:tcW w:w="435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5"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755"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604"/>
              <w:jc w:val="right"/>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98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r>
      <w:tr>
        <w:trPr>
          <w:trHeight w:val="397" w:hRule="exact"/>
        </w:trPr>
        <w:tc>
          <w:tcPr>
            <w:tcW w:w="4352"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2755"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608"/>
              <w:jc w:val="right"/>
              <w:rPr>
                <w:rFonts w:ascii="宋体" w:hAnsi="宋体" w:cs="宋体" w:eastAsia="宋体" w:hint="default"/>
                <w:sz w:val="21"/>
                <w:szCs w:val="21"/>
              </w:rPr>
            </w:pPr>
            <w:r>
              <w:rPr>
                <w:rFonts w:ascii="宋体" w:hAnsi="宋体" w:cs="宋体" w:eastAsia="宋体" w:hint="default"/>
                <w:spacing w:val="-1"/>
                <w:sz w:val="21"/>
                <w:szCs w:val="21"/>
              </w:rPr>
              <w:t>本公司之股东</w:t>
            </w:r>
          </w:p>
        </w:tc>
        <w:tc>
          <w:tcPr>
            <w:tcW w:w="1982"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3"/>
              <w:jc w:val="right"/>
              <w:rPr>
                <w:rFonts w:ascii="Arial Narrow" w:hAnsi="Arial Narrow" w:cs="Arial Narrow" w:eastAsia="Arial Narrow" w:hint="default"/>
                <w:sz w:val="21"/>
                <w:szCs w:val="21"/>
              </w:rPr>
            </w:pPr>
            <w:r>
              <w:rPr>
                <w:rFonts w:ascii="Arial Narrow"/>
                <w:spacing w:val="-2"/>
                <w:sz w:val="21"/>
              </w:rPr>
              <w:t>40001158-5</w:t>
            </w:r>
          </w:p>
        </w:tc>
      </w:tr>
      <w:tr>
        <w:trPr>
          <w:trHeight w:val="403" w:hRule="exact"/>
        </w:trPr>
        <w:tc>
          <w:tcPr>
            <w:tcW w:w="4352"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2755"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608"/>
              <w:jc w:val="right"/>
              <w:rPr>
                <w:rFonts w:ascii="宋体" w:hAnsi="宋体" w:cs="宋体" w:eastAsia="宋体" w:hint="default"/>
                <w:sz w:val="21"/>
                <w:szCs w:val="21"/>
              </w:rPr>
            </w:pPr>
            <w:r>
              <w:rPr>
                <w:rFonts w:ascii="宋体" w:hAnsi="宋体" w:cs="宋体" w:eastAsia="宋体" w:hint="default"/>
                <w:spacing w:val="-1"/>
                <w:sz w:val="21"/>
                <w:szCs w:val="21"/>
              </w:rPr>
              <w:t>关键管理人员</w:t>
            </w:r>
          </w:p>
        </w:tc>
        <w:tc>
          <w:tcPr>
            <w:tcW w:w="1982" w:type="dxa"/>
            <w:tcBorders>
              <w:top w:val="nil" w:sz="6" w:space="0" w:color="auto"/>
              <w:left w:val="nil" w:sz="6" w:space="0" w:color="auto"/>
              <w:bottom w:val="single" w:sz="8" w:space="0" w:color="000000"/>
              <w:right w:val="nil" w:sz="6" w:space="0" w:color="auto"/>
            </w:tcBorders>
          </w:tcPr>
          <w:p>
            <w:pPr>
              <w:pStyle w:val="TableParagraph"/>
              <w:spacing w:line="240" w:lineRule="auto" w:before="69"/>
              <w:ind w:right="108"/>
              <w:jc w:val="right"/>
              <w:rPr>
                <w:rFonts w:ascii="Arial Narrow" w:hAnsi="Arial Narrow" w:cs="Arial Narrow" w:eastAsia="Arial Narrow" w:hint="default"/>
                <w:sz w:val="21"/>
                <w:szCs w:val="21"/>
              </w:rPr>
            </w:pPr>
            <w:r>
              <w:rPr>
                <w:rFonts w:ascii="Arial Narrow"/>
                <w:w w:val="100"/>
                <w:sz w:val="21"/>
              </w:rPr>
              <w:t>-</w:t>
            </w:r>
          </w:p>
        </w:tc>
      </w:tr>
    </w:tbl>
    <w:p>
      <w:pPr>
        <w:pStyle w:val="BodyText"/>
        <w:spacing w:line="240" w:lineRule="auto" w:before="79"/>
        <w:ind w:left="142" w:right="0"/>
        <w:jc w:val="left"/>
      </w:pPr>
      <w:r>
        <w:rPr>
          <w:rFonts w:ascii="Arial Narrow" w:hAnsi="Arial Narrow" w:cs="Arial Narrow" w:eastAsia="Arial Narrow" w:hint="default"/>
        </w:rPr>
        <w:t>5</w:t>
      </w:r>
      <w:r>
        <w:rPr/>
        <w:t>、关联交易情况</w:t>
      </w:r>
    </w:p>
    <w:p>
      <w:pPr>
        <w:pStyle w:val="BodyText"/>
        <w:spacing w:line="240" w:lineRule="auto" w:before="197"/>
        <w:ind w:left="559" w:right="0"/>
        <w:jc w:val="left"/>
      </w:pPr>
      <w:r>
        <w:rPr/>
        <w:t>（</w:t>
      </w:r>
      <w:r>
        <w:rPr>
          <w:rFonts w:ascii="Arial Narrow" w:hAnsi="Arial Narrow" w:cs="Arial Narrow" w:eastAsia="Arial Narrow" w:hint="default"/>
        </w:rPr>
        <w:t>1</w:t>
      </w:r>
      <w:r>
        <w:rPr/>
        <w:t>）关联采购与销售情况</w:t>
      </w:r>
    </w:p>
    <w:p>
      <w:pPr>
        <w:pStyle w:val="BodyText"/>
        <w:spacing w:line="240" w:lineRule="auto" w:before="194"/>
        <w:ind w:left="518" w:right="0"/>
        <w:jc w:val="left"/>
      </w:pPr>
      <w:r>
        <w:rPr>
          <w:rFonts w:ascii="Arial Narrow" w:hAnsi="Arial Narrow" w:cs="Arial Narrow" w:eastAsia="Arial Narrow" w:hint="default"/>
        </w:rPr>
        <w:t>A</w:t>
      </w:r>
      <w:r>
        <w:rPr/>
        <w:t>、采购商品、接受劳务情况表</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1155"/>
        <w:gridCol w:w="1157"/>
        <w:gridCol w:w="1303"/>
        <w:gridCol w:w="1493"/>
        <w:gridCol w:w="1285"/>
        <w:gridCol w:w="1446"/>
        <w:gridCol w:w="1234"/>
      </w:tblGrid>
      <w:tr>
        <w:trPr>
          <w:trHeight w:val="349" w:hRule="exact"/>
        </w:trPr>
        <w:tc>
          <w:tcPr>
            <w:tcW w:w="1155" w:type="dxa"/>
            <w:tcBorders>
              <w:top w:val="single" w:sz="8" w:space="0" w:color="000000"/>
              <w:left w:val="nil" w:sz="6" w:space="0" w:color="auto"/>
              <w:bottom w:val="nil" w:sz="6" w:space="0" w:color="auto"/>
              <w:right w:val="nil" w:sz="6" w:space="0" w:color="auto"/>
            </w:tcBorders>
          </w:tcPr>
          <w:p>
            <w:pPr/>
          </w:p>
        </w:tc>
        <w:tc>
          <w:tcPr>
            <w:tcW w:w="1157" w:type="dxa"/>
            <w:tcBorders>
              <w:top w:val="single" w:sz="8" w:space="0" w:color="000000"/>
              <w:left w:val="nil" w:sz="6" w:space="0" w:color="auto"/>
              <w:bottom w:val="nil" w:sz="6" w:space="0" w:color="auto"/>
              <w:right w:val="nil" w:sz="6" w:space="0" w:color="auto"/>
            </w:tcBorders>
          </w:tcPr>
          <w:p>
            <w:pPr/>
          </w:p>
        </w:tc>
        <w:tc>
          <w:tcPr>
            <w:tcW w:w="1303" w:type="dxa"/>
            <w:vMerge w:val="restart"/>
            <w:tcBorders>
              <w:top w:val="single" w:sz="8" w:space="0" w:color="000000"/>
              <w:left w:val="nil" w:sz="6" w:space="0" w:color="auto"/>
              <w:right w:val="nil" w:sz="6" w:space="0" w:color="auto"/>
            </w:tcBorders>
          </w:tcPr>
          <w:p>
            <w:pPr>
              <w:pStyle w:val="TableParagraph"/>
              <w:spacing w:line="237" w:lineRule="auto" w:before="172"/>
              <w:ind w:left="107" w:right="101"/>
              <w:jc w:val="both"/>
              <w:rPr>
                <w:rFonts w:ascii="宋体" w:hAnsi="宋体" w:cs="宋体" w:eastAsia="宋体" w:hint="default"/>
                <w:sz w:val="21"/>
                <w:szCs w:val="21"/>
              </w:rPr>
            </w:pPr>
            <w:r>
              <w:rPr>
                <w:rFonts w:ascii="宋体" w:hAnsi="宋体" w:cs="宋体" w:eastAsia="宋体" w:hint="default"/>
                <w:b/>
                <w:bCs/>
                <w:spacing w:val="6"/>
                <w:sz w:val="21"/>
                <w:szCs w:val="21"/>
              </w:rPr>
              <w:t>关联交易定</w:t>
            </w:r>
            <w:r>
              <w:rPr>
                <w:rFonts w:ascii="宋体" w:hAnsi="宋体" w:cs="宋体" w:eastAsia="宋体" w:hint="default"/>
                <w:b/>
                <w:bCs/>
                <w:spacing w:val="-99"/>
                <w:sz w:val="21"/>
                <w:szCs w:val="21"/>
              </w:rPr>
              <w:t> </w:t>
            </w:r>
            <w:r>
              <w:rPr>
                <w:rFonts w:ascii="宋体" w:hAnsi="宋体" w:cs="宋体" w:eastAsia="宋体" w:hint="default"/>
                <w:b/>
                <w:bCs/>
                <w:spacing w:val="6"/>
                <w:sz w:val="21"/>
                <w:szCs w:val="21"/>
              </w:rPr>
              <w:t>价方式及决</w:t>
            </w:r>
            <w:r>
              <w:rPr>
                <w:rFonts w:ascii="宋体" w:hAnsi="宋体" w:cs="宋体" w:eastAsia="宋体" w:hint="default"/>
                <w:b/>
                <w:bCs/>
                <w:spacing w:val="-99"/>
                <w:sz w:val="21"/>
                <w:szCs w:val="21"/>
              </w:rPr>
              <w:t> </w:t>
            </w:r>
            <w:r>
              <w:rPr>
                <w:rFonts w:ascii="宋体" w:hAnsi="宋体" w:cs="宋体" w:eastAsia="宋体" w:hint="default"/>
                <w:b/>
                <w:bCs/>
                <w:sz w:val="21"/>
                <w:szCs w:val="21"/>
              </w:rPr>
              <w:t>策程序</w:t>
            </w:r>
            <w:r>
              <w:rPr>
                <w:rFonts w:ascii="宋体" w:hAnsi="宋体" w:cs="宋体" w:eastAsia="宋体" w:hint="default"/>
                <w:sz w:val="21"/>
                <w:szCs w:val="21"/>
              </w:rPr>
            </w:r>
          </w:p>
        </w:tc>
        <w:tc>
          <w:tcPr>
            <w:tcW w:w="2778"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33"/>
              <w:ind w:left="85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681"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33"/>
              <w:ind w:left="81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73"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157" w:type="dxa"/>
            <w:vMerge w:val="restart"/>
            <w:tcBorders>
              <w:top w:val="nil" w:sz="6" w:space="0" w:color="auto"/>
              <w:left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关</w:t>
            </w:r>
            <w:r>
              <w:rPr>
                <w:rFonts w:ascii="宋体" w:hAnsi="宋体" w:cs="宋体" w:eastAsia="宋体" w:hint="default"/>
                <w:b/>
                <w:bCs/>
                <w:spacing w:val="-73"/>
                <w:sz w:val="21"/>
                <w:szCs w:val="21"/>
              </w:rPr>
              <w:t> </w:t>
            </w:r>
            <w:r>
              <w:rPr>
                <w:rFonts w:ascii="宋体" w:hAnsi="宋体" w:cs="宋体" w:eastAsia="宋体" w:hint="default"/>
                <w:b/>
                <w:bCs/>
                <w:sz w:val="21"/>
                <w:szCs w:val="21"/>
              </w:rPr>
              <w:t>联</w:t>
            </w:r>
            <w:r>
              <w:rPr>
                <w:rFonts w:ascii="宋体" w:hAnsi="宋体" w:cs="宋体" w:eastAsia="宋体" w:hint="default"/>
                <w:b/>
                <w:bCs/>
                <w:spacing w:val="-75"/>
                <w:sz w:val="21"/>
                <w:szCs w:val="21"/>
              </w:rPr>
              <w:t> </w:t>
            </w:r>
            <w:r>
              <w:rPr>
                <w:rFonts w:ascii="宋体" w:hAnsi="宋体" w:cs="宋体" w:eastAsia="宋体" w:hint="default"/>
                <w:b/>
                <w:bCs/>
                <w:sz w:val="21"/>
                <w:szCs w:val="21"/>
              </w:rPr>
              <w:t>交</w:t>
            </w:r>
            <w:r>
              <w:rPr>
                <w:rFonts w:ascii="宋体" w:hAnsi="宋体" w:cs="宋体" w:eastAsia="宋体" w:hint="default"/>
                <w:b/>
                <w:bCs/>
                <w:spacing w:val="-75"/>
                <w:sz w:val="21"/>
                <w:szCs w:val="21"/>
              </w:rPr>
              <w:t> </w:t>
            </w:r>
            <w:r>
              <w:rPr>
                <w:rFonts w:ascii="宋体" w:hAnsi="宋体" w:cs="宋体" w:eastAsia="宋体" w:hint="default"/>
                <w:b/>
                <w:bCs/>
                <w:sz w:val="21"/>
                <w:szCs w:val="21"/>
              </w:rPr>
              <w:t>易</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内容</w:t>
            </w:r>
            <w:r>
              <w:rPr>
                <w:rFonts w:ascii="宋体" w:hAnsi="宋体" w:cs="宋体" w:eastAsia="宋体" w:hint="default"/>
                <w:sz w:val="21"/>
                <w:szCs w:val="21"/>
              </w:rPr>
            </w:r>
          </w:p>
        </w:tc>
        <w:tc>
          <w:tcPr>
            <w:tcW w:w="1303" w:type="dxa"/>
            <w:vMerge/>
            <w:tcBorders>
              <w:left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285" w:type="dxa"/>
            <w:vMerge w:val="restart"/>
            <w:tcBorders>
              <w:top w:val="nil" w:sz="6" w:space="0" w:color="auto"/>
              <w:left w:val="nil" w:sz="6" w:space="0" w:color="auto"/>
              <w:right w:val="nil" w:sz="6" w:space="0" w:color="auto"/>
            </w:tcBorders>
          </w:tcPr>
          <w:p>
            <w:pPr>
              <w:pStyle w:val="TableParagraph"/>
              <w:spacing w:line="240" w:lineRule="auto" w:before="32"/>
              <w:ind w:left="333" w:right="104" w:hanging="212"/>
              <w:jc w:val="left"/>
              <w:rPr>
                <w:rFonts w:ascii="宋体" w:hAnsi="宋体" w:cs="宋体" w:eastAsia="宋体" w:hint="default"/>
                <w:sz w:val="21"/>
                <w:szCs w:val="21"/>
              </w:rPr>
            </w:pPr>
            <w:r>
              <w:rPr>
                <w:rFonts w:ascii="宋体" w:hAnsi="宋体" w:cs="宋体" w:eastAsia="宋体" w:hint="default"/>
                <w:b/>
                <w:bCs/>
                <w:sz w:val="21"/>
                <w:szCs w:val="21"/>
              </w:rPr>
              <w:t>占同类交易</w:t>
            </w:r>
            <w:r>
              <w:rPr>
                <w:rFonts w:ascii="宋体" w:hAnsi="宋体" w:cs="宋体" w:eastAsia="宋体" w:hint="default"/>
                <w:b/>
                <w:bCs/>
                <w:w w:val="100"/>
                <w:sz w:val="21"/>
                <w:szCs w:val="21"/>
              </w:rPr>
              <w:t> </w:t>
            </w:r>
            <w:r>
              <w:rPr>
                <w:rFonts w:ascii="宋体" w:hAnsi="宋体" w:cs="宋体" w:eastAsia="宋体" w:hint="default"/>
                <w:b/>
                <w:bCs/>
                <w:sz w:val="21"/>
                <w:szCs w:val="21"/>
              </w:rPr>
              <w:t>金额的比</w:t>
            </w:r>
            <w:r>
              <w:rPr>
                <w:rFonts w:ascii="宋体" w:hAnsi="宋体" w:cs="宋体" w:eastAsia="宋体" w:hint="default"/>
                <w:sz w:val="21"/>
                <w:szCs w:val="21"/>
              </w:rPr>
            </w:r>
          </w:p>
          <w:p>
            <w:pPr>
              <w:pStyle w:val="TableParagraph"/>
              <w:spacing w:line="271" w:lineRule="exact"/>
              <w:ind w:left="753" w:right="0"/>
              <w:jc w:val="lef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sz w:val="21"/>
                <w:szCs w:val="21"/>
              </w:rPr>
            </w:r>
          </w:p>
        </w:tc>
        <w:tc>
          <w:tcPr>
            <w:tcW w:w="1446" w:type="dxa"/>
            <w:tcBorders>
              <w:top w:val="nil" w:sz="6" w:space="0" w:color="auto"/>
              <w:left w:val="nil" w:sz="6" w:space="0" w:color="auto"/>
              <w:bottom w:val="nil" w:sz="6" w:space="0" w:color="auto"/>
              <w:right w:val="nil" w:sz="6" w:space="0" w:color="auto"/>
            </w:tcBorders>
          </w:tcPr>
          <w:p>
            <w:pPr/>
          </w:p>
        </w:tc>
        <w:tc>
          <w:tcPr>
            <w:tcW w:w="1234" w:type="dxa"/>
            <w:vMerge w:val="restart"/>
            <w:tcBorders>
              <w:top w:val="nil" w:sz="6" w:space="0" w:color="auto"/>
              <w:left w:val="nil" w:sz="6" w:space="0" w:color="auto"/>
              <w:right w:val="nil" w:sz="6" w:space="0" w:color="auto"/>
            </w:tcBorders>
          </w:tcPr>
          <w:p>
            <w:pPr>
              <w:pStyle w:val="TableParagraph"/>
              <w:spacing w:line="240" w:lineRule="auto" w:before="32"/>
              <w:ind w:left="283" w:right="104" w:hanging="212"/>
              <w:jc w:val="left"/>
              <w:rPr>
                <w:rFonts w:ascii="宋体" w:hAnsi="宋体" w:cs="宋体" w:eastAsia="宋体" w:hint="default"/>
                <w:sz w:val="21"/>
                <w:szCs w:val="21"/>
              </w:rPr>
            </w:pPr>
            <w:r>
              <w:rPr>
                <w:rFonts w:ascii="宋体" w:hAnsi="宋体" w:cs="宋体" w:eastAsia="宋体" w:hint="default"/>
                <w:b/>
                <w:bCs/>
                <w:sz w:val="21"/>
                <w:szCs w:val="21"/>
              </w:rPr>
              <w:t>占同类交易</w:t>
            </w:r>
            <w:r>
              <w:rPr>
                <w:rFonts w:ascii="宋体" w:hAnsi="宋体" w:cs="宋体" w:eastAsia="宋体" w:hint="default"/>
                <w:b/>
                <w:bCs/>
                <w:w w:val="100"/>
                <w:sz w:val="21"/>
                <w:szCs w:val="21"/>
              </w:rPr>
              <w:t> </w:t>
            </w:r>
            <w:r>
              <w:rPr>
                <w:rFonts w:ascii="宋体" w:hAnsi="宋体" w:cs="宋体" w:eastAsia="宋体" w:hint="default"/>
                <w:b/>
                <w:bCs/>
                <w:sz w:val="21"/>
                <w:szCs w:val="21"/>
              </w:rPr>
              <w:t>金额的比</w:t>
            </w:r>
            <w:r>
              <w:rPr>
                <w:rFonts w:ascii="宋体" w:hAnsi="宋体" w:cs="宋体" w:eastAsia="宋体" w:hint="default"/>
                <w:sz w:val="21"/>
                <w:szCs w:val="21"/>
              </w:rPr>
            </w:r>
          </w:p>
          <w:p>
            <w:pPr>
              <w:pStyle w:val="TableParagraph"/>
              <w:spacing w:line="271" w:lineRule="exact"/>
              <w:ind w:left="703" w:right="0"/>
              <w:jc w:val="left"/>
              <w:rPr>
                <w:rFonts w:ascii="宋体" w:hAnsi="宋体" w:cs="宋体" w:eastAsia="宋体" w:hint="default"/>
                <w:sz w:val="21"/>
                <w:szCs w:val="21"/>
              </w:rPr>
            </w:pPr>
            <w:r>
              <w:rPr>
                <w:rFonts w:ascii="宋体" w:hAnsi="宋体" w:cs="宋体" w:eastAsia="宋体" w:hint="default"/>
                <w:b/>
                <w:bCs/>
                <w:sz w:val="21"/>
                <w:szCs w:val="21"/>
              </w:rPr>
              <w:t>例％</w:t>
            </w:r>
            <w:r>
              <w:rPr>
                <w:rFonts w:ascii="宋体" w:hAnsi="宋体" w:cs="宋体" w:eastAsia="宋体" w:hint="default"/>
                <w:sz w:val="21"/>
                <w:szCs w:val="21"/>
              </w:rPr>
            </w:r>
          </w:p>
        </w:tc>
      </w:tr>
      <w:tr>
        <w:trPr>
          <w:trHeight w:val="516" w:hRule="exact"/>
        </w:trPr>
        <w:tc>
          <w:tcPr>
            <w:tcW w:w="1155" w:type="dxa"/>
            <w:tcBorders>
              <w:top w:val="nil" w:sz="6" w:space="0" w:color="auto"/>
              <w:left w:val="nil" w:sz="6" w:space="0" w:color="auto"/>
              <w:bottom w:val="single" w:sz="4" w:space="0" w:color="000000"/>
              <w:right w:val="nil" w:sz="6" w:space="0" w:color="auto"/>
            </w:tcBorders>
          </w:tcPr>
          <w:p>
            <w:pPr/>
          </w:p>
        </w:tc>
        <w:tc>
          <w:tcPr>
            <w:tcW w:w="1157" w:type="dxa"/>
            <w:vMerge/>
            <w:tcBorders>
              <w:left w:val="nil" w:sz="6" w:space="0" w:color="auto"/>
              <w:bottom w:val="single" w:sz="4" w:space="0" w:color="000000"/>
              <w:right w:val="nil" w:sz="6" w:space="0" w:color="auto"/>
            </w:tcBorders>
          </w:tcPr>
          <w:p>
            <w:pPr/>
          </w:p>
        </w:tc>
        <w:tc>
          <w:tcPr>
            <w:tcW w:w="1303" w:type="dxa"/>
            <w:vMerge/>
            <w:tcBorders>
              <w:left w:val="nil" w:sz="6" w:space="0" w:color="auto"/>
              <w:bottom w:val="single" w:sz="4" w:space="0" w:color="000000"/>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Style w:val="TableParagraph"/>
              <w:spacing w:line="207"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c>
          <w:tcPr>
            <w:tcW w:w="1285" w:type="dxa"/>
            <w:vMerge/>
            <w:tcBorders>
              <w:left w:val="nil" w:sz="6" w:space="0" w:color="auto"/>
              <w:bottom w:val="single" w:sz="4" w:space="0" w:color="000000"/>
              <w:right w:val="nil" w:sz="6" w:space="0" w:color="auto"/>
            </w:tcBorders>
          </w:tcPr>
          <w:p>
            <w:pPr/>
          </w:p>
        </w:tc>
        <w:tc>
          <w:tcPr>
            <w:tcW w:w="1446" w:type="dxa"/>
            <w:tcBorders>
              <w:top w:val="nil" w:sz="6" w:space="0" w:color="auto"/>
              <w:left w:val="nil" w:sz="6" w:space="0" w:color="auto"/>
              <w:bottom w:val="single" w:sz="4" w:space="0" w:color="000000"/>
              <w:right w:val="nil" w:sz="6" w:space="0" w:color="auto"/>
            </w:tcBorders>
          </w:tcPr>
          <w:p>
            <w:pPr>
              <w:pStyle w:val="TableParagraph"/>
              <w:spacing w:line="207" w:lineRule="exact"/>
              <w:ind w:right="70"/>
              <w:jc w:val="righ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c>
          <w:tcPr>
            <w:tcW w:w="1234" w:type="dxa"/>
            <w:vMerge/>
            <w:tcBorders>
              <w:left w:val="nil" w:sz="6" w:space="0" w:color="auto"/>
              <w:bottom w:val="single" w:sz="4" w:space="0" w:color="000000"/>
              <w:right w:val="nil" w:sz="6" w:space="0" w:color="auto"/>
            </w:tcBorders>
          </w:tcPr>
          <w:p>
            <w:pPr/>
          </w:p>
        </w:tc>
      </w:tr>
      <w:tr>
        <w:trPr>
          <w:trHeight w:val="821" w:hRule="exact"/>
        </w:trPr>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r>
              <w:rPr>
                <w:rFonts w:ascii="宋体" w:hAnsi="宋体" w:cs="宋体" w:eastAsia="宋体" w:hint="default"/>
                <w:spacing w:val="-73"/>
                <w:sz w:val="21"/>
                <w:szCs w:val="21"/>
              </w:rPr>
              <w:t> </w:t>
            </w:r>
            <w:r>
              <w:rPr>
                <w:rFonts w:ascii="宋体" w:hAnsi="宋体" w:cs="宋体" w:eastAsia="宋体" w:hint="default"/>
                <w:sz w:val="21"/>
                <w:szCs w:val="21"/>
              </w:rPr>
              <w:t>中</w:t>
            </w:r>
            <w:r>
              <w:rPr>
                <w:rFonts w:ascii="宋体" w:hAnsi="宋体" w:cs="宋体" w:eastAsia="宋体" w:hint="default"/>
                <w:spacing w:val="-73"/>
                <w:sz w:val="21"/>
                <w:szCs w:val="21"/>
              </w:rPr>
              <w:t> </w:t>
            </w:r>
            <w:r>
              <w:rPr>
                <w:rFonts w:ascii="宋体" w:hAnsi="宋体" w:cs="宋体" w:eastAsia="宋体" w:hint="default"/>
                <w:sz w:val="21"/>
                <w:szCs w:val="21"/>
              </w:rPr>
              <w:t>科</w:t>
            </w:r>
          </w:p>
          <w:p>
            <w:pPr>
              <w:pStyle w:val="TableParagraph"/>
              <w:spacing w:line="240" w:lineRule="auto"/>
              <w:ind w:left="108" w:right="105"/>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城</w:t>
            </w:r>
            <w:r>
              <w:rPr>
                <w:rFonts w:ascii="宋体" w:hAnsi="宋体" w:cs="宋体" w:eastAsia="宋体" w:hint="default"/>
                <w:spacing w:val="-73"/>
                <w:sz w:val="21"/>
                <w:szCs w:val="21"/>
              </w:rPr>
              <w:t> </w:t>
            </w:r>
            <w:r>
              <w:rPr>
                <w:rFonts w:ascii="宋体" w:hAnsi="宋体" w:cs="宋体" w:eastAsia="宋体" w:hint="default"/>
                <w:sz w:val="21"/>
                <w:szCs w:val="21"/>
              </w:rPr>
              <w:t>软</w:t>
            </w:r>
            <w:r>
              <w:rPr>
                <w:rFonts w:ascii="宋体" w:hAnsi="宋体" w:cs="宋体" w:eastAsia="宋体" w:hint="default"/>
                <w:spacing w:val="-73"/>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72" w:lineRule="exact" w:before="131"/>
              <w:ind w:left="107" w:right="105"/>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1303" w:type="dxa"/>
            <w:tcBorders>
              <w:top w:val="single" w:sz="4" w:space="0" w:color="000000"/>
              <w:left w:val="nil" w:sz="6" w:space="0" w:color="auto"/>
              <w:bottom w:val="nil" w:sz="6" w:space="0" w:color="auto"/>
              <w:right w:val="nil" w:sz="6" w:space="0" w:color="auto"/>
            </w:tcBorders>
          </w:tcPr>
          <w:p>
            <w:pPr>
              <w:pStyle w:val="TableParagraph"/>
              <w:spacing w:line="272" w:lineRule="exact" w:before="131"/>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751" w:right="0"/>
              <w:jc w:val="left"/>
              <w:rPr>
                <w:rFonts w:ascii="Arial Narrow" w:hAnsi="Arial Narrow" w:cs="Arial Narrow" w:eastAsia="Arial Narrow" w:hint="default"/>
                <w:sz w:val="21"/>
                <w:szCs w:val="21"/>
              </w:rPr>
            </w:pPr>
            <w:r>
              <w:rPr>
                <w:rFonts w:ascii="Arial Narrow"/>
                <w:sz w:val="21"/>
              </w:rPr>
              <w:t>186.19</w:t>
            </w:r>
          </w:p>
        </w:tc>
        <w:tc>
          <w:tcPr>
            <w:tcW w:w="128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1"/>
                <w:sz w:val="21"/>
              </w:rPr>
              <w:t>2.28</w:t>
            </w:r>
            <w:r>
              <w:rPr>
                <w:rFonts w:ascii="Arial Narrow"/>
                <w:sz w:val="21"/>
              </w:rPr>
            </w:r>
          </w:p>
        </w:tc>
        <w:tc>
          <w:tcPr>
            <w:tcW w:w="144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1"/>
              <w:jc w:val="right"/>
              <w:rPr>
                <w:rFonts w:ascii="Arial Narrow" w:hAnsi="Arial Narrow" w:cs="Arial Narrow" w:eastAsia="Arial Narrow" w:hint="default"/>
                <w:sz w:val="21"/>
                <w:szCs w:val="21"/>
              </w:rPr>
            </w:pPr>
            <w:r>
              <w:rPr>
                <w:rFonts w:ascii="Arial Narrow"/>
                <w:spacing w:val="-1"/>
                <w:sz w:val="21"/>
              </w:rPr>
              <w:t>138.56</w:t>
            </w:r>
            <w:r>
              <w:rPr>
                <w:rFonts w:ascii="Arial Narrow"/>
                <w:sz w:val="21"/>
              </w:rPr>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2.38</w:t>
            </w:r>
            <w:r>
              <w:rPr>
                <w:rFonts w:ascii="Arial Narrow"/>
                <w:sz w:val="21"/>
              </w:rPr>
            </w:r>
          </w:p>
        </w:tc>
      </w:tr>
      <w:tr>
        <w:trPr>
          <w:trHeight w:val="1090"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r>
              <w:rPr>
                <w:rFonts w:ascii="宋体" w:hAnsi="宋体" w:cs="宋体" w:eastAsia="宋体" w:hint="default"/>
                <w:spacing w:val="-73"/>
                <w:sz w:val="21"/>
                <w:szCs w:val="21"/>
              </w:rPr>
              <w:t> </w:t>
            </w:r>
            <w:r>
              <w:rPr>
                <w:rFonts w:ascii="宋体" w:hAnsi="宋体" w:cs="宋体" w:eastAsia="宋体" w:hint="default"/>
                <w:sz w:val="21"/>
                <w:szCs w:val="21"/>
              </w:rPr>
              <w:t>国</w:t>
            </w:r>
            <w:r>
              <w:rPr>
                <w:rFonts w:ascii="宋体" w:hAnsi="宋体" w:cs="宋体" w:eastAsia="宋体" w:hint="default"/>
                <w:spacing w:val="-73"/>
                <w:sz w:val="21"/>
                <w:szCs w:val="21"/>
              </w:rPr>
              <w:t> </w:t>
            </w:r>
            <w:r>
              <w:rPr>
                <w:rFonts w:ascii="宋体" w:hAnsi="宋体" w:cs="宋体" w:eastAsia="宋体" w:hint="default"/>
                <w:sz w:val="21"/>
                <w:szCs w:val="21"/>
              </w:rPr>
              <w:t>遥</w:t>
            </w:r>
          </w:p>
          <w:p>
            <w:pPr>
              <w:pStyle w:val="TableParagraph"/>
              <w:spacing w:line="237" w:lineRule="auto" w:before="2"/>
              <w:ind w:left="108" w:right="105"/>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1"/>
                <w:sz w:val="21"/>
                <w:szCs w:val="21"/>
              </w:rPr>
              <w:t> </w:t>
            </w:r>
            <w:r>
              <w:rPr>
                <w:rFonts w:ascii="宋体" w:hAnsi="宋体" w:cs="宋体" w:eastAsia="宋体" w:hint="default"/>
                <w:sz w:val="21"/>
                <w:szCs w:val="21"/>
              </w:rPr>
              <w:t>天</w:t>
            </w:r>
            <w:r>
              <w:rPr>
                <w:rFonts w:ascii="宋体" w:hAnsi="宋体" w:cs="宋体" w:eastAsia="宋体" w:hint="default"/>
                <w:spacing w:val="-73"/>
                <w:sz w:val="21"/>
                <w:szCs w:val="21"/>
              </w:rPr>
              <w:t> </w:t>
            </w:r>
            <w:r>
              <w:rPr>
                <w:rFonts w:ascii="宋体" w:hAnsi="宋体" w:cs="宋体" w:eastAsia="宋体" w:hint="default"/>
                <w:sz w:val="21"/>
                <w:szCs w:val="21"/>
              </w:rPr>
              <w:t>地</w:t>
            </w:r>
            <w:r>
              <w:rPr>
                <w:rFonts w:ascii="宋体" w:hAnsi="宋体" w:cs="宋体" w:eastAsia="宋体" w:hint="default"/>
                <w:spacing w:val="-73"/>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3"/>
                <w:sz w:val="21"/>
                <w:szCs w:val="21"/>
              </w:rPr>
              <w:t> </w:t>
            </w:r>
            <w:r>
              <w:rPr>
                <w:rFonts w:ascii="宋体" w:hAnsi="宋体" w:cs="宋体" w:eastAsia="宋体" w:hint="default"/>
                <w:sz w:val="21"/>
                <w:szCs w:val="21"/>
              </w:rPr>
              <w:t>术</w:t>
            </w:r>
            <w:r>
              <w:rPr>
                <w:rFonts w:ascii="宋体" w:hAnsi="宋体" w:cs="宋体" w:eastAsia="宋体" w:hint="default"/>
                <w:spacing w:val="-73"/>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7" w:right="105"/>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71"/>
                <w:sz w:val="21"/>
                <w:szCs w:val="21"/>
              </w:rPr>
              <w:t> </w:t>
            </w:r>
            <w:r>
              <w:rPr>
                <w:rFonts w:ascii="宋体" w:hAnsi="宋体" w:cs="宋体" w:eastAsia="宋体" w:hint="default"/>
                <w:sz w:val="21"/>
                <w:szCs w:val="21"/>
              </w:rPr>
              <w:t>件</w:t>
            </w:r>
            <w:r>
              <w:rPr>
                <w:rFonts w:ascii="宋体" w:hAnsi="宋体" w:cs="宋体" w:eastAsia="宋体" w:hint="default"/>
                <w:spacing w:val="-73"/>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开发</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941" w:right="0"/>
              <w:jc w:val="left"/>
              <w:rPr>
                <w:rFonts w:ascii="Arial Narrow" w:hAnsi="Arial Narrow" w:cs="Arial Narrow" w:eastAsia="Arial Narrow" w:hint="default"/>
                <w:sz w:val="21"/>
                <w:szCs w:val="21"/>
              </w:rPr>
            </w:pPr>
            <w:r>
              <w:rPr>
                <w:rFonts w:ascii="Arial Narrow"/>
                <w:sz w:val="21"/>
              </w:rPr>
              <w:t>6.85</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7"/>
              <w:jc w:val="right"/>
              <w:rPr>
                <w:rFonts w:ascii="Arial Narrow" w:hAnsi="Arial Narrow" w:cs="Arial Narrow" w:eastAsia="Arial Narrow" w:hint="default"/>
                <w:sz w:val="21"/>
                <w:szCs w:val="21"/>
              </w:rPr>
            </w:pPr>
            <w:r>
              <w:rPr>
                <w:rFonts w:ascii="Arial Narrow"/>
                <w:spacing w:val="-1"/>
                <w:sz w:val="21"/>
              </w:rPr>
              <w:t>0.08</w:t>
            </w:r>
            <w:r>
              <w:rPr>
                <w:rFonts w:ascii="Arial Narrow"/>
                <w:sz w:val="21"/>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63"/>
              <w:jc w:val="right"/>
              <w:rPr>
                <w:rFonts w:ascii="Arial Narrow" w:hAnsi="Arial Narrow" w:cs="Arial Narrow" w:eastAsia="Arial Narrow" w:hint="default"/>
                <w:sz w:val="21"/>
                <w:szCs w:val="21"/>
              </w:rPr>
            </w:pPr>
            <w:r>
              <w:rPr>
                <w:rFonts w:ascii="Arial Narrow"/>
                <w:spacing w:val="-1"/>
                <w:sz w:val="21"/>
              </w:rPr>
              <w:t>58.83</w:t>
            </w:r>
            <w:r>
              <w:rPr>
                <w:rFonts w:ascii="Arial Narrow"/>
                <w:sz w:val="21"/>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6"/>
              <w:jc w:val="right"/>
              <w:rPr>
                <w:rFonts w:ascii="Arial Narrow" w:hAnsi="Arial Narrow" w:cs="Arial Narrow" w:eastAsia="Arial Narrow" w:hint="default"/>
                <w:sz w:val="21"/>
                <w:szCs w:val="21"/>
              </w:rPr>
            </w:pPr>
            <w:r>
              <w:rPr>
                <w:rFonts w:ascii="Arial Narrow"/>
                <w:spacing w:val="-1"/>
                <w:sz w:val="21"/>
              </w:rPr>
              <w:t>0.70</w:t>
            </w:r>
            <w:r>
              <w:rPr>
                <w:rFonts w:ascii="Arial Narrow"/>
                <w:sz w:val="21"/>
              </w:rPr>
            </w:r>
          </w:p>
        </w:tc>
      </w:tr>
      <w:tr>
        <w:trPr>
          <w:trHeight w:val="1060" w:hRule="exact"/>
        </w:trPr>
        <w:tc>
          <w:tcPr>
            <w:tcW w:w="1155"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spacing w:val="-73"/>
                <w:sz w:val="21"/>
                <w:szCs w:val="21"/>
              </w:rPr>
              <w:t> </w:t>
            </w:r>
            <w:r>
              <w:rPr>
                <w:rFonts w:ascii="宋体" w:hAnsi="宋体" w:cs="宋体" w:eastAsia="宋体" w:hint="default"/>
                <w:sz w:val="21"/>
                <w:szCs w:val="21"/>
              </w:rPr>
              <w:t>学</w:t>
            </w:r>
          </w:p>
          <w:p>
            <w:pPr>
              <w:pStyle w:val="TableParagraph"/>
              <w:spacing w:line="237" w:lineRule="auto" w:before="2"/>
              <w:ind w:left="108" w:right="105"/>
              <w:jc w:val="both"/>
              <w:rPr>
                <w:rFonts w:ascii="宋体" w:hAnsi="宋体" w:cs="宋体" w:eastAsia="宋体" w:hint="default"/>
                <w:sz w:val="21"/>
                <w:szCs w:val="21"/>
              </w:rPr>
            </w:pPr>
            <w:r>
              <w:rPr>
                <w:rFonts w:ascii="宋体" w:hAnsi="宋体" w:cs="宋体" w:eastAsia="宋体" w:hint="default"/>
                <w:sz w:val="21"/>
                <w:szCs w:val="21"/>
              </w:rPr>
              <w:t>院</w:t>
            </w:r>
            <w:r>
              <w:rPr>
                <w:rFonts w:ascii="宋体" w:hAnsi="宋体" w:cs="宋体" w:eastAsia="宋体" w:hint="default"/>
                <w:spacing w:val="-71"/>
                <w:sz w:val="21"/>
                <w:szCs w:val="21"/>
              </w:rPr>
              <w:t> </w:t>
            </w:r>
            <w:r>
              <w:rPr>
                <w:rFonts w:ascii="宋体" w:hAnsi="宋体" w:cs="宋体" w:eastAsia="宋体" w:hint="default"/>
                <w:sz w:val="21"/>
                <w:szCs w:val="21"/>
              </w:rPr>
              <w:t>地</w:t>
            </w:r>
            <w:r>
              <w:rPr>
                <w:rFonts w:ascii="宋体" w:hAnsi="宋体" w:cs="宋体" w:eastAsia="宋体" w:hint="default"/>
                <w:spacing w:val="-73"/>
                <w:sz w:val="21"/>
                <w:szCs w:val="21"/>
              </w:rPr>
              <w:t> </w:t>
            </w:r>
            <w:r>
              <w:rPr>
                <w:rFonts w:ascii="宋体" w:hAnsi="宋体" w:cs="宋体" w:eastAsia="宋体" w:hint="default"/>
                <w:sz w:val="21"/>
                <w:szCs w:val="21"/>
              </w:rPr>
              <w:t>理</w:t>
            </w:r>
            <w:r>
              <w:rPr>
                <w:rFonts w:ascii="宋体" w:hAnsi="宋体" w:cs="宋体" w:eastAsia="宋体" w:hint="default"/>
                <w:spacing w:val="-73"/>
                <w:sz w:val="21"/>
                <w:szCs w:val="21"/>
              </w:rPr>
              <w:t> </w:t>
            </w:r>
            <w:r>
              <w:rPr>
                <w:rFonts w:ascii="宋体" w:hAnsi="宋体" w:cs="宋体" w:eastAsia="宋体" w:hint="default"/>
                <w:sz w:val="21"/>
                <w:szCs w:val="21"/>
              </w:rPr>
              <w:t>科</w:t>
            </w:r>
            <w:r>
              <w:rPr>
                <w:rFonts w:ascii="宋体" w:hAnsi="宋体" w:cs="宋体" w:eastAsia="宋体" w:hint="default"/>
                <w:w w:val="100"/>
                <w:sz w:val="21"/>
                <w:szCs w:val="21"/>
              </w:rPr>
              <w:t> </w:t>
            </w:r>
            <w:r>
              <w:rPr>
                <w:rFonts w:ascii="宋体" w:hAnsi="宋体" w:cs="宋体" w:eastAsia="宋体" w:hint="default"/>
                <w:sz w:val="21"/>
                <w:szCs w:val="21"/>
              </w:rPr>
              <w:t>学</w:t>
            </w:r>
            <w:r>
              <w:rPr>
                <w:rFonts w:ascii="宋体" w:hAnsi="宋体" w:cs="宋体" w:eastAsia="宋体" w:hint="default"/>
                <w:spacing w:val="-71"/>
                <w:sz w:val="21"/>
                <w:szCs w:val="21"/>
              </w:rPr>
              <w:t> </w:t>
            </w:r>
            <w:r>
              <w:rPr>
                <w:rFonts w:ascii="宋体" w:hAnsi="宋体" w:cs="宋体" w:eastAsia="宋体" w:hint="default"/>
                <w:sz w:val="21"/>
                <w:szCs w:val="21"/>
              </w:rPr>
              <w:t>与</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3"/>
                <w:sz w:val="21"/>
                <w:szCs w:val="21"/>
              </w:rPr>
              <w:t> </w:t>
            </w:r>
            <w:r>
              <w:rPr>
                <w:rFonts w:ascii="宋体" w:hAnsi="宋体" w:cs="宋体" w:eastAsia="宋体" w:hint="default"/>
                <w:sz w:val="21"/>
                <w:szCs w:val="21"/>
              </w:rPr>
              <w:t>源</w:t>
            </w:r>
            <w:r>
              <w:rPr>
                <w:rFonts w:ascii="宋体" w:hAnsi="宋体" w:cs="宋体" w:eastAsia="宋体" w:hint="default"/>
                <w:w w:val="100"/>
                <w:sz w:val="21"/>
                <w:szCs w:val="21"/>
              </w:rPr>
              <w:t> </w:t>
            </w:r>
            <w:r>
              <w:rPr>
                <w:rFonts w:ascii="宋体" w:hAnsi="宋体" w:cs="宋体" w:eastAsia="宋体" w:hint="default"/>
                <w:sz w:val="21"/>
                <w:szCs w:val="21"/>
              </w:rPr>
              <w:t>研究所</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7" w:right="105"/>
              <w:jc w:val="left"/>
              <w:rPr>
                <w:rFonts w:ascii="宋体" w:hAnsi="宋体" w:cs="宋体" w:eastAsia="宋体" w:hint="default"/>
                <w:sz w:val="21"/>
                <w:szCs w:val="21"/>
              </w:rPr>
            </w:pPr>
            <w:r>
              <w:rPr>
                <w:rFonts w:ascii="宋体" w:hAnsi="宋体" w:cs="宋体" w:eastAsia="宋体" w:hint="default"/>
                <w:sz w:val="21"/>
                <w:szCs w:val="21"/>
              </w:rPr>
              <w:t>咨</w:t>
            </w:r>
            <w:r>
              <w:rPr>
                <w:rFonts w:ascii="宋体" w:hAnsi="宋体" w:cs="宋体" w:eastAsia="宋体" w:hint="default"/>
                <w:spacing w:val="-71"/>
                <w:sz w:val="21"/>
                <w:szCs w:val="21"/>
              </w:rPr>
              <w:t> </w:t>
            </w:r>
            <w:r>
              <w:rPr>
                <w:rFonts w:ascii="宋体" w:hAnsi="宋体" w:cs="宋体" w:eastAsia="宋体" w:hint="default"/>
                <w:sz w:val="21"/>
                <w:szCs w:val="21"/>
              </w:rPr>
              <w:t>询</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1"/>
                <w:sz w:val="21"/>
                <w:szCs w:val="21"/>
              </w:rPr>
              <w:t> </w:t>
            </w:r>
            <w:r>
              <w:rPr>
                <w:rFonts w:ascii="宋体" w:hAnsi="宋体" w:cs="宋体" w:eastAsia="宋体" w:hint="default"/>
                <w:sz w:val="21"/>
                <w:szCs w:val="21"/>
              </w:rPr>
              <w:t>务</w:t>
            </w:r>
            <w:r>
              <w:rPr>
                <w:rFonts w:ascii="宋体" w:hAnsi="宋体" w:cs="宋体" w:eastAsia="宋体" w:hint="default"/>
                <w:w w:val="100"/>
                <w:sz w:val="21"/>
                <w:szCs w:val="21"/>
              </w:rPr>
              <w:t> </w:t>
            </w:r>
            <w:r>
              <w:rPr>
                <w:rFonts w:ascii="宋体" w:hAnsi="宋体" w:cs="宋体" w:eastAsia="宋体" w:hint="default"/>
                <w:sz w:val="21"/>
                <w:szCs w:val="21"/>
              </w:rPr>
              <w:t>费</w:t>
            </w: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7" w:right="101"/>
              <w:jc w:val="left"/>
              <w:rPr>
                <w:rFonts w:ascii="宋体" w:hAnsi="宋体" w:cs="宋体" w:eastAsia="宋体" w:hint="default"/>
                <w:sz w:val="21"/>
                <w:szCs w:val="21"/>
              </w:rPr>
            </w:pPr>
            <w:r>
              <w:rPr>
                <w:rFonts w:ascii="宋体" w:hAnsi="宋体" w:cs="宋体" w:eastAsia="宋体" w:hint="default"/>
                <w:spacing w:val="6"/>
                <w:sz w:val="21"/>
                <w:szCs w:val="21"/>
              </w:rPr>
              <w:t>市价；董事</w:t>
            </w:r>
            <w:r>
              <w:rPr>
                <w:rFonts w:ascii="宋体" w:hAnsi="宋体" w:cs="宋体" w:eastAsia="宋体" w:hint="default"/>
                <w:spacing w:val="-95"/>
                <w:sz w:val="21"/>
                <w:szCs w:val="21"/>
              </w:rPr>
              <w:t> </w:t>
            </w:r>
            <w:r>
              <w:rPr>
                <w:rFonts w:ascii="宋体" w:hAnsi="宋体" w:cs="宋体" w:eastAsia="宋体" w:hint="default"/>
                <w:sz w:val="21"/>
                <w:szCs w:val="21"/>
              </w:rPr>
              <w:t>会批准</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845" w:right="0"/>
              <w:jc w:val="left"/>
              <w:rPr>
                <w:rFonts w:ascii="Arial Narrow" w:hAnsi="Arial Narrow" w:cs="Arial Narrow" w:eastAsia="Arial Narrow" w:hint="default"/>
                <w:sz w:val="21"/>
                <w:szCs w:val="21"/>
              </w:rPr>
            </w:pPr>
            <w:r>
              <w:rPr>
                <w:rFonts w:ascii="Arial Narrow"/>
                <w:sz w:val="21"/>
              </w:rPr>
              <w:t>22.60</w:t>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7"/>
              <w:jc w:val="right"/>
              <w:rPr>
                <w:rFonts w:ascii="Arial Narrow" w:hAnsi="Arial Narrow" w:cs="Arial Narrow" w:eastAsia="Arial Narrow" w:hint="default"/>
                <w:sz w:val="21"/>
                <w:szCs w:val="21"/>
              </w:rPr>
            </w:pPr>
            <w:r>
              <w:rPr>
                <w:rFonts w:ascii="Arial Narrow"/>
                <w:spacing w:val="-1"/>
                <w:sz w:val="21"/>
              </w:rPr>
              <w:t>3.08</w:t>
            </w:r>
            <w:r>
              <w:rPr>
                <w:rFonts w:ascii="Arial Narrow"/>
                <w:sz w:val="21"/>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63"/>
              <w:jc w:val="right"/>
              <w:rPr>
                <w:rFonts w:ascii="Arial Narrow" w:hAnsi="Arial Narrow" w:cs="Arial Narrow" w:eastAsia="Arial Narrow" w:hint="default"/>
                <w:sz w:val="21"/>
                <w:szCs w:val="21"/>
              </w:rPr>
            </w:pPr>
            <w:r>
              <w:rPr>
                <w:rFonts w:ascii="Arial Narrow"/>
                <w:w w:val="100"/>
                <w:sz w:val="21"/>
              </w:rPr>
              <w:t>-</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6"/>
              <w:jc w:val="right"/>
              <w:rPr>
                <w:rFonts w:ascii="Arial Narrow" w:hAnsi="Arial Narrow" w:cs="Arial Narrow" w:eastAsia="Arial Narrow" w:hint="default"/>
                <w:sz w:val="21"/>
                <w:szCs w:val="21"/>
              </w:rPr>
            </w:pPr>
            <w:r>
              <w:rPr>
                <w:rFonts w:ascii="Arial Narrow"/>
                <w:w w:val="100"/>
                <w:sz w:val="21"/>
              </w:rPr>
              <w:t>-</w:t>
            </w:r>
          </w:p>
        </w:tc>
      </w:tr>
    </w:tbl>
    <w:p>
      <w:pPr>
        <w:spacing w:line="240" w:lineRule="auto" w:before="6"/>
        <w:rPr>
          <w:rFonts w:ascii="宋体" w:hAnsi="宋体" w:cs="宋体" w:eastAsia="宋体" w:hint="default"/>
          <w:sz w:val="6"/>
          <w:szCs w:val="6"/>
        </w:rPr>
      </w:pPr>
    </w:p>
    <w:p>
      <w:pPr>
        <w:pStyle w:val="BodyText"/>
        <w:spacing w:line="240" w:lineRule="auto" w:before="26"/>
        <w:ind w:left="518" w:right="0"/>
        <w:jc w:val="left"/>
      </w:pPr>
      <w:r>
        <w:rPr>
          <w:rFonts w:ascii="Arial Narrow" w:hAnsi="Arial Narrow" w:cs="Arial Narrow" w:eastAsia="Arial Narrow" w:hint="default"/>
        </w:rPr>
        <w:t>B</w:t>
      </w:r>
      <w:r>
        <w:rPr/>
        <w:t>、出售商品、提供劳务情况表</w:t>
      </w:r>
    </w:p>
    <w:p>
      <w:pPr>
        <w:spacing w:line="240" w:lineRule="auto" w:before="2"/>
        <w:rPr>
          <w:rFonts w:ascii="宋体" w:hAnsi="宋体" w:cs="宋体" w:eastAsia="宋体" w:hint="default"/>
          <w:sz w:val="18"/>
          <w:szCs w:val="18"/>
        </w:rPr>
      </w:pPr>
    </w:p>
    <w:tbl>
      <w:tblPr>
        <w:tblW w:w="0" w:type="auto"/>
        <w:jc w:val="left"/>
        <w:tblInd w:w="454" w:type="dxa"/>
        <w:tblLayout w:type="fixed"/>
        <w:tblCellMar>
          <w:top w:w="0" w:type="dxa"/>
          <w:left w:w="0" w:type="dxa"/>
          <w:bottom w:w="0" w:type="dxa"/>
          <w:right w:w="0" w:type="dxa"/>
        </w:tblCellMar>
        <w:tblLook w:val="01E0"/>
      </w:tblPr>
      <w:tblGrid>
        <w:gridCol w:w="1290"/>
        <w:gridCol w:w="1334"/>
        <w:gridCol w:w="1664"/>
        <w:gridCol w:w="1146"/>
        <w:gridCol w:w="1352"/>
        <w:gridCol w:w="1017"/>
        <w:gridCol w:w="1479"/>
      </w:tblGrid>
      <w:tr>
        <w:trPr>
          <w:trHeight w:val="348" w:hRule="exact"/>
        </w:trPr>
        <w:tc>
          <w:tcPr>
            <w:tcW w:w="1290" w:type="dxa"/>
            <w:tcBorders>
              <w:top w:val="single" w:sz="8" w:space="0" w:color="000000"/>
              <w:left w:val="nil" w:sz="6" w:space="0" w:color="auto"/>
              <w:bottom w:val="nil" w:sz="6" w:space="0" w:color="auto"/>
              <w:right w:val="nil" w:sz="6" w:space="0" w:color="auto"/>
            </w:tcBorders>
          </w:tcPr>
          <w:p>
            <w:pPr/>
          </w:p>
        </w:tc>
        <w:tc>
          <w:tcPr>
            <w:tcW w:w="1334" w:type="dxa"/>
            <w:tcBorders>
              <w:top w:val="single" w:sz="8" w:space="0" w:color="000000"/>
              <w:left w:val="nil" w:sz="6" w:space="0" w:color="auto"/>
              <w:bottom w:val="nil" w:sz="6" w:space="0" w:color="auto"/>
              <w:right w:val="nil" w:sz="6" w:space="0" w:color="auto"/>
            </w:tcBorders>
          </w:tcPr>
          <w:p>
            <w:pPr/>
          </w:p>
        </w:tc>
        <w:tc>
          <w:tcPr>
            <w:tcW w:w="1664" w:type="dxa"/>
            <w:vMerge w:val="restart"/>
            <w:tcBorders>
              <w:top w:val="single" w:sz="8" w:space="0" w:color="000000"/>
              <w:left w:val="nil" w:sz="6" w:space="0" w:color="auto"/>
              <w:right w:val="nil" w:sz="6" w:space="0" w:color="auto"/>
            </w:tcBorders>
          </w:tcPr>
          <w:p>
            <w:pPr>
              <w:pStyle w:val="TableParagraph"/>
              <w:spacing w:line="237" w:lineRule="auto" w:before="170"/>
              <w:ind w:left="107" w:right="106"/>
              <w:jc w:val="both"/>
              <w:rPr>
                <w:rFonts w:ascii="宋体" w:hAnsi="宋体" w:cs="宋体" w:eastAsia="宋体" w:hint="default"/>
                <w:sz w:val="21"/>
                <w:szCs w:val="21"/>
              </w:rPr>
            </w:pPr>
            <w:r>
              <w:rPr>
                <w:rFonts w:ascii="宋体" w:hAnsi="宋体" w:cs="宋体" w:eastAsia="宋体" w:hint="default"/>
                <w:b/>
                <w:bCs/>
                <w:sz w:val="21"/>
                <w:szCs w:val="21"/>
              </w:rPr>
              <w:t>关</w:t>
            </w:r>
            <w:r>
              <w:rPr>
                <w:rFonts w:ascii="宋体" w:hAnsi="宋体" w:cs="宋体" w:eastAsia="宋体" w:hint="default"/>
                <w:b/>
                <w:bCs/>
                <w:spacing w:val="-71"/>
                <w:sz w:val="21"/>
                <w:szCs w:val="21"/>
              </w:rPr>
              <w:t> </w:t>
            </w:r>
            <w:r>
              <w:rPr>
                <w:rFonts w:ascii="宋体" w:hAnsi="宋体" w:cs="宋体" w:eastAsia="宋体" w:hint="default"/>
                <w:b/>
                <w:bCs/>
                <w:sz w:val="21"/>
                <w:szCs w:val="21"/>
              </w:rPr>
              <w:t>联</w:t>
            </w:r>
            <w:r>
              <w:rPr>
                <w:rFonts w:ascii="宋体" w:hAnsi="宋体" w:cs="宋体" w:eastAsia="宋体" w:hint="default"/>
                <w:b/>
                <w:bCs/>
                <w:spacing w:val="-68"/>
                <w:sz w:val="21"/>
                <w:szCs w:val="21"/>
              </w:rPr>
              <w:t> </w:t>
            </w:r>
            <w:r>
              <w:rPr>
                <w:rFonts w:ascii="宋体" w:hAnsi="宋体" w:cs="宋体" w:eastAsia="宋体" w:hint="default"/>
                <w:b/>
                <w:bCs/>
                <w:sz w:val="21"/>
                <w:szCs w:val="21"/>
              </w:rPr>
              <w:t>交</w:t>
            </w:r>
            <w:r>
              <w:rPr>
                <w:rFonts w:ascii="宋体" w:hAnsi="宋体" w:cs="宋体" w:eastAsia="宋体" w:hint="default"/>
                <w:b/>
                <w:bCs/>
                <w:spacing w:val="-71"/>
                <w:sz w:val="21"/>
                <w:szCs w:val="21"/>
              </w:rPr>
              <w:t> </w:t>
            </w:r>
            <w:r>
              <w:rPr>
                <w:rFonts w:ascii="宋体" w:hAnsi="宋体" w:cs="宋体" w:eastAsia="宋体" w:hint="default"/>
                <w:b/>
                <w:bCs/>
                <w:sz w:val="21"/>
                <w:szCs w:val="21"/>
              </w:rPr>
              <w:t>易</w:t>
            </w:r>
            <w:r>
              <w:rPr>
                <w:rFonts w:ascii="宋体" w:hAnsi="宋体" w:cs="宋体" w:eastAsia="宋体" w:hint="default"/>
                <w:b/>
                <w:bCs/>
                <w:spacing w:val="-71"/>
                <w:sz w:val="21"/>
                <w:szCs w:val="21"/>
              </w:rPr>
              <w:t> </w:t>
            </w:r>
            <w:r>
              <w:rPr>
                <w:rFonts w:ascii="宋体" w:hAnsi="宋体" w:cs="宋体" w:eastAsia="宋体" w:hint="default"/>
                <w:b/>
                <w:bCs/>
                <w:sz w:val="21"/>
                <w:szCs w:val="21"/>
              </w:rPr>
              <w:t>定</w:t>
            </w:r>
            <w:r>
              <w:rPr>
                <w:rFonts w:ascii="宋体" w:hAnsi="宋体" w:cs="宋体" w:eastAsia="宋体" w:hint="default"/>
                <w:b/>
                <w:bCs/>
                <w:spacing w:val="-71"/>
                <w:sz w:val="21"/>
                <w:szCs w:val="21"/>
              </w:rPr>
              <w:t> </w:t>
            </w:r>
            <w:r>
              <w:rPr>
                <w:rFonts w:ascii="宋体" w:hAnsi="宋体" w:cs="宋体" w:eastAsia="宋体" w:hint="default"/>
                <w:b/>
                <w:bCs/>
                <w:sz w:val="21"/>
                <w:szCs w:val="21"/>
              </w:rPr>
              <w:t>价</w:t>
            </w:r>
            <w:r>
              <w:rPr>
                <w:rFonts w:ascii="宋体" w:hAnsi="宋体" w:cs="宋体" w:eastAsia="宋体" w:hint="default"/>
                <w:b/>
                <w:bCs/>
                <w:w w:val="100"/>
                <w:sz w:val="21"/>
                <w:szCs w:val="21"/>
              </w:rPr>
              <w:t> </w:t>
            </w:r>
            <w:r>
              <w:rPr>
                <w:rFonts w:ascii="宋体" w:hAnsi="宋体" w:cs="宋体" w:eastAsia="宋体" w:hint="default"/>
                <w:b/>
                <w:bCs/>
                <w:sz w:val="21"/>
                <w:szCs w:val="21"/>
              </w:rPr>
              <w:t>方</w:t>
            </w:r>
            <w:r>
              <w:rPr>
                <w:rFonts w:ascii="宋体" w:hAnsi="宋体" w:cs="宋体" w:eastAsia="宋体" w:hint="default"/>
                <w:b/>
                <w:bCs/>
                <w:spacing w:val="-71"/>
                <w:sz w:val="21"/>
                <w:szCs w:val="21"/>
              </w:rPr>
              <w:t> </w:t>
            </w:r>
            <w:r>
              <w:rPr>
                <w:rFonts w:ascii="宋体" w:hAnsi="宋体" w:cs="宋体" w:eastAsia="宋体" w:hint="default"/>
                <w:b/>
                <w:bCs/>
                <w:sz w:val="21"/>
                <w:szCs w:val="21"/>
              </w:rPr>
              <w:t>式</w:t>
            </w:r>
            <w:r>
              <w:rPr>
                <w:rFonts w:ascii="宋体" w:hAnsi="宋体" w:cs="宋体" w:eastAsia="宋体" w:hint="default"/>
                <w:b/>
                <w:bCs/>
                <w:spacing w:val="-68"/>
                <w:sz w:val="21"/>
                <w:szCs w:val="21"/>
              </w:rPr>
              <w:t> </w:t>
            </w:r>
            <w:r>
              <w:rPr>
                <w:rFonts w:ascii="宋体" w:hAnsi="宋体" w:cs="宋体" w:eastAsia="宋体" w:hint="default"/>
                <w:b/>
                <w:bCs/>
                <w:sz w:val="21"/>
                <w:szCs w:val="21"/>
              </w:rPr>
              <w:t>及</w:t>
            </w:r>
            <w:r>
              <w:rPr>
                <w:rFonts w:ascii="宋体" w:hAnsi="宋体" w:cs="宋体" w:eastAsia="宋体" w:hint="default"/>
                <w:b/>
                <w:bCs/>
                <w:spacing w:val="-71"/>
                <w:sz w:val="21"/>
                <w:szCs w:val="21"/>
              </w:rPr>
              <w:t> </w:t>
            </w:r>
            <w:r>
              <w:rPr>
                <w:rFonts w:ascii="宋体" w:hAnsi="宋体" w:cs="宋体" w:eastAsia="宋体" w:hint="default"/>
                <w:b/>
                <w:bCs/>
                <w:sz w:val="21"/>
                <w:szCs w:val="21"/>
              </w:rPr>
              <w:t>决</w:t>
            </w:r>
            <w:r>
              <w:rPr>
                <w:rFonts w:ascii="宋体" w:hAnsi="宋体" w:cs="宋体" w:eastAsia="宋体" w:hint="default"/>
                <w:b/>
                <w:bCs/>
                <w:spacing w:val="-71"/>
                <w:sz w:val="21"/>
                <w:szCs w:val="21"/>
              </w:rPr>
              <w:t> </w:t>
            </w:r>
            <w:r>
              <w:rPr>
                <w:rFonts w:ascii="宋体" w:hAnsi="宋体" w:cs="宋体" w:eastAsia="宋体" w:hint="default"/>
                <w:b/>
                <w:bCs/>
                <w:sz w:val="21"/>
                <w:szCs w:val="21"/>
              </w:rPr>
              <w:t>策</w:t>
            </w:r>
            <w:r>
              <w:rPr>
                <w:rFonts w:ascii="宋体" w:hAnsi="宋体" w:cs="宋体" w:eastAsia="宋体" w:hint="default"/>
                <w:b/>
                <w:bCs/>
                <w:spacing w:val="-71"/>
                <w:sz w:val="21"/>
                <w:szCs w:val="21"/>
              </w:rPr>
              <w:t> </w:t>
            </w:r>
            <w:r>
              <w:rPr>
                <w:rFonts w:ascii="宋体" w:hAnsi="宋体" w:cs="宋体" w:eastAsia="宋体" w:hint="default"/>
                <w:b/>
                <w:bCs/>
                <w:sz w:val="21"/>
                <w:szCs w:val="21"/>
              </w:rPr>
              <w:t>程</w:t>
            </w:r>
            <w:r>
              <w:rPr>
                <w:rFonts w:ascii="宋体" w:hAnsi="宋体" w:cs="宋体" w:eastAsia="宋体" w:hint="default"/>
                <w:b/>
                <w:bCs/>
                <w:w w:val="100"/>
                <w:sz w:val="21"/>
                <w:szCs w:val="21"/>
              </w:rPr>
              <w:t> </w:t>
            </w:r>
            <w:r>
              <w:rPr>
                <w:rFonts w:ascii="宋体" w:hAnsi="宋体" w:cs="宋体" w:eastAsia="宋体" w:hint="default"/>
                <w:b/>
                <w:bCs/>
                <w:sz w:val="21"/>
                <w:szCs w:val="21"/>
              </w:rPr>
              <w:t>序</w:t>
            </w:r>
            <w:r>
              <w:rPr>
                <w:rFonts w:ascii="宋体" w:hAnsi="宋体" w:cs="宋体" w:eastAsia="宋体" w:hint="default"/>
                <w:sz w:val="21"/>
                <w:szCs w:val="21"/>
              </w:rPr>
            </w:r>
          </w:p>
        </w:tc>
        <w:tc>
          <w:tcPr>
            <w:tcW w:w="1146"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left="108" w:right="-2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352" w:type="dxa"/>
            <w:tcBorders>
              <w:top w:val="single" w:sz="8" w:space="0" w:color="000000"/>
              <w:left w:val="nil" w:sz="6" w:space="0" w:color="auto"/>
              <w:bottom w:val="nil" w:sz="6" w:space="0" w:color="auto"/>
              <w:right w:val="nil" w:sz="6" w:space="0" w:color="auto"/>
            </w:tcBorders>
          </w:tcPr>
          <w:p>
            <w:pPr/>
          </w:p>
        </w:tc>
        <w:tc>
          <w:tcPr>
            <w:tcW w:w="2496"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888" w:hRule="exact"/>
        </w:trPr>
        <w:tc>
          <w:tcPr>
            <w:tcW w:w="129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08"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exact"/>
              <w:ind w:left="548" w:right="0"/>
              <w:jc w:val="left"/>
              <w:rPr>
                <w:rFonts w:ascii="宋体" w:hAnsi="宋体" w:cs="宋体" w:eastAsia="宋体" w:hint="default"/>
                <w:sz w:val="21"/>
                <w:szCs w:val="21"/>
              </w:rPr>
            </w:pPr>
            <w:r>
              <w:rPr>
                <w:rFonts w:ascii="宋体" w:hAnsi="宋体" w:cs="宋体" w:eastAsia="宋体" w:hint="default"/>
                <w:b/>
                <w:bCs/>
                <w:spacing w:val="14"/>
                <w:sz w:val="21"/>
                <w:szCs w:val="21"/>
              </w:rPr>
              <w:t>关联交</w:t>
            </w:r>
            <w:r>
              <w:rPr>
                <w:rFonts w:ascii="宋体" w:hAnsi="宋体" w:cs="宋体" w:eastAsia="宋体" w:hint="default"/>
                <w:spacing w:val="14"/>
                <w:sz w:val="21"/>
                <w:szCs w:val="21"/>
              </w:rPr>
            </w:r>
          </w:p>
          <w:p>
            <w:pPr>
              <w:pStyle w:val="TableParagraph"/>
              <w:spacing w:line="274" w:lineRule="exact"/>
              <w:ind w:left="548" w:right="0"/>
              <w:jc w:val="left"/>
              <w:rPr>
                <w:rFonts w:ascii="宋体" w:hAnsi="宋体" w:cs="宋体" w:eastAsia="宋体" w:hint="default"/>
                <w:sz w:val="21"/>
                <w:szCs w:val="21"/>
              </w:rPr>
            </w:pPr>
            <w:r>
              <w:rPr>
                <w:rFonts w:ascii="宋体" w:hAnsi="宋体" w:cs="宋体" w:eastAsia="宋体" w:hint="default"/>
                <w:b/>
                <w:bCs/>
                <w:sz w:val="21"/>
                <w:szCs w:val="21"/>
              </w:rPr>
              <w:t>易内容</w:t>
            </w:r>
            <w:r>
              <w:rPr>
                <w:rFonts w:ascii="宋体" w:hAnsi="宋体" w:cs="宋体" w:eastAsia="宋体" w:hint="default"/>
                <w:sz w:val="21"/>
                <w:szCs w:val="21"/>
              </w:rPr>
            </w:r>
          </w:p>
        </w:tc>
        <w:tc>
          <w:tcPr>
            <w:tcW w:w="1664" w:type="dxa"/>
            <w:vMerge/>
            <w:tcBorders>
              <w:left w:val="nil" w:sz="6" w:space="0" w:color="auto"/>
              <w:bottom w:val="single" w:sz="4" w:space="0" w:color="000000"/>
              <w:right w:val="nil" w:sz="6" w:space="0" w:color="auto"/>
            </w:tcBorders>
          </w:tcPr>
          <w:p>
            <w:pP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72" w:lineRule="exact"/>
              <w:ind w:left="108" w:right="233"/>
              <w:jc w:val="left"/>
              <w:rPr>
                <w:rFonts w:ascii="宋体" w:hAnsi="宋体" w:cs="宋体" w:eastAsia="宋体" w:hint="default"/>
                <w:sz w:val="21"/>
                <w:szCs w:val="21"/>
              </w:rPr>
            </w:pPr>
            <w:r>
              <w:rPr>
                <w:rFonts w:ascii="宋体" w:hAnsi="宋体" w:cs="宋体" w:eastAsia="宋体" w:hint="default"/>
                <w:b/>
                <w:bCs/>
                <w:spacing w:val="-11"/>
                <w:sz w:val="21"/>
                <w:szCs w:val="21"/>
              </w:rPr>
              <w:t>金额（万</w:t>
            </w:r>
            <w:r>
              <w:rPr>
                <w:rFonts w:ascii="宋体" w:hAnsi="宋体" w:cs="宋体" w:eastAsia="宋体" w:hint="default"/>
                <w:b/>
                <w:bCs/>
                <w:w w:val="10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1352" w:type="dxa"/>
            <w:tcBorders>
              <w:top w:val="nil" w:sz="6" w:space="0" w:color="auto"/>
              <w:left w:val="nil" w:sz="6" w:space="0" w:color="auto"/>
              <w:bottom w:val="single" w:sz="4" w:space="0" w:color="000000"/>
              <w:right w:val="nil" w:sz="6" w:space="0" w:color="auto"/>
            </w:tcBorders>
          </w:tcPr>
          <w:p>
            <w:pPr>
              <w:pStyle w:val="TableParagraph"/>
              <w:spacing w:line="237" w:lineRule="auto" w:before="36"/>
              <w:ind w:left="-20" w:right="105"/>
              <w:jc w:val="both"/>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4"/>
                <w:sz w:val="21"/>
                <w:szCs w:val="21"/>
              </w:rPr>
              <w:t> </w:t>
            </w:r>
            <w:r>
              <w:rPr>
                <w:rFonts w:ascii="宋体" w:hAnsi="宋体" w:cs="宋体" w:eastAsia="宋体" w:hint="default"/>
                <w:b/>
                <w:bCs/>
                <w:sz w:val="21"/>
                <w:szCs w:val="21"/>
              </w:rPr>
              <w:t>同</w:t>
            </w:r>
            <w:r>
              <w:rPr>
                <w:rFonts w:ascii="宋体" w:hAnsi="宋体" w:cs="宋体" w:eastAsia="宋体" w:hint="default"/>
                <w:b/>
                <w:bCs/>
                <w:spacing w:val="-54"/>
                <w:sz w:val="21"/>
                <w:szCs w:val="21"/>
              </w:rPr>
              <w:t> </w:t>
            </w:r>
            <w:r>
              <w:rPr>
                <w:rFonts w:ascii="宋体" w:hAnsi="宋体" w:cs="宋体" w:eastAsia="宋体" w:hint="default"/>
                <w:b/>
                <w:bCs/>
                <w:sz w:val="21"/>
                <w:szCs w:val="21"/>
              </w:rPr>
              <w:t>类</w:t>
            </w:r>
            <w:r>
              <w:rPr>
                <w:rFonts w:ascii="宋体" w:hAnsi="宋体" w:cs="宋体" w:eastAsia="宋体" w:hint="default"/>
                <w:b/>
                <w:bCs/>
                <w:spacing w:val="-56"/>
                <w:sz w:val="21"/>
                <w:szCs w:val="21"/>
              </w:rPr>
              <w:t> </w:t>
            </w:r>
            <w:r>
              <w:rPr>
                <w:rFonts w:ascii="宋体" w:hAnsi="宋体" w:cs="宋体" w:eastAsia="宋体" w:hint="default"/>
                <w:b/>
                <w:bCs/>
                <w:sz w:val="21"/>
                <w:szCs w:val="21"/>
              </w:rPr>
              <w:t>交</w:t>
            </w:r>
            <w:r>
              <w:rPr>
                <w:rFonts w:ascii="宋体" w:hAnsi="宋体" w:cs="宋体" w:eastAsia="宋体" w:hint="default"/>
                <w:b/>
                <w:bCs/>
                <w:spacing w:val="-54"/>
                <w:sz w:val="21"/>
                <w:szCs w:val="21"/>
              </w:rPr>
              <w:t> </w:t>
            </w:r>
            <w:r>
              <w:rPr>
                <w:rFonts w:ascii="宋体" w:hAnsi="宋体" w:cs="宋体" w:eastAsia="宋体" w:hint="default"/>
                <w:b/>
                <w:bCs/>
                <w:sz w:val="21"/>
                <w:szCs w:val="21"/>
              </w:rPr>
              <w:t>易</w:t>
            </w:r>
            <w:r>
              <w:rPr>
                <w:rFonts w:ascii="宋体" w:hAnsi="宋体" w:cs="宋体" w:eastAsia="宋体" w:hint="default"/>
                <w:b/>
                <w:bCs/>
                <w:w w:val="100"/>
                <w:sz w:val="21"/>
                <w:szCs w:val="21"/>
              </w:rPr>
              <w:t> </w:t>
            </w:r>
            <w:r>
              <w:rPr>
                <w:rFonts w:ascii="宋体" w:hAnsi="宋体" w:cs="宋体" w:eastAsia="宋体" w:hint="default"/>
                <w:b/>
                <w:bCs/>
                <w:sz w:val="21"/>
                <w:szCs w:val="21"/>
              </w:rPr>
              <w:t>金 额 的</w:t>
            </w:r>
            <w:r>
              <w:rPr>
                <w:rFonts w:ascii="宋体" w:hAnsi="宋体" w:cs="宋体" w:eastAsia="宋体" w:hint="default"/>
                <w:b/>
                <w:bCs/>
                <w:spacing w:val="100"/>
                <w:sz w:val="21"/>
                <w:szCs w:val="21"/>
              </w:rPr>
              <w:t> </w:t>
            </w: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c>
          <w:tcPr>
            <w:tcW w:w="101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72" w:lineRule="exact"/>
              <w:ind w:left="107" w:right="106"/>
              <w:jc w:val="left"/>
              <w:rPr>
                <w:rFonts w:ascii="宋体" w:hAnsi="宋体" w:cs="宋体" w:eastAsia="宋体" w:hint="default"/>
                <w:sz w:val="21"/>
                <w:szCs w:val="21"/>
              </w:rPr>
            </w:pPr>
            <w:r>
              <w:rPr>
                <w:rFonts w:ascii="宋体" w:hAnsi="宋体" w:cs="宋体" w:eastAsia="宋体" w:hint="default"/>
                <w:b/>
                <w:bCs/>
                <w:spacing w:val="-11"/>
                <w:sz w:val="21"/>
                <w:szCs w:val="21"/>
              </w:rPr>
              <w:t>金额（万</w:t>
            </w:r>
            <w:r>
              <w:rPr>
                <w:rFonts w:ascii="宋体" w:hAnsi="宋体" w:cs="宋体" w:eastAsia="宋体" w:hint="default"/>
                <w:b/>
                <w:bCs/>
                <w:w w:val="10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1479" w:type="dxa"/>
            <w:tcBorders>
              <w:top w:val="nil" w:sz="6" w:space="0" w:color="auto"/>
              <w:left w:val="nil" w:sz="6" w:space="0" w:color="auto"/>
              <w:bottom w:val="single" w:sz="4" w:space="0" w:color="000000"/>
              <w:right w:val="nil" w:sz="6" w:space="0" w:color="auto"/>
            </w:tcBorders>
          </w:tcPr>
          <w:p>
            <w:pPr>
              <w:pStyle w:val="TableParagraph"/>
              <w:spacing w:line="237" w:lineRule="auto" w:before="36"/>
              <w:ind w:left="108" w:right="104"/>
              <w:jc w:val="both"/>
              <w:rPr>
                <w:rFonts w:ascii="宋体" w:hAnsi="宋体" w:cs="宋体" w:eastAsia="宋体" w:hint="default"/>
                <w:sz w:val="21"/>
                <w:szCs w:val="21"/>
              </w:rPr>
            </w:pPr>
            <w:r>
              <w:rPr>
                <w:rFonts w:ascii="宋体" w:hAnsi="宋体" w:cs="宋体" w:eastAsia="宋体" w:hint="default"/>
                <w:b/>
                <w:bCs/>
                <w:sz w:val="21"/>
                <w:szCs w:val="21"/>
              </w:rPr>
              <w:t>占</w:t>
            </w:r>
            <w:r>
              <w:rPr>
                <w:rFonts w:ascii="宋体" w:hAnsi="宋体" w:cs="宋体" w:eastAsia="宋体" w:hint="default"/>
                <w:b/>
                <w:bCs/>
                <w:spacing w:val="-54"/>
                <w:sz w:val="21"/>
                <w:szCs w:val="21"/>
              </w:rPr>
              <w:t> </w:t>
            </w:r>
            <w:r>
              <w:rPr>
                <w:rFonts w:ascii="宋体" w:hAnsi="宋体" w:cs="宋体" w:eastAsia="宋体" w:hint="default"/>
                <w:b/>
                <w:bCs/>
                <w:sz w:val="21"/>
                <w:szCs w:val="21"/>
              </w:rPr>
              <w:t>同</w:t>
            </w:r>
            <w:r>
              <w:rPr>
                <w:rFonts w:ascii="宋体" w:hAnsi="宋体" w:cs="宋体" w:eastAsia="宋体" w:hint="default"/>
                <w:b/>
                <w:bCs/>
                <w:spacing w:val="-54"/>
                <w:sz w:val="21"/>
                <w:szCs w:val="21"/>
              </w:rPr>
              <w:t> </w:t>
            </w:r>
            <w:r>
              <w:rPr>
                <w:rFonts w:ascii="宋体" w:hAnsi="宋体" w:cs="宋体" w:eastAsia="宋体" w:hint="default"/>
                <w:b/>
                <w:bCs/>
                <w:sz w:val="21"/>
                <w:szCs w:val="21"/>
              </w:rPr>
              <w:t>类</w:t>
            </w:r>
            <w:r>
              <w:rPr>
                <w:rFonts w:ascii="宋体" w:hAnsi="宋体" w:cs="宋体" w:eastAsia="宋体" w:hint="default"/>
                <w:b/>
                <w:bCs/>
                <w:spacing w:val="-56"/>
                <w:sz w:val="21"/>
                <w:szCs w:val="21"/>
              </w:rPr>
              <w:t> </w:t>
            </w:r>
            <w:r>
              <w:rPr>
                <w:rFonts w:ascii="宋体" w:hAnsi="宋体" w:cs="宋体" w:eastAsia="宋体" w:hint="default"/>
                <w:b/>
                <w:bCs/>
                <w:sz w:val="21"/>
                <w:szCs w:val="21"/>
              </w:rPr>
              <w:t>交</w:t>
            </w:r>
            <w:r>
              <w:rPr>
                <w:rFonts w:ascii="宋体" w:hAnsi="宋体" w:cs="宋体" w:eastAsia="宋体" w:hint="default"/>
                <w:b/>
                <w:bCs/>
                <w:spacing w:val="-54"/>
                <w:sz w:val="21"/>
                <w:szCs w:val="21"/>
              </w:rPr>
              <w:t> </w:t>
            </w:r>
            <w:r>
              <w:rPr>
                <w:rFonts w:ascii="宋体" w:hAnsi="宋体" w:cs="宋体" w:eastAsia="宋体" w:hint="default"/>
                <w:b/>
                <w:bCs/>
                <w:sz w:val="21"/>
                <w:szCs w:val="21"/>
              </w:rPr>
              <w:t>易</w:t>
            </w:r>
            <w:r>
              <w:rPr>
                <w:rFonts w:ascii="宋体" w:hAnsi="宋体" w:cs="宋体" w:eastAsia="宋体" w:hint="default"/>
                <w:b/>
                <w:bCs/>
                <w:w w:val="100"/>
                <w:sz w:val="21"/>
                <w:szCs w:val="21"/>
              </w:rPr>
              <w:t> </w:t>
            </w:r>
            <w:r>
              <w:rPr>
                <w:rFonts w:ascii="宋体" w:hAnsi="宋体" w:cs="宋体" w:eastAsia="宋体" w:hint="default"/>
                <w:b/>
                <w:bCs/>
                <w:sz w:val="21"/>
                <w:szCs w:val="21"/>
              </w:rPr>
              <w:t>金 额 的</w:t>
            </w:r>
            <w:r>
              <w:rPr>
                <w:rFonts w:ascii="宋体" w:hAnsi="宋体" w:cs="宋体" w:eastAsia="宋体" w:hint="default"/>
                <w:b/>
                <w:bCs/>
                <w:spacing w:val="100"/>
                <w:sz w:val="21"/>
                <w:szCs w:val="21"/>
              </w:rPr>
              <w:t> </w:t>
            </w:r>
            <w:r>
              <w:rPr>
                <w:rFonts w:ascii="宋体" w:hAnsi="宋体" w:cs="宋体" w:eastAsia="宋体" w:hint="default"/>
                <w:b/>
                <w:bCs/>
                <w:sz w:val="21"/>
                <w:szCs w:val="21"/>
              </w:rPr>
              <w:t>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sz w:val="21"/>
                <w:szCs w:val="21"/>
              </w:rPr>
            </w:r>
          </w:p>
        </w:tc>
      </w:tr>
    </w:tbl>
    <w:p>
      <w:pPr>
        <w:spacing w:after="0" w:line="237" w:lineRule="auto"/>
        <w:jc w:val="both"/>
        <w:rPr>
          <w:rFonts w:ascii="宋体" w:hAnsi="宋体" w:cs="宋体" w:eastAsia="宋体" w:hint="default"/>
          <w:sz w:val="21"/>
          <w:szCs w:val="21"/>
        </w:rPr>
        <w:sectPr>
          <w:pgSz w:w="11900" w:h="16850"/>
          <w:pgMar w:header="0" w:footer="919" w:top="1640" w:bottom="1100" w:left="1140" w:right="920"/>
        </w:sectPr>
      </w:pP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34"/>
        <w:gridCol w:w="1738"/>
        <w:gridCol w:w="907"/>
        <w:gridCol w:w="1838"/>
        <w:gridCol w:w="1295"/>
        <w:gridCol w:w="1200"/>
        <w:gridCol w:w="1296"/>
        <w:gridCol w:w="936"/>
      </w:tblGrid>
      <w:tr>
        <w:trPr>
          <w:trHeight w:val="101" w:hRule="exact"/>
        </w:trPr>
        <w:tc>
          <w:tcPr>
            <w:tcW w:w="334" w:type="dxa"/>
            <w:tcBorders>
              <w:top w:val="single" w:sz="6" w:space="0" w:color="000000"/>
              <w:left w:val="nil" w:sz="6" w:space="0" w:color="auto"/>
              <w:bottom w:val="nil" w:sz="6" w:space="0" w:color="auto"/>
              <w:right w:val="nil" w:sz="6" w:space="0" w:color="auto"/>
            </w:tcBorders>
          </w:tcPr>
          <w:p>
            <w:pPr/>
          </w:p>
        </w:tc>
        <w:tc>
          <w:tcPr>
            <w:tcW w:w="1738" w:type="dxa"/>
            <w:tcBorders>
              <w:top w:val="single" w:sz="6" w:space="0" w:color="000000"/>
              <w:left w:val="nil" w:sz="6" w:space="0" w:color="auto"/>
              <w:bottom w:val="single" w:sz="4" w:space="0" w:color="000000"/>
              <w:right w:val="nil" w:sz="6" w:space="0" w:color="auto"/>
            </w:tcBorders>
          </w:tcPr>
          <w:p>
            <w:pPr/>
          </w:p>
        </w:tc>
        <w:tc>
          <w:tcPr>
            <w:tcW w:w="907" w:type="dxa"/>
            <w:tcBorders>
              <w:top w:val="single" w:sz="6" w:space="0" w:color="000000"/>
              <w:left w:val="nil" w:sz="6" w:space="0" w:color="auto"/>
              <w:bottom w:val="single" w:sz="4" w:space="0" w:color="000000"/>
              <w:right w:val="nil" w:sz="6" w:space="0" w:color="auto"/>
            </w:tcBorders>
          </w:tcPr>
          <w:p>
            <w:pPr/>
          </w:p>
        </w:tc>
        <w:tc>
          <w:tcPr>
            <w:tcW w:w="1838" w:type="dxa"/>
            <w:tcBorders>
              <w:top w:val="single" w:sz="6" w:space="0" w:color="000000"/>
              <w:left w:val="nil" w:sz="6" w:space="0" w:color="auto"/>
              <w:bottom w:val="single" w:sz="4" w:space="0" w:color="000000"/>
              <w:right w:val="nil" w:sz="6" w:space="0" w:color="auto"/>
            </w:tcBorders>
          </w:tcPr>
          <w:p>
            <w:pPr/>
          </w:p>
        </w:tc>
        <w:tc>
          <w:tcPr>
            <w:tcW w:w="1295" w:type="dxa"/>
            <w:tcBorders>
              <w:top w:val="single" w:sz="6" w:space="0" w:color="000000"/>
              <w:left w:val="nil" w:sz="6" w:space="0" w:color="auto"/>
              <w:bottom w:val="single" w:sz="4" w:space="0" w:color="000000"/>
              <w:right w:val="nil" w:sz="6" w:space="0" w:color="auto"/>
            </w:tcBorders>
          </w:tcPr>
          <w:p>
            <w:pPr/>
          </w:p>
        </w:tc>
        <w:tc>
          <w:tcPr>
            <w:tcW w:w="1200" w:type="dxa"/>
            <w:tcBorders>
              <w:top w:val="single" w:sz="6" w:space="0" w:color="000000"/>
              <w:left w:val="nil" w:sz="6" w:space="0" w:color="auto"/>
              <w:bottom w:val="single" w:sz="4" w:space="0" w:color="000000"/>
              <w:right w:val="nil" w:sz="6" w:space="0" w:color="auto"/>
            </w:tcBorders>
          </w:tcPr>
          <w:p>
            <w:pPr/>
          </w:p>
        </w:tc>
        <w:tc>
          <w:tcPr>
            <w:tcW w:w="1296" w:type="dxa"/>
            <w:tcBorders>
              <w:top w:val="single" w:sz="6" w:space="0" w:color="000000"/>
              <w:left w:val="nil" w:sz="6" w:space="0" w:color="auto"/>
              <w:bottom w:val="single" w:sz="4" w:space="0" w:color="000000"/>
              <w:right w:val="nil" w:sz="6" w:space="0" w:color="auto"/>
            </w:tcBorders>
          </w:tcPr>
          <w:p>
            <w:pPr/>
          </w:p>
        </w:tc>
        <w:tc>
          <w:tcPr>
            <w:tcW w:w="936" w:type="dxa"/>
            <w:tcBorders>
              <w:top w:val="single" w:sz="6" w:space="0" w:color="000000"/>
              <w:left w:val="nil" w:sz="6" w:space="0" w:color="auto"/>
              <w:bottom w:val="single" w:sz="4" w:space="0" w:color="000000"/>
              <w:right w:val="nil" w:sz="6" w:space="0" w:color="auto"/>
            </w:tcBorders>
          </w:tcPr>
          <w:p>
            <w:pPr/>
          </w:p>
        </w:tc>
      </w:tr>
      <w:tr>
        <w:trPr>
          <w:trHeight w:val="548" w:hRule="exact"/>
        </w:trPr>
        <w:tc>
          <w:tcPr>
            <w:tcW w:w="334" w:type="dxa"/>
            <w:tcBorders>
              <w:top w:val="nil" w:sz="6" w:space="0" w:color="auto"/>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nil" w:sz="6" w:space="0" w:color="auto"/>
              <w:right w:val="nil" w:sz="6" w:space="0" w:color="auto"/>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浙江中科数城软</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907" w:type="dxa"/>
            <w:tcBorders>
              <w:top w:val="single" w:sz="4" w:space="0" w:color="000000"/>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pacing w:val="15"/>
                <w:sz w:val="21"/>
                <w:szCs w:val="21"/>
              </w:rPr>
              <w:t>软件技</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术开发</w:t>
            </w:r>
          </w:p>
        </w:tc>
        <w:tc>
          <w:tcPr>
            <w:tcW w:w="1838" w:type="dxa"/>
            <w:tcBorders>
              <w:top w:val="single" w:sz="4" w:space="0" w:color="000000"/>
              <w:left w:val="nil" w:sz="6" w:space="0" w:color="auto"/>
              <w:bottom w:val="nil" w:sz="6" w:space="0" w:color="auto"/>
              <w:right w:val="nil" w:sz="6" w:space="0" w:color="auto"/>
            </w:tcBorders>
          </w:tcPr>
          <w:p>
            <w:pPr>
              <w:pStyle w:val="TableParagraph"/>
              <w:spacing w:line="239"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市价；董事会批</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准</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569"/>
              <w:jc w:val="right"/>
              <w:rPr>
                <w:rFonts w:ascii="Arial Narrow" w:hAnsi="Arial Narrow" w:cs="Arial Narrow" w:eastAsia="Arial Narrow" w:hint="default"/>
                <w:sz w:val="21"/>
                <w:szCs w:val="21"/>
              </w:rPr>
            </w:pPr>
            <w:r>
              <w:rPr>
                <w:rFonts w:ascii="Arial Narrow"/>
                <w:spacing w:val="-1"/>
                <w:sz w:val="21"/>
              </w:rPr>
              <w:t>0.30</w:t>
            </w:r>
            <w:r>
              <w:rPr>
                <w:rFonts w:ascii="Arial Narrow"/>
                <w:sz w:val="21"/>
              </w:rPr>
            </w: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291"/>
              <w:jc w:val="right"/>
              <w:rPr>
                <w:rFonts w:ascii="Arial Narrow" w:hAnsi="Arial Narrow" w:cs="Arial Narrow" w:eastAsia="Arial Narrow" w:hint="default"/>
                <w:sz w:val="21"/>
                <w:szCs w:val="21"/>
              </w:rPr>
            </w:pPr>
            <w:r>
              <w:rPr>
                <w:rFonts w:ascii="Arial Narrow"/>
                <w:w w:val="100"/>
                <w:sz w:val="21"/>
              </w:rPr>
              <w:t>-</w:t>
            </w: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569"/>
              <w:jc w:val="right"/>
              <w:rPr>
                <w:rFonts w:ascii="Arial Narrow" w:hAnsi="Arial Narrow" w:cs="Arial Narrow" w:eastAsia="Arial Narrow" w:hint="default"/>
                <w:sz w:val="21"/>
                <w:szCs w:val="21"/>
              </w:rPr>
            </w:pPr>
            <w:r>
              <w:rPr>
                <w:rFonts w:ascii="Arial Narrow"/>
                <w:w w:val="100"/>
                <w:sz w:val="21"/>
              </w:rPr>
              <w:t>-</w:t>
            </w:r>
          </w:p>
        </w:tc>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26"/>
              <w:jc w:val="right"/>
              <w:rPr>
                <w:rFonts w:ascii="Arial Narrow" w:hAnsi="Arial Narrow" w:cs="Arial Narrow" w:eastAsia="Arial Narrow" w:hint="default"/>
                <w:sz w:val="21"/>
                <w:szCs w:val="21"/>
              </w:rPr>
            </w:pPr>
            <w:r>
              <w:rPr>
                <w:rFonts w:ascii="Arial Narrow"/>
                <w:w w:val="100"/>
                <w:sz w:val="21"/>
              </w:rPr>
              <w:t>-</w:t>
            </w:r>
          </w:p>
        </w:tc>
      </w:tr>
      <w:tr>
        <w:trPr>
          <w:trHeight w:val="545" w:hRule="exact"/>
        </w:trPr>
        <w:tc>
          <w:tcPr>
            <w:tcW w:w="33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浙江中科数城软</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件有限公司</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15"/>
                <w:sz w:val="21"/>
                <w:szCs w:val="21"/>
              </w:rPr>
              <w:t>软件销</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w w:val="100"/>
                <w:sz w:val="21"/>
                <w:szCs w:val="21"/>
              </w:rPr>
              <w:t>售</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市价；董事会批</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准</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69"/>
              <w:jc w:val="right"/>
              <w:rPr>
                <w:rFonts w:ascii="Arial Narrow" w:hAnsi="Arial Narrow" w:cs="Arial Narrow" w:eastAsia="Arial Narrow" w:hint="default"/>
                <w:sz w:val="21"/>
                <w:szCs w:val="21"/>
              </w:rPr>
            </w:pPr>
            <w:r>
              <w:rPr>
                <w:rFonts w:ascii="Arial Narrow"/>
                <w:w w:val="100"/>
                <w:sz w:val="21"/>
              </w:rPr>
              <w:t>-</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91"/>
              <w:jc w:val="right"/>
              <w:rPr>
                <w:rFonts w:ascii="Arial Narrow" w:hAnsi="Arial Narrow" w:cs="Arial Narrow" w:eastAsia="Arial Narrow" w:hint="default"/>
                <w:sz w:val="21"/>
                <w:szCs w:val="21"/>
              </w:rPr>
            </w:pPr>
            <w:r>
              <w:rPr>
                <w:rFonts w:ascii="Arial Narrow"/>
                <w:w w:val="100"/>
                <w:sz w:val="21"/>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69"/>
              <w:jc w:val="right"/>
              <w:rPr>
                <w:rFonts w:ascii="Arial Narrow" w:hAnsi="Arial Narrow" w:cs="Arial Narrow" w:eastAsia="Arial Narrow" w:hint="default"/>
                <w:sz w:val="21"/>
                <w:szCs w:val="21"/>
              </w:rPr>
            </w:pPr>
            <w:r>
              <w:rPr>
                <w:rFonts w:ascii="Arial Narrow"/>
                <w:spacing w:val="-1"/>
                <w:sz w:val="21"/>
              </w:rPr>
              <w:t>2.64</w:t>
            </w:r>
            <w:r>
              <w:rPr>
                <w:rFonts w:ascii="Arial Narrow"/>
                <w:sz w:val="21"/>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7"/>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r>
      <w:tr>
        <w:trPr>
          <w:trHeight w:val="817" w:hRule="exact"/>
        </w:trPr>
        <w:tc>
          <w:tcPr>
            <w:tcW w:w="33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北京国遥新天地</w:t>
            </w:r>
          </w:p>
          <w:p>
            <w:pPr>
              <w:pStyle w:val="TableParagraph"/>
              <w:spacing w:line="240" w:lineRule="auto"/>
              <w:ind w:left="115" w:right="105"/>
              <w:jc w:val="left"/>
              <w:rPr>
                <w:rFonts w:ascii="宋体" w:hAnsi="宋体" w:cs="宋体" w:eastAsia="宋体" w:hint="default"/>
                <w:sz w:val="21"/>
                <w:szCs w:val="21"/>
              </w:rPr>
            </w:pPr>
            <w:r>
              <w:rPr>
                <w:rFonts w:ascii="宋体" w:hAnsi="宋体" w:cs="宋体" w:eastAsia="宋体" w:hint="default"/>
                <w:spacing w:val="3"/>
                <w:sz w:val="21"/>
                <w:szCs w:val="21"/>
              </w:rPr>
              <w:t>信息技术有限公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w:t>
            </w:r>
          </w:p>
        </w:tc>
        <w:tc>
          <w:tcPr>
            <w:tcW w:w="907" w:type="dxa"/>
            <w:tcBorders>
              <w:top w:val="nil" w:sz="6" w:space="0" w:color="auto"/>
              <w:left w:val="nil" w:sz="6" w:space="0" w:color="auto"/>
              <w:bottom w:val="nil" w:sz="6" w:space="0" w:color="auto"/>
              <w:right w:val="nil" w:sz="6" w:space="0" w:color="auto"/>
            </w:tcBorders>
          </w:tcPr>
          <w:p>
            <w:pPr>
              <w:pStyle w:val="TableParagraph"/>
              <w:spacing w:line="272" w:lineRule="exact" w:before="132"/>
              <w:ind w:left="107" w:right="91"/>
              <w:jc w:val="left"/>
              <w:rPr>
                <w:rFonts w:ascii="宋体" w:hAnsi="宋体" w:cs="宋体" w:eastAsia="宋体" w:hint="default"/>
                <w:sz w:val="21"/>
                <w:szCs w:val="21"/>
              </w:rPr>
            </w:pPr>
            <w:r>
              <w:rPr>
                <w:rFonts w:ascii="宋体" w:hAnsi="宋体" w:cs="宋体" w:eastAsia="宋体" w:hint="default"/>
                <w:spacing w:val="15"/>
                <w:sz w:val="21"/>
                <w:szCs w:val="21"/>
              </w:rPr>
              <w:t>软件销</w:t>
            </w:r>
            <w:r>
              <w:rPr>
                <w:rFonts w:ascii="宋体" w:hAnsi="宋体" w:cs="宋体" w:eastAsia="宋体" w:hint="default"/>
                <w:spacing w:val="-99"/>
                <w:sz w:val="21"/>
                <w:szCs w:val="21"/>
              </w:rPr>
              <w:t> </w:t>
            </w:r>
            <w:r>
              <w:rPr>
                <w:rFonts w:ascii="宋体" w:hAnsi="宋体" w:cs="宋体" w:eastAsia="宋体" w:hint="default"/>
                <w:sz w:val="21"/>
                <w:szCs w:val="21"/>
              </w:rPr>
              <w:t>售</w:t>
            </w:r>
          </w:p>
        </w:tc>
        <w:tc>
          <w:tcPr>
            <w:tcW w:w="1838" w:type="dxa"/>
            <w:tcBorders>
              <w:top w:val="nil" w:sz="6" w:space="0" w:color="auto"/>
              <w:left w:val="nil" w:sz="6" w:space="0" w:color="auto"/>
              <w:bottom w:val="nil" w:sz="6" w:space="0" w:color="auto"/>
              <w:right w:val="nil" w:sz="6" w:space="0" w:color="auto"/>
            </w:tcBorders>
          </w:tcPr>
          <w:p>
            <w:pPr>
              <w:pStyle w:val="TableParagraph"/>
              <w:spacing w:line="272" w:lineRule="exact" w:before="132"/>
              <w:ind w:left="93" w:right="289"/>
              <w:jc w:val="left"/>
              <w:rPr>
                <w:rFonts w:ascii="宋体" w:hAnsi="宋体" w:cs="宋体" w:eastAsia="宋体" w:hint="default"/>
                <w:sz w:val="21"/>
                <w:szCs w:val="21"/>
              </w:rPr>
            </w:pPr>
            <w:r>
              <w:rPr>
                <w:rFonts w:ascii="宋体" w:hAnsi="宋体" w:cs="宋体" w:eastAsia="宋体" w:hint="default"/>
                <w:spacing w:val="-4"/>
                <w:sz w:val="21"/>
                <w:szCs w:val="21"/>
              </w:rPr>
              <w:t>市价；董事会批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准</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69"/>
              <w:jc w:val="right"/>
              <w:rPr>
                <w:rFonts w:ascii="Arial Narrow" w:hAnsi="Arial Narrow" w:cs="Arial Narrow" w:eastAsia="Arial Narrow" w:hint="default"/>
                <w:sz w:val="21"/>
                <w:szCs w:val="21"/>
              </w:rPr>
            </w:pPr>
            <w:r>
              <w:rPr>
                <w:rFonts w:ascii="Arial Narrow"/>
                <w:w w:val="100"/>
                <w:sz w:val="21"/>
              </w:rPr>
              <w:t>-</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91"/>
              <w:jc w:val="right"/>
              <w:rPr>
                <w:rFonts w:ascii="Arial Narrow" w:hAnsi="Arial Narrow" w:cs="Arial Narrow" w:eastAsia="Arial Narrow" w:hint="default"/>
                <w:sz w:val="21"/>
                <w:szCs w:val="21"/>
              </w:rPr>
            </w:pPr>
            <w:r>
              <w:rPr>
                <w:rFonts w:ascii="Arial Narrow"/>
                <w:w w:val="100"/>
                <w:sz w:val="21"/>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69"/>
              <w:jc w:val="right"/>
              <w:rPr>
                <w:rFonts w:ascii="Arial Narrow" w:hAnsi="Arial Narrow" w:cs="Arial Narrow" w:eastAsia="Arial Narrow" w:hint="default"/>
                <w:sz w:val="21"/>
                <w:szCs w:val="21"/>
              </w:rPr>
            </w:pPr>
            <w:r>
              <w:rPr>
                <w:rFonts w:ascii="Arial Narrow"/>
                <w:spacing w:val="-1"/>
                <w:sz w:val="21"/>
              </w:rPr>
              <w:t>2.18</w:t>
            </w:r>
            <w:r>
              <w:rPr>
                <w:rFonts w:ascii="Arial Narrow"/>
                <w:sz w:val="21"/>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r>
      <w:tr>
        <w:trPr>
          <w:trHeight w:val="818" w:hRule="exact"/>
        </w:trPr>
        <w:tc>
          <w:tcPr>
            <w:tcW w:w="33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北京国遥新天地</w:t>
            </w:r>
          </w:p>
          <w:p>
            <w:pPr>
              <w:pStyle w:val="TableParagraph"/>
              <w:spacing w:line="272" w:lineRule="exact" w:before="27"/>
              <w:ind w:left="115" w:right="105"/>
              <w:jc w:val="left"/>
              <w:rPr>
                <w:rFonts w:ascii="宋体" w:hAnsi="宋体" w:cs="宋体" w:eastAsia="宋体" w:hint="default"/>
                <w:sz w:val="21"/>
                <w:szCs w:val="21"/>
              </w:rPr>
            </w:pPr>
            <w:r>
              <w:rPr>
                <w:rFonts w:ascii="宋体" w:hAnsi="宋体" w:cs="宋体" w:eastAsia="宋体" w:hint="default"/>
                <w:spacing w:val="3"/>
                <w:sz w:val="21"/>
                <w:szCs w:val="21"/>
              </w:rPr>
              <w:t>信息技术有限公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司</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7" w:right="91"/>
              <w:jc w:val="left"/>
              <w:rPr>
                <w:rFonts w:ascii="宋体" w:hAnsi="宋体" w:cs="宋体" w:eastAsia="宋体" w:hint="default"/>
                <w:sz w:val="21"/>
                <w:szCs w:val="21"/>
              </w:rPr>
            </w:pPr>
            <w:r>
              <w:rPr>
                <w:rFonts w:ascii="宋体" w:hAnsi="宋体" w:cs="宋体" w:eastAsia="宋体" w:hint="default"/>
                <w:spacing w:val="15"/>
                <w:sz w:val="21"/>
                <w:szCs w:val="21"/>
              </w:rPr>
              <w:t>软件技</w:t>
            </w:r>
            <w:r>
              <w:rPr>
                <w:rFonts w:ascii="宋体" w:hAnsi="宋体" w:cs="宋体" w:eastAsia="宋体" w:hint="default"/>
                <w:spacing w:val="-99"/>
                <w:sz w:val="21"/>
                <w:szCs w:val="21"/>
              </w:rPr>
              <w:t> </w:t>
            </w:r>
            <w:r>
              <w:rPr>
                <w:rFonts w:ascii="宋体" w:hAnsi="宋体" w:cs="宋体" w:eastAsia="宋体" w:hint="default"/>
                <w:sz w:val="21"/>
                <w:szCs w:val="21"/>
              </w:rPr>
              <w:t>术开发</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3" w:right="289"/>
              <w:jc w:val="left"/>
              <w:rPr>
                <w:rFonts w:ascii="宋体" w:hAnsi="宋体" w:cs="宋体" w:eastAsia="宋体" w:hint="default"/>
                <w:sz w:val="21"/>
                <w:szCs w:val="21"/>
              </w:rPr>
            </w:pPr>
            <w:r>
              <w:rPr>
                <w:rFonts w:ascii="宋体" w:hAnsi="宋体" w:cs="宋体" w:eastAsia="宋体" w:hint="default"/>
                <w:spacing w:val="-4"/>
                <w:sz w:val="21"/>
                <w:szCs w:val="21"/>
              </w:rPr>
              <w:t>市价；董事会批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准</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69"/>
              <w:jc w:val="right"/>
              <w:rPr>
                <w:rFonts w:ascii="Arial Narrow" w:hAnsi="Arial Narrow" w:cs="Arial Narrow" w:eastAsia="Arial Narrow" w:hint="default"/>
                <w:sz w:val="21"/>
                <w:szCs w:val="21"/>
              </w:rPr>
            </w:pPr>
            <w:r>
              <w:rPr>
                <w:rFonts w:ascii="Arial Narrow"/>
                <w:spacing w:val="-1"/>
                <w:sz w:val="21"/>
              </w:rPr>
              <w:t>1.44</w:t>
            </w:r>
            <w:r>
              <w:rPr>
                <w:rFonts w:ascii="Arial Narrow"/>
                <w:sz w:val="21"/>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1"/>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69"/>
              <w:jc w:val="right"/>
              <w:rPr>
                <w:rFonts w:ascii="Arial Narrow" w:hAnsi="Arial Narrow" w:cs="Arial Narrow" w:eastAsia="Arial Narrow" w:hint="default"/>
                <w:sz w:val="21"/>
                <w:szCs w:val="21"/>
              </w:rPr>
            </w:pPr>
            <w:r>
              <w:rPr>
                <w:rFonts w:ascii="Arial Narrow"/>
                <w:spacing w:val="-1"/>
                <w:sz w:val="21"/>
              </w:rPr>
              <w:t>2.40</w:t>
            </w:r>
            <w:r>
              <w:rPr>
                <w:rFonts w:ascii="Arial Narrow"/>
                <w:sz w:val="21"/>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r>
      <w:tr>
        <w:trPr>
          <w:trHeight w:val="818" w:hRule="exact"/>
        </w:trPr>
        <w:tc>
          <w:tcPr>
            <w:tcW w:w="33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中国科学院地理</w:t>
            </w:r>
          </w:p>
          <w:p>
            <w:pPr>
              <w:pStyle w:val="TableParagraph"/>
              <w:spacing w:line="240" w:lineRule="auto"/>
              <w:ind w:left="115" w:right="105"/>
              <w:jc w:val="left"/>
              <w:rPr>
                <w:rFonts w:ascii="宋体" w:hAnsi="宋体" w:cs="宋体" w:eastAsia="宋体" w:hint="default"/>
                <w:sz w:val="21"/>
                <w:szCs w:val="21"/>
              </w:rPr>
            </w:pPr>
            <w:r>
              <w:rPr>
                <w:rFonts w:ascii="宋体" w:hAnsi="宋体" w:cs="宋体" w:eastAsia="宋体" w:hint="default"/>
                <w:spacing w:val="3"/>
                <w:sz w:val="21"/>
                <w:szCs w:val="21"/>
              </w:rPr>
              <w:t>科学与资源研究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所</w:t>
            </w:r>
          </w:p>
        </w:tc>
        <w:tc>
          <w:tcPr>
            <w:tcW w:w="907" w:type="dxa"/>
            <w:tcBorders>
              <w:top w:val="nil" w:sz="6" w:space="0" w:color="auto"/>
              <w:left w:val="nil" w:sz="6" w:space="0" w:color="auto"/>
              <w:bottom w:val="nil" w:sz="6" w:space="0" w:color="auto"/>
              <w:right w:val="nil" w:sz="6" w:space="0" w:color="auto"/>
            </w:tcBorders>
          </w:tcPr>
          <w:p>
            <w:pPr>
              <w:pStyle w:val="TableParagraph"/>
              <w:spacing w:line="272" w:lineRule="exact" w:before="132"/>
              <w:ind w:left="107" w:right="91"/>
              <w:jc w:val="left"/>
              <w:rPr>
                <w:rFonts w:ascii="宋体" w:hAnsi="宋体" w:cs="宋体" w:eastAsia="宋体" w:hint="default"/>
                <w:sz w:val="21"/>
                <w:szCs w:val="21"/>
              </w:rPr>
            </w:pPr>
            <w:r>
              <w:rPr>
                <w:rFonts w:ascii="宋体" w:hAnsi="宋体" w:cs="宋体" w:eastAsia="宋体" w:hint="default"/>
                <w:spacing w:val="15"/>
                <w:sz w:val="21"/>
                <w:szCs w:val="21"/>
              </w:rPr>
              <w:t>软件销</w:t>
            </w:r>
            <w:r>
              <w:rPr>
                <w:rFonts w:ascii="宋体" w:hAnsi="宋体" w:cs="宋体" w:eastAsia="宋体" w:hint="default"/>
                <w:spacing w:val="-99"/>
                <w:sz w:val="21"/>
                <w:szCs w:val="21"/>
              </w:rPr>
              <w:t> </w:t>
            </w:r>
            <w:r>
              <w:rPr>
                <w:rFonts w:ascii="宋体" w:hAnsi="宋体" w:cs="宋体" w:eastAsia="宋体" w:hint="default"/>
                <w:sz w:val="21"/>
                <w:szCs w:val="21"/>
              </w:rPr>
              <w:t>售</w:t>
            </w:r>
          </w:p>
        </w:tc>
        <w:tc>
          <w:tcPr>
            <w:tcW w:w="1838" w:type="dxa"/>
            <w:tcBorders>
              <w:top w:val="nil" w:sz="6" w:space="0" w:color="auto"/>
              <w:left w:val="nil" w:sz="6" w:space="0" w:color="auto"/>
              <w:bottom w:val="nil" w:sz="6" w:space="0" w:color="auto"/>
              <w:right w:val="nil" w:sz="6" w:space="0" w:color="auto"/>
            </w:tcBorders>
          </w:tcPr>
          <w:p>
            <w:pPr>
              <w:pStyle w:val="TableParagraph"/>
              <w:spacing w:line="272" w:lineRule="exact" w:before="132"/>
              <w:ind w:left="93" w:right="289"/>
              <w:jc w:val="left"/>
              <w:rPr>
                <w:rFonts w:ascii="宋体" w:hAnsi="宋体" w:cs="宋体" w:eastAsia="宋体" w:hint="default"/>
                <w:sz w:val="21"/>
                <w:szCs w:val="21"/>
              </w:rPr>
            </w:pPr>
            <w:r>
              <w:rPr>
                <w:rFonts w:ascii="宋体" w:hAnsi="宋体" w:cs="宋体" w:eastAsia="宋体" w:hint="default"/>
                <w:spacing w:val="-4"/>
                <w:sz w:val="21"/>
                <w:szCs w:val="21"/>
              </w:rPr>
              <w:t>市价；董事会批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准</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69"/>
              <w:jc w:val="right"/>
              <w:rPr>
                <w:rFonts w:ascii="Arial Narrow" w:hAnsi="Arial Narrow" w:cs="Arial Narrow" w:eastAsia="Arial Narrow" w:hint="default"/>
                <w:sz w:val="21"/>
                <w:szCs w:val="21"/>
              </w:rPr>
            </w:pPr>
            <w:r>
              <w:rPr>
                <w:rFonts w:ascii="Arial Narrow"/>
                <w:w w:val="100"/>
                <w:sz w:val="21"/>
              </w:rPr>
              <w:t>-</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91"/>
              <w:jc w:val="right"/>
              <w:rPr>
                <w:rFonts w:ascii="Arial Narrow" w:hAnsi="Arial Narrow" w:cs="Arial Narrow" w:eastAsia="Arial Narrow" w:hint="default"/>
                <w:sz w:val="21"/>
                <w:szCs w:val="21"/>
              </w:rPr>
            </w:pPr>
            <w:r>
              <w:rPr>
                <w:rFonts w:ascii="Arial Narrow"/>
                <w:w w:val="100"/>
                <w:sz w:val="21"/>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69"/>
              <w:jc w:val="right"/>
              <w:rPr>
                <w:rFonts w:ascii="Arial Narrow" w:hAnsi="Arial Narrow" w:cs="Arial Narrow" w:eastAsia="Arial Narrow" w:hint="default"/>
                <w:sz w:val="21"/>
                <w:szCs w:val="21"/>
              </w:rPr>
            </w:pPr>
            <w:r>
              <w:rPr>
                <w:rFonts w:ascii="Arial Narrow"/>
                <w:spacing w:val="-1"/>
                <w:sz w:val="21"/>
              </w:rPr>
              <w:t>35.23</w:t>
            </w:r>
            <w:r>
              <w:rPr>
                <w:rFonts w:ascii="Arial Narrow"/>
                <w:sz w:val="21"/>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0.17</w:t>
            </w:r>
            <w:r>
              <w:rPr>
                <w:rFonts w:ascii="Arial Narrow"/>
                <w:sz w:val="21"/>
              </w:rPr>
            </w:r>
          </w:p>
        </w:tc>
      </w:tr>
      <w:tr>
        <w:trPr>
          <w:trHeight w:val="817" w:hRule="exact"/>
        </w:trPr>
        <w:tc>
          <w:tcPr>
            <w:tcW w:w="33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中国科学院地理</w:t>
            </w:r>
          </w:p>
          <w:p>
            <w:pPr>
              <w:pStyle w:val="TableParagraph"/>
              <w:spacing w:line="272" w:lineRule="exact" w:before="27"/>
              <w:ind w:left="115" w:right="105"/>
              <w:jc w:val="left"/>
              <w:rPr>
                <w:rFonts w:ascii="宋体" w:hAnsi="宋体" w:cs="宋体" w:eastAsia="宋体" w:hint="default"/>
                <w:sz w:val="21"/>
                <w:szCs w:val="21"/>
              </w:rPr>
            </w:pPr>
            <w:r>
              <w:rPr>
                <w:rFonts w:ascii="宋体" w:hAnsi="宋体" w:cs="宋体" w:eastAsia="宋体" w:hint="default"/>
                <w:spacing w:val="3"/>
                <w:sz w:val="21"/>
                <w:szCs w:val="21"/>
              </w:rPr>
              <w:t>科学与资源研究</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所</w:t>
            </w:r>
          </w:p>
        </w:tc>
        <w:tc>
          <w:tcPr>
            <w:tcW w:w="907"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107" w:right="91"/>
              <w:jc w:val="left"/>
              <w:rPr>
                <w:rFonts w:ascii="宋体" w:hAnsi="宋体" w:cs="宋体" w:eastAsia="宋体" w:hint="default"/>
                <w:sz w:val="21"/>
                <w:szCs w:val="21"/>
              </w:rPr>
            </w:pPr>
            <w:r>
              <w:rPr>
                <w:rFonts w:ascii="宋体" w:hAnsi="宋体" w:cs="宋体" w:eastAsia="宋体" w:hint="default"/>
                <w:spacing w:val="15"/>
                <w:sz w:val="21"/>
                <w:szCs w:val="21"/>
              </w:rPr>
              <w:t>软件技</w:t>
            </w:r>
            <w:r>
              <w:rPr>
                <w:rFonts w:ascii="宋体" w:hAnsi="宋体" w:cs="宋体" w:eastAsia="宋体" w:hint="default"/>
                <w:spacing w:val="-99"/>
                <w:sz w:val="21"/>
                <w:szCs w:val="21"/>
              </w:rPr>
              <w:t> </w:t>
            </w:r>
            <w:r>
              <w:rPr>
                <w:rFonts w:ascii="宋体" w:hAnsi="宋体" w:cs="宋体" w:eastAsia="宋体" w:hint="default"/>
                <w:sz w:val="21"/>
                <w:szCs w:val="21"/>
              </w:rPr>
              <w:t>术开发</w:t>
            </w:r>
          </w:p>
        </w:tc>
        <w:tc>
          <w:tcPr>
            <w:tcW w:w="1838" w:type="dxa"/>
            <w:tcBorders>
              <w:top w:val="nil" w:sz="6" w:space="0" w:color="auto"/>
              <w:left w:val="nil" w:sz="6" w:space="0" w:color="auto"/>
              <w:bottom w:val="nil" w:sz="6" w:space="0" w:color="auto"/>
              <w:right w:val="nil" w:sz="6" w:space="0" w:color="auto"/>
            </w:tcBorders>
          </w:tcPr>
          <w:p>
            <w:pPr>
              <w:pStyle w:val="TableParagraph"/>
              <w:spacing w:line="272" w:lineRule="exact" w:before="130"/>
              <w:ind w:left="93" w:right="289"/>
              <w:jc w:val="left"/>
              <w:rPr>
                <w:rFonts w:ascii="宋体" w:hAnsi="宋体" w:cs="宋体" w:eastAsia="宋体" w:hint="default"/>
                <w:sz w:val="21"/>
                <w:szCs w:val="21"/>
              </w:rPr>
            </w:pPr>
            <w:r>
              <w:rPr>
                <w:rFonts w:ascii="宋体" w:hAnsi="宋体" w:cs="宋体" w:eastAsia="宋体" w:hint="default"/>
                <w:spacing w:val="-4"/>
                <w:sz w:val="21"/>
                <w:szCs w:val="21"/>
              </w:rPr>
              <w:t>市价；董事会批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准</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69"/>
              <w:jc w:val="right"/>
              <w:rPr>
                <w:rFonts w:ascii="Arial Narrow" w:hAnsi="Arial Narrow" w:cs="Arial Narrow" w:eastAsia="Arial Narrow" w:hint="default"/>
                <w:sz w:val="21"/>
                <w:szCs w:val="21"/>
              </w:rPr>
            </w:pPr>
            <w:r>
              <w:rPr>
                <w:rFonts w:ascii="Arial Narrow"/>
                <w:spacing w:val="-1"/>
                <w:sz w:val="21"/>
              </w:rPr>
              <w:t>21.83</w:t>
            </w:r>
            <w:r>
              <w:rPr>
                <w:rFonts w:ascii="Arial Narrow"/>
                <w:sz w:val="21"/>
              </w:rPr>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91"/>
              <w:jc w:val="right"/>
              <w:rPr>
                <w:rFonts w:ascii="Arial Narrow" w:hAnsi="Arial Narrow" w:cs="Arial Narrow" w:eastAsia="Arial Narrow" w:hint="default"/>
                <w:sz w:val="21"/>
                <w:szCs w:val="21"/>
              </w:rPr>
            </w:pPr>
            <w:r>
              <w:rPr>
                <w:rFonts w:ascii="Arial Narrow"/>
                <w:spacing w:val="-1"/>
                <w:sz w:val="21"/>
              </w:rPr>
              <w:t>0.07</w:t>
            </w:r>
            <w:r>
              <w:rPr>
                <w:rFonts w:ascii="Arial Narrow"/>
                <w:sz w:val="21"/>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69"/>
              <w:jc w:val="right"/>
              <w:rPr>
                <w:rFonts w:ascii="Arial Narrow" w:hAnsi="Arial Narrow" w:cs="Arial Narrow" w:eastAsia="Arial Narrow" w:hint="default"/>
                <w:sz w:val="21"/>
                <w:szCs w:val="21"/>
              </w:rPr>
            </w:pPr>
            <w:r>
              <w:rPr>
                <w:rFonts w:ascii="Arial Narrow"/>
                <w:spacing w:val="-1"/>
                <w:sz w:val="21"/>
              </w:rPr>
              <w:t>39.73</w:t>
            </w:r>
            <w:r>
              <w:rPr>
                <w:rFonts w:ascii="Arial Narrow"/>
                <w:sz w:val="21"/>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
              <w:jc w:val="right"/>
              <w:rPr>
                <w:rFonts w:ascii="Arial Narrow" w:hAnsi="Arial Narrow" w:cs="Arial Narrow" w:eastAsia="Arial Narrow" w:hint="default"/>
                <w:sz w:val="21"/>
                <w:szCs w:val="21"/>
              </w:rPr>
            </w:pPr>
            <w:r>
              <w:rPr>
                <w:rFonts w:ascii="Arial Narrow"/>
                <w:spacing w:val="-1"/>
                <w:sz w:val="21"/>
              </w:rPr>
              <w:t>0.20</w:t>
            </w:r>
            <w:r>
              <w:rPr>
                <w:rFonts w:ascii="Arial Narrow"/>
                <w:sz w:val="21"/>
              </w:rPr>
            </w:r>
          </w:p>
        </w:tc>
      </w:tr>
      <w:tr>
        <w:trPr>
          <w:trHeight w:val="556" w:hRule="exact"/>
        </w:trPr>
        <w:tc>
          <w:tcPr>
            <w:tcW w:w="334"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single" w:sz="8" w:space="0" w:color="000000"/>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嘉兴兴球信息技</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术有限公司</w:t>
            </w:r>
          </w:p>
        </w:tc>
        <w:tc>
          <w:tcPr>
            <w:tcW w:w="907" w:type="dxa"/>
            <w:tcBorders>
              <w:top w:val="nil" w:sz="6" w:space="0" w:color="auto"/>
              <w:left w:val="nil" w:sz="6" w:space="0" w:color="auto"/>
              <w:bottom w:val="single" w:sz="8" w:space="0" w:color="000000"/>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15"/>
                <w:sz w:val="21"/>
                <w:szCs w:val="21"/>
              </w:rPr>
              <w:t>软件技</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术开发</w:t>
            </w:r>
          </w:p>
        </w:tc>
        <w:tc>
          <w:tcPr>
            <w:tcW w:w="1838" w:type="dxa"/>
            <w:tcBorders>
              <w:top w:val="nil" w:sz="6" w:space="0" w:color="auto"/>
              <w:left w:val="nil" w:sz="6" w:space="0" w:color="auto"/>
              <w:bottom w:val="single" w:sz="8" w:space="0" w:color="000000"/>
              <w:right w:val="nil" w:sz="6" w:space="0" w:color="auto"/>
            </w:tcBorders>
          </w:tcPr>
          <w:p>
            <w:pPr>
              <w:pStyle w:val="TableParagraph"/>
              <w:spacing w:line="240" w:lineRule="exact"/>
              <w:ind w:left="93" w:right="0"/>
              <w:jc w:val="left"/>
              <w:rPr>
                <w:rFonts w:ascii="宋体" w:hAnsi="宋体" w:cs="宋体" w:eastAsia="宋体" w:hint="default"/>
                <w:sz w:val="21"/>
                <w:szCs w:val="21"/>
              </w:rPr>
            </w:pPr>
            <w:r>
              <w:rPr>
                <w:rFonts w:ascii="宋体" w:hAnsi="宋体" w:cs="宋体" w:eastAsia="宋体" w:hint="default"/>
                <w:spacing w:val="-4"/>
                <w:sz w:val="21"/>
                <w:szCs w:val="21"/>
              </w:rPr>
              <w:t>市价；董事会批</w:t>
            </w:r>
          </w:p>
          <w:p>
            <w:pPr>
              <w:pStyle w:val="TableParagraph"/>
              <w:spacing w:line="273" w:lineRule="exact"/>
              <w:ind w:left="93" w:right="0"/>
              <w:jc w:val="left"/>
              <w:rPr>
                <w:rFonts w:ascii="宋体" w:hAnsi="宋体" w:cs="宋体" w:eastAsia="宋体" w:hint="default"/>
                <w:sz w:val="21"/>
                <w:szCs w:val="21"/>
              </w:rPr>
            </w:pPr>
            <w:r>
              <w:rPr>
                <w:rFonts w:ascii="宋体" w:hAnsi="宋体" w:cs="宋体" w:eastAsia="宋体" w:hint="default"/>
                <w:w w:val="100"/>
                <w:sz w:val="21"/>
                <w:szCs w:val="21"/>
              </w:rPr>
              <w:t>准</w:t>
            </w:r>
          </w:p>
        </w:tc>
        <w:tc>
          <w:tcPr>
            <w:tcW w:w="1295" w:type="dxa"/>
            <w:tcBorders>
              <w:top w:val="nil" w:sz="6" w:space="0" w:color="auto"/>
              <w:left w:val="nil" w:sz="6" w:space="0" w:color="auto"/>
              <w:bottom w:val="single" w:sz="8" w:space="0" w:color="000000"/>
              <w:right w:val="nil" w:sz="6" w:space="0" w:color="auto"/>
            </w:tcBorders>
          </w:tcPr>
          <w:p>
            <w:pPr>
              <w:pStyle w:val="TableParagraph"/>
              <w:spacing w:line="240" w:lineRule="auto" w:before="148"/>
              <w:ind w:right="569"/>
              <w:jc w:val="right"/>
              <w:rPr>
                <w:rFonts w:ascii="Arial Narrow" w:hAnsi="Arial Narrow" w:cs="Arial Narrow" w:eastAsia="Arial Narrow" w:hint="default"/>
                <w:sz w:val="21"/>
                <w:szCs w:val="21"/>
              </w:rPr>
            </w:pPr>
            <w:r>
              <w:rPr>
                <w:rFonts w:ascii="Arial Narrow"/>
                <w:w w:val="100"/>
                <w:sz w:val="21"/>
              </w:rPr>
              <w:t>-</w:t>
            </w:r>
          </w:p>
        </w:tc>
        <w:tc>
          <w:tcPr>
            <w:tcW w:w="1200" w:type="dxa"/>
            <w:tcBorders>
              <w:top w:val="nil" w:sz="6" w:space="0" w:color="auto"/>
              <w:left w:val="nil" w:sz="6" w:space="0" w:color="auto"/>
              <w:bottom w:val="single" w:sz="8" w:space="0" w:color="000000"/>
              <w:right w:val="nil" w:sz="6" w:space="0" w:color="auto"/>
            </w:tcBorders>
          </w:tcPr>
          <w:p>
            <w:pPr>
              <w:pStyle w:val="TableParagraph"/>
              <w:spacing w:line="240" w:lineRule="auto" w:before="148"/>
              <w:ind w:right="291"/>
              <w:jc w:val="right"/>
              <w:rPr>
                <w:rFonts w:ascii="Arial Narrow" w:hAnsi="Arial Narrow" w:cs="Arial Narrow" w:eastAsia="Arial Narrow" w:hint="default"/>
                <w:sz w:val="21"/>
                <w:szCs w:val="21"/>
              </w:rPr>
            </w:pPr>
            <w:r>
              <w:rPr>
                <w:rFonts w:ascii="Arial Narrow"/>
                <w:w w:val="100"/>
                <w:sz w:val="21"/>
              </w:rPr>
              <w:t>-</w:t>
            </w:r>
          </w:p>
        </w:tc>
        <w:tc>
          <w:tcPr>
            <w:tcW w:w="1296" w:type="dxa"/>
            <w:tcBorders>
              <w:top w:val="nil" w:sz="6" w:space="0" w:color="auto"/>
              <w:left w:val="nil" w:sz="6" w:space="0" w:color="auto"/>
              <w:bottom w:val="single" w:sz="8" w:space="0" w:color="000000"/>
              <w:right w:val="nil" w:sz="6" w:space="0" w:color="auto"/>
            </w:tcBorders>
          </w:tcPr>
          <w:p>
            <w:pPr>
              <w:pStyle w:val="TableParagraph"/>
              <w:spacing w:line="240" w:lineRule="auto" w:before="148"/>
              <w:ind w:right="569"/>
              <w:jc w:val="right"/>
              <w:rPr>
                <w:rFonts w:ascii="Arial Narrow" w:hAnsi="Arial Narrow" w:cs="Arial Narrow" w:eastAsia="Arial Narrow" w:hint="default"/>
                <w:sz w:val="21"/>
                <w:szCs w:val="21"/>
              </w:rPr>
            </w:pPr>
            <w:r>
              <w:rPr>
                <w:rFonts w:ascii="Arial Narrow"/>
                <w:spacing w:val="-1"/>
                <w:sz w:val="21"/>
              </w:rPr>
              <w:t>0.60</w:t>
            </w:r>
            <w:r>
              <w:rPr>
                <w:rFonts w:ascii="Arial Narrow"/>
                <w:sz w:val="21"/>
              </w:rPr>
            </w:r>
          </w:p>
        </w:tc>
        <w:tc>
          <w:tcPr>
            <w:tcW w:w="936" w:type="dxa"/>
            <w:tcBorders>
              <w:top w:val="nil" w:sz="6" w:space="0" w:color="auto"/>
              <w:left w:val="nil" w:sz="6" w:space="0" w:color="auto"/>
              <w:bottom w:val="single" w:sz="8" w:space="0" w:color="000000"/>
              <w:right w:val="nil" w:sz="6" w:space="0" w:color="auto"/>
            </w:tcBorders>
          </w:tcPr>
          <w:p>
            <w:pPr>
              <w:pStyle w:val="TableParagraph"/>
              <w:spacing w:line="240" w:lineRule="auto" w:before="148"/>
              <w:ind w:right="26"/>
              <w:jc w:val="right"/>
              <w:rPr>
                <w:rFonts w:ascii="Arial Narrow" w:hAnsi="Arial Narrow" w:cs="Arial Narrow" w:eastAsia="Arial Narrow" w:hint="default"/>
                <w:sz w:val="21"/>
                <w:szCs w:val="21"/>
              </w:rPr>
            </w:pPr>
            <w:r>
              <w:rPr>
                <w:rFonts w:ascii="Arial Narrow"/>
                <w:w w:val="100"/>
                <w:sz w:val="21"/>
              </w:rPr>
              <w:t>-</w:t>
            </w:r>
          </w:p>
        </w:tc>
      </w:tr>
    </w:tbl>
    <w:p>
      <w:pPr>
        <w:pStyle w:val="BodyText"/>
        <w:spacing w:line="240" w:lineRule="auto" w:before="79"/>
        <w:ind w:left="559" w:right="0"/>
        <w:jc w:val="left"/>
      </w:pPr>
      <w:r>
        <w:rPr/>
        <w:t>（</w:t>
      </w:r>
      <w:r>
        <w:rPr>
          <w:rFonts w:ascii="Arial Narrow" w:hAnsi="Arial Narrow" w:cs="Arial Narrow" w:eastAsia="Arial Narrow" w:hint="default"/>
        </w:rPr>
        <w:t>2</w:t>
      </w:r>
      <w:r>
        <w:rPr/>
        <w:t>）支付关键管理人员薪酬</w:t>
      </w:r>
    </w:p>
    <w:p>
      <w:pPr>
        <w:pStyle w:val="BodyText"/>
        <w:spacing w:line="240" w:lineRule="auto" w:before="197"/>
        <w:ind w:left="562" w:right="0"/>
        <w:jc w:val="left"/>
      </w:pPr>
      <w:r>
        <w:rPr/>
        <w:t>本公司本期关键管理人员</w:t>
      </w:r>
      <w:r>
        <w:rPr>
          <w:spacing w:val="-62"/>
        </w:rPr>
        <w:t> </w:t>
      </w:r>
      <w:r>
        <w:rPr>
          <w:rFonts w:ascii="Arial Narrow" w:hAnsi="Arial Narrow" w:cs="Arial Narrow" w:eastAsia="Arial Narrow" w:hint="default"/>
        </w:rPr>
        <w:t>13</w:t>
      </w:r>
      <w:r>
        <w:rPr>
          <w:rFonts w:ascii="Arial Narrow" w:hAnsi="Arial Narrow" w:cs="Arial Narrow" w:eastAsia="Arial Narrow" w:hint="default"/>
          <w:spacing w:val="4"/>
        </w:rPr>
        <w:t> </w:t>
      </w:r>
      <w:r>
        <w:rPr/>
        <w:t>人，上期关键管理人员</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4"/>
        </w:rPr>
        <w:t> </w:t>
      </w:r>
      <w:r>
        <w:rPr/>
        <w:t>人，支付薪酬情况见下表：</w:t>
      </w:r>
    </w:p>
    <w:p>
      <w:pPr>
        <w:spacing w:line="240" w:lineRule="auto" w:before="13"/>
        <w:rPr>
          <w:rFonts w:ascii="宋体" w:hAnsi="宋体" w:cs="宋体" w:eastAsia="宋体" w:hint="default"/>
          <w:sz w:val="17"/>
          <w:szCs w:val="17"/>
        </w:rPr>
      </w:pPr>
    </w:p>
    <w:tbl>
      <w:tblPr>
        <w:tblW w:w="0" w:type="auto"/>
        <w:jc w:val="left"/>
        <w:tblInd w:w="439" w:type="dxa"/>
        <w:tblLayout w:type="fixed"/>
        <w:tblCellMar>
          <w:top w:w="0" w:type="dxa"/>
          <w:left w:w="0" w:type="dxa"/>
          <w:bottom w:w="0" w:type="dxa"/>
          <w:right w:w="0" w:type="dxa"/>
        </w:tblCellMar>
        <w:tblLook w:val="01E0"/>
      </w:tblPr>
      <w:tblGrid>
        <w:gridCol w:w="1517"/>
        <w:gridCol w:w="1583"/>
        <w:gridCol w:w="1526"/>
        <w:gridCol w:w="1529"/>
        <w:gridCol w:w="1528"/>
        <w:gridCol w:w="1507"/>
      </w:tblGrid>
      <w:tr>
        <w:trPr>
          <w:trHeight w:val="349" w:hRule="exact"/>
        </w:trPr>
        <w:tc>
          <w:tcPr>
            <w:tcW w:w="1517" w:type="dxa"/>
            <w:tcBorders>
              <w:top w:val="single" w:sz="8" w:space="0" w:color="000000"/>
              <w:left w:val="nil" w:sz="6" w:space="0" w:color="auto"/>
              <w:bottom w:val="nil" w:sz="6" w:space="0" w:color="auto"/>
              <w:right w:val="nil" w:sz="6" w:space="0" w:color="auto"/>
            </w:tcBorders>
          </w:tcPr>
          <w:p>
            <w:pPr/>
          </w:p>
        </w:tc>
        <w:tc>
          <w:tcPr>
            <w:tcW w:w="1583" w:type="dxa"/>
            <w:vMerge w:val="restart"/>
            <w:tcBorders>
              <w:top w:val="single" w:sz="8" w:space="0" w:color="000000"/>
              <w:left w:val="nil" w:sz="6" w:space="0" w:color="auto"/>
              <w:right w:val="nil" w:sz="6" w:space="0" w:color="auto"/>
            </w:tcBorders>
          </w:tcPr>
          <w:p>
            <w:pPr>
              <w:pStyle w:val="TableParagraph"/>
              <w:spacing w:line="237" w:lineRule="auto" w:before="35"/>
              <w:ind w:left="131" w:right="124"/>
              <w:jc w:val="both"/>
              <w:rPr>
                <w:rFonts w:ascii="宋体" w:hAnsi="宋体" w:cs="宋体" w:eastAsia="宋体" w:hint="default"/>
                <w:sz w:val="21"/>
                <w:szCs w:val="21"/>
              </w:rPr>
            </w:pPr>
            <w:r>
              <w:rPr>
                <w:rFonts w:ascii="宋体" w:hAnsi="宋体" w:cs="宋体" w:eastAsia="宋体" w:hint="default"/>
                <w:b/>
                <w:bCs/>
                <w:spacing w:val="8"/>
                <w:sz w:val="21"/>
                <w:szCs w:val="21"/>
              </w:rPr>
              <w:t>支付关键管理</w:t>
            </w:r>
            <w:r>
              <w:rPr>
                <w:rFonts w:ascii="宋体" w:hAnsi="宋体" w:cs="宋体" w:eastAsia="宋体" w:hint="default"/>
                <w:b/>
                <w:bCs/>
                <w:spacing w:val="-98"/>
                <w:sz w:val="21"/>
                <w:szCs w:val="21"/>
              </w:rPr>
              <w:t> </w:t>
            </w:r>
            <w:r>
              <w:rPr>
                <w:rFonts w:ascii="宋体" w:hAnsi="宋体" w:cs="宋体" w:eastAsia="宋体" w:hint="default"/>
                <w:b/>
                <w:bCs/>
                <w:spacing w:val="8"/>
                <w:sz w:val="21"/>
                <w:szCs w:val="21"/>
              </w:rPr>
              <w:t>人员薪酬决策</w:t>
            </w:r>
            <w:r>
              <w:rPr>
                <w:rFonts w:ascii="宋体" w:hAnsi="宋体" w:cs="宋体" w:eastAsia="宋体" w:hint="default"/>
                <w:b/>
                <w:bCs/>
                <w:spacing w:val="-98"/>
                <w:sz w:val="21"/>
                <w:szCs w:val="21"/>
              </w:rPr>
              <w:t> </w:t>
            </w:r>
            <w:r>
              <w:rPr>
                <w:rFonts w:ascii="宋体" w:hAnsi="宋体" w:cs="宋体" w:eastAsia="宋体" w:hint="default"/>
                <w:b/>
                <w:bCs/>
                <w:sz w:val="21"/>
                <w:szCs w:val="21"/>
              </w:rPr>
              <w:t>程序</w:t>
            </w:r>
            <w:r>
              <w:rPr>
                <w:rFonts w:ascii="宋体" w:hAnsi="宋体" w:cs="宋体" w:eastAsia="宋体" w:hint="default"/>
                <w:sz w:val="21"/>
                <w:szCs w:val="21"/>
              </w:rPr>
            </w:r>
          </w:p>
        </w:tc>
        <w:tc>
          <w:tcPr>
            <w:tcW w:w="3055"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33"/>
              <w:ind w:left="971"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035"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33"/>
              <w:ind w:left="97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38" w:hRule="exact"/>
        </w:trPr>
        <w:tc>
          <w:tcPr>
            <w:tcW w:w="1517" w:type="dxa"/>
            <w:tcBorders>
              <w:top w:val="nil" w:sz="6" w:space="0" w:color="auto"/>
              <w:left w:val="nil" w:sz="6" w:space="0" w:color="auto"/>
              <w:bottom w:val="nil" w:sz="6" w:space="0" w:color="auto"/>
              <w:right w:val="nil" w:sz="6" w:space="0" w:color="auto"/>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583" w:type="dxa"/>
            <w:vMerge/>
            <w:tcBorders>
              <w:left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529" w:type="dxa"/>
            <w:vMerge w:val="restart"/>
            <w:tcBorders>
              <w:top w:val="nil" w:sz="6" w:space="0" w:color="auto"/>
              <w:left w:val="nil" w:sz="6" w:space="0" w:color="auto"/>
              <w:right w:val="nil" w:sz="6" w:space="0" w:color="auto"/>
            </w:tcBorders>
          </w:tcPr>
          <w:p>
            <w:pPr>
              <w:pStyle w:val="TableParagraph"/>
              <w:spacing w:line="240" w:lineRule="auto" w:before="32"/>
              <w:ind w:left="343" w:right="127" w:hanging="212"/>
              <w:jc w:val="left"/>
              <w:rPr>
                <w:rFonts w:ascii="宋体" w:hAnsi="宋体" w:cs="宋体" w:eastAsia="宋体" w:hint="default"/>
                <w:sz w:val="21"/>
                <w:szCs w:val="21"/>
              </w:rPr>
            </w:pPr>
            <w:r>
              <w:rPr>
                <w:rFonts w:ascii="宋体" w:hAnsi="宋体" w:cs="宋体" w:eastAsia="宋体" w:hint="default"/>
                <w:b/>
                <w:bCs/>
                <w:sz w:val="21"/>
                <w:szCs w:val="21"/>
              </w:rPr>
              <w:t>占同类交易金</w:t>
            </w:r>
            <w:r>
              <w:rPr>
                <w:rFonts w:ascii="宋体" w:hAnsi="宋体" w:cs="宋体" w:eastAsia="宋体" w:hint="default"/>
                <w:b/>
                <w:bCs/>
                <w:spacing w:val="-104"/>
                <w:sz w:val="21"/>
                <w:szCs w:val="21"/>
              </w:rPr>
              <w:t> </w:t>
            </w:r>
            <w:r>
              <w:rPr>
                <w:rFonts w:ascii="宋体" w:hAnsi="宋体" w:cs="宋体" w:eastAsia="宋体" w:hint="default"/>
                <w:b/>
                <w:bCs/>
                <w:sz w:val="21"/>
                <w:szCs w:val="21"/>
              </w:rPr>
              <w:t>额的比例％</w:t>
            </w:r>
            <w:r>
              <w:rPr>
                <w:rFonts w:ascii="宋体" w:hAnsi="宋体" w:cs="宋体" w:eastAsia="宋体" w:hint="default"/>
                <w:sz w:val="21"/>
                <w:szCs w:val="21"/>
              </w:rPr>
            </w:r>
          </w:p>
        </w:tc>
        <w:tc>
          <w:tcPr>
            <w:tcW w:w="1528" w:type="dxa"/>
            <w:tcBorders>
              <w:top w:val="nil" w:sz="6" w:space="0" w:color="auto"/>
              <w:left w:val="nil" w:sz="6" w:space="0" w:color="auto"/>
              <w:bottom w:val="nil" w:sz="6" w:space="0" w:color="auto"/>
              <w:right w:val="nil" w:sz="6" w:space="0" w:color="auto"/>
            </w:tcBorders>
          </w:tcPr>
          <w:p>
            <w:pPr/>
          </w:p>
        </w:tc>
        <w:tc>
          <w:tcPr>
            <w:tcW w:w="1507" w:type="dxa"/>
            <w:vMerge w:val="restart"/>
            <w:tcBorders>
              <w:top w:val="nil" w:sz="6" w:space="0" w:color="auto"/>
              <w:left w:val="nil" w:sz="6" w:space="0" w:color="auto"/>
              <w:right w:val="nil" w:sz="6" w:space="0" w:color="auto"/>
            </w:tcBorders>
          </w:tcPr>
          <w:p>
            <w:pPr>
              <w:pStyle w:val="TableParagraph"/>
              <w:spacing w:line="240" w:lineRule="auto" w:before="32"/>
              <w:ind w:left="342" w:right="106" w:hanging="212"/>
              <w:jc w:val="left"/>
              <w:rPr>
                <w:rFonts w:ascii="宋体" w:hAnsi="宋体" w:cs="宋体" w:eastAsia="宋体" w:hint="default"/>
                <w:sz w:val="21"/>
                <w:szCs w:val="21"/>
              </w:rPr>
            </w:pPr>
            <w:r>
              <w:rPr>
                <w:rFonts w:ascii="宋体" w:hAnsi="宋体" w:cs="宋体" w:eastAsia="宋体" w:hint="default"/>
                <w:b/>
                <w:bCs/>
                <w:sz w:val="21"/>
                <w:szCs w:val="21"/>
              </w:rPr>
              <w:t>占同类交易金</w:t>
            </w:r>
            <w:r>
              <w:rPr>
                <w:rFonts w:ascii="宋体" w:hAnsi="宋体" w:cs="宋体" w:eastAsia="宋体" w:hint="default"/>
                <w:b/>
                <w:bCs/>
                <w:spacing w:val="-104"/>
                <w:sz w:val="21"/>
                <w:szCs w:val="21"/>
              </w:rPr>
              <w:t> </w:t>
            </w:r>
            <w:r>
              <w:rPr>
                <w:rFonts w:ascii="宋体" w:hAnsi="宋体" w:cs="宋体" w:eastAsia="宋体" w:hint="default"/>
                <w:b/>
                <w:bCs/>
                <w:sz w:val="21"/>
                <w:szCs w:val="21"/>
              </w:rPr>
              <w:t>额的比例％</w:t>
            </w:r>
            <w:r>
              <w:rPr>
                <w:rFonts w:ascii="宋体" w:hAnsi="宋体" w:cs="宋体" w:eastAsia="宋体" w:hint="default"/>
                <w:sz w:val="21"/>
                <w:szCs w:val="21"/>
              </w:rPr>
            </w:r>
          </w:p>
        </w:tc>
      </w:tr>
      <w:tr>
        <w:trPr>
          <w:trHeight w:val="378" w:hRule="exact"/>
        </w:trPr>
        <w:tc>
          <w:tcPr>
            <w:tcW w:w="1517" w:type="dxa"/>
            <w:tcBorders>
              <w:top w:val="nil" w:sz="6" w:space="0" w:color="auto"/>
              <w:left w:val="nil" w:sz="6" w:space="0" w:color="auto"/>
              <w:bottom w:val="single" w:sz="4" w:space="0" w:color="000000"/>
              <w:right w:val="nil" w:sz="6" w:space="0" w:color="auto"/>
            </w:tcBorders>
          </w:tcPr>
          <w:p>
            <w:pPr/>
          </w:p>
        </w:tc>
        <w:tc>
          <w:tcPr>
            <w:tcW w:w="1583" w:type="dxa"/>
            <w:vMerge/>
            <w:tcBorders>
              <w:left w:val="nil" w:sz="6" w:space="0" w:color="auto"/>
              <w:bottom w:val="single" w:sz="4" w:space="0" w:color="000000"/>
              <w:right w:val="nil" w:sz="6" w:space="0" w:color="auto"/>
            </w:tcBorders>
          </w:tcPr>
          <w:p>
            <w:pPr/>
          </w:p>
        </w:tc>
        <w:tc>
          <w:tcPr>
            <w:tcW w:w="1526" w:type="dxa"/>
            <w:tcBorders>
              <w:top w:val="nil" w:sz="6" w:space="0" w:color="auto"/>
              <w:left w:val="nil" w:sz="6" w:space="0" w:color="auto"/>
              <w:bottom w:val="single" w:sz="4" w:space="0" w:color="000000"/>
              <w:right w:val="nil" w:sz="6" w:space="0" w:color="auto"/>
            </w:tcBorders>
          </w:tcPr>
          <w:p>
            <w:pPr>
              <w:pStyle w:val="TableParagraph"/>
              <w:spacing w:line="206" w:lineRule="exact"/>
              <w:ind w:right="130"/>
              <w:jc w:val="righ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c>
          <w:tcPr>
            <w:tcW w:w="1529" w:type="dxa"/>
            <w:vMerge/>
            <w:tcBorders>
              <w:left w:val="nil" w:sz="6" w:space="0" w:color="auto"/>
              <w:bottom w:val="single" w:sz="4" w:space="0" w:color="000000"/>
              <w:right w:val="nil" w:sz="6" w:space="0" w:color="auto"/>
            </w:tcBorders>
          </w:tcPr>
          <w:p>
            <w:pPr/>
          </w:p>
        </w:tc>
        <w:tc>
          <w:tcPr>
            <w:tcW w:w="1528" w:type="dxa"/>
            <w:tcBorders>
              <w:top w:val="nil" w:sz="6" w:space="0" w:color="auto"/>
              <w:left w:val="nil" w:sz="6" w:space="0" w:color="auto"/>
              <w:bottom w:val="single" w:sz="4" w:space="0" w:color="000000"/>
              <w:right w:val="nil" w:sz="6" w:space="0" w:color="auto"/>
            </w:tcBorders>
          </w:tcPr>
          <w:p>
            <w:pPr>
              <w:pStyle w:val="TableParagraph"/>
              <w:spacing w:line="206" w:lineRule="exact"/>
              <w:ind w:right="129"/>
              <w:jc w:val="right"/>
              <w:rPr>
                <w:rFonts w:ascii="宋体" w:hAnsi="宋体" w:cs="宋体" w:eastAsia="宋体" w:hint="default"/>
                <w:sz w:val="21"/>
                <w:szCs w:val="21"/>
              </w:rPr>
            </w:pPr>
            <w:r>
              <w:rPr>
                <w:rFonts w:ascii="宋体" w:hAnsi="宋体" w:cs="宋体" w:eastAsia="宋体" w:hint="default"/>
                <w:b/>
                <w:bCs/>
                <w:sz w:val="21"/>
                <w:szCs w:val="21"/>
              </w:rPr>
              <w:t>金额（万元）</w:t>
            </w:r>
            <w:r>
              <w:rPr>
                <w:rFonts w:ascii="宋体" w:hAnsi="宋体" w:cs="宋体" w:eastAsia="宋体" w:hint="default"/>
                <w:sz w:val="21"/>
                <w:szCs w:val="21"/>
              </w:rPr>
            </w:r>
          </w:p>
        </w:tc>
        <w:tc>
          <w:tcPr>
            <w:tcW w:w="1507" w:type="dxa"/>
            <w:vMerge/>
            <w:tcBorders>
              <w:left w:val="nil" w:sz="6" w:space="0" w:color="auto"/>
              <w:bottom w:val="single" w:sz="4" w:space="0" w:color="000000"/>
              <w:right w:val="nil" w:sz="6" w:space="0" w:color="auto"/>
            </w:tcBorders>
          </w:tcPr>
          <w:p>
            <w:pPr/>
          </w:p>
        </w:tc>
      </w:tr>
      <w:tr>
        <w:trPr>
          <w:trHeight w:val="413" w:hRule="exact"/>
        </w:trPr>
        <w:tc>
          <w:tcPr>
            <w:tcW w:w="151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关键管理人员</w:t>
            </w:r>
          </w:p>
        </w:tc>
        <w:tc>
          <w:tcPr>
            <w:tcW w:w="1583"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31" w:right="0"/>
              <w:jc w:val="left"/>
              <w:rPr>
                <w:rFonts w:ascii="宋体" w:hAnsi="宋体" w:cs="宋体" w:eastAsia="宋体" w:hint="default"/>
                <w:sz w:val="21"/>
                <w:szCs w:val="21"/>
              </w:rPr>
            </w:pPr>
            <w:r>
              <w:rPr>
                <w:rFonts w:ascii="宋体" w:hAnsi="宋体" w:cs="宋体" w:eastAsia="宋体" w:hint="default"/>
                <w:sz w:val="21"/>
                <w:szCs w:val="21"/>
              </w:rPr>
              <w:t>董事会批准</w:t>
            </w:r>
          </w:p>
        </w:tc>
        <w:tc>
          <w:tcPr>
            <w:tcW w:w="152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30"/>
              <w:jc w:val="right"/>
              <w:rPr>
                <w:rFonts w:ascii="Arial Narrow" w:hAnsi="Arial Narrow" w:cs="Arial Narrow" w:eastAsia="Arial Narrow" w:hint="default"/>
                <w:sz w:val="21"/>
                <w:szCs w:val="21"/>
              </w:rPr>
            </w:pPr>
            <w:r>
              <w:rPr>
                <w:rFonts w:ascii="Arial Narrow"/>
                <w:spacing w:val="-1"/>
                <w:sz w:val="21"/>
              </w:rPr>
              <w:t>380.92</w:t>
            </w:r>
            <w:r>
              <w:rPr>
                <w:rFonts w:ascii="Arial Narrow"/>
                <w:sz w:val="21"/>
              </w:rPr>
            </w:r>
          </w:p>
        </w:tc>
        <w:tc>
          <w:tcPr>
            <w:tcW w:w="152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30"/>
              <w:jc w:val="right"/>
              <w:rPr>
                <w:rFonts w:ascii="Arial Narrow" w:hAnsi="Arial Narrow" w:cs="Arial Narrow" w:eastAsia="Arial Narrow" w:hint="default"/>
                <w:sz w:val="21"/>
                <w:szCs w:val="21"/>
              </w:rPr>
            </w:pPr>
            <w:r>
              <w:rPr>
                <w:rFonts w:ascii="Arial Narrow"/>
                <w:spacing w:val="-1"/>
                <w:sz w:val="21"/>
              </w:rPr>
              <w:t>3.43</w:t>
            </w:r>
            <w:r>
              <w:rPr>
                <w:rFonts w:ascii="Arial Narrow"/>
                <w:sz w:val="21"/>
              </w:rPr>
            </w:r>
          </w:p>
        </w:tc>
        <w:tc>
          <w:tcPr>
            <w:tcW w:w="1528"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28"/>
              <w:jc w:val="right"/>
              <w:rPr>
                <w:rFonts w:ascii="Arial Narrow" w:hAnsi="Arial Narrow" w:cs="Arial Narrow" w:eastAsia="Arial Narrow" w:hint="default"/>
                <w:sz w:val="21"/>
                <w:szCs w:val="21"/>
              </w:rPr>
            </w:pPr>
            <w:r>
              <w:rPr>
                <w:rFonts w:ascii="Arial Narrow"/>
                <w:spacing w:val="-1"/>
                <w:sz w:val="21"/>
              </w:rPr>
              <w:t>401.96</w:t>
            </w:r>
            <w:r>
              <w:rPr>
                <w:rFonts w:ascii="Arial Narrow"/>
                <w:sz w:val="21"/>
              </w:rPr>
            </w:r>
          </w:p>
        </w:tc>
        <w:tc>
          <w:tcPr>
            <w:tcW w:w="1507"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9"/>
              <w:jc w:val="right"/>
              <w:rPr>
                <w:rFonts w:ascii="Arial Narrow" w:hAnsi="Arial Narrow" w:cs="Arial Narrow" w:eastAsia="Arial Narrow" w:hint="default"/>
                <w:sz w:val="21"/>
                <w:szCs w:val="21"/>
              </w:rPr>
            </w:pPr>
            <w:r>
              <w:rPr>
                <w:rFonts w:ascii="Arial Narrow"/>
                <w:spacing w:val="-1"/>
                <w:sz w:val="21"/>
              </w:rPr>
              <w:t>4.84</w:t>
            </w:r>
            <w:r>
              <w:rPr>
                <w:rFonts w:ascii="Arial Narrow"/>
                <w:sz w:val="21"/>
              </w:rPr>
            </w:r>
          </w:p>
        </w:tc>
      </w:tr>
    </w:tbl>
    <w:p>
      <w:pPr>
        <w:pStyle w:val="BodyText"/>
        <w:spacing w:line="240" w:lineRule="auto" w:before="79"/>
        <w:ind w:left="142" w:right="0"/>
        <w:jc w:val="left"/>
      </w:pPr>
      <w:r>
        <w:rPr>
          <w:rFonts w:ascii="Arial Narrow" w:hAnsi="Arial Narrow" w:cs="Arial Narrow" w:eastAsia="Arial Narrow" w:hint="default"/>
        </w:rPr>
        <w:t>6</w:t>
      </w:r>
      <w:r>
        <w:rPr/>
        <w:t>、关联方应收应付款项</w:t>
      </w:r>
    </w:p>
    <w:p>
      <w:pPr>
        <w:pStyle w:val="BodyText"/>
        <w:spacing w:line="240" w:lineRule="auto" w:before="197"/>
        <w:ind w:left="559" w:right="0"/>
        <w:jc w:val="left"/>
      </w:pPr>
      <w:r>
        <w:rPr/>
        <w:t>（</w:t>
      </w:r>
      <w:r>
        <w:rPr>
          <w:rFonts w:ascii="Arial Narrow" w:hAnsi="Arial Narrow" w:cs="Arial Narrow" w:eastAsia="Arial Narrow" w:hint="default"/>
        </w:rPr>
        <w:t>1</w:t>
      </w:r>
      <w:r>
        <w:rPr/>
        <w:t>）应收关联方款项</w:t>
      </w:r>
    </w:p>
    <w:p>
      <w:pPr>
        <w:spacing w:line="240" w:lineRule="auto" w:before="2"/>
        <w:rPr>
          <w:rFonts w:ascii="宋体" w:hAnsi="宋体" w:cs="宋体" w:eastAsia="宋体" w:hint="default"/>
          <w:sz w:val="18"/>
          <w:szCs w:val="18"/>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57.1pt;height:1pt;mso-position-horizontal-relative:char;mso-position-vertical-relative:line" coordorigin="0,0" coordsize="9142,20">
            <v:group style="position:absolute;left:10;top:10;width:1220;height:2" coordorigin="10,10" coordsize="1220,2">
              <v:shape style="position:absolute;left:10;top:10;width:1220;height:2" coordorigin="10,10" coordsize="1220,0" path="m10,10l1229,10e" filled="false" stroked="true" strokeweight=".96002pt" strokecolor="#000000">
                <v:path arrowok="t"/>
              </v:shape>
            </v:group>
            <v:group style="position:absolute;left:1229;top:10;width:20;height:2" coordorigin="1229,10" coordsize="20,2">
              <v:shape style="position:absolute;left:1229;top:10;width:20;height:2" coordorigin="1229,10" coordsize="20,0" path="m1229,10l1248,10e" filled="false" stroked="true" strokeweight=".96002pt" strokecolor="#000000">
                <v:path arrowok="t"/>
              </v:shape>
            </v:group>
            <v:group style="position:absolute;left:1248;top:10;width:2293;height:2" coordorigin="1248,10" coordsize="2293,2">
              <v:shape style="position:absolute;left:1248;top:10;width:2293;height:2" coordorigin="1248,10" coordsize="2293,0" path="m1248,10l3540,10e" filled="false" stroked="true" strokeweight=".96002pt" strokecolor="#000000">
                <v:path arrowok="t"/>
              </v:shape>
            </v:group>
            <v:group style="position:absolute;left:3541;top:10;width:20;height:2" coordorigin="3541,10" coordsize="20,2">
              <v:shape style="position:absolute;left:3541;top:10;width:20;height:2" coordorigin="3541,10" coordsize="20,0" path="m3541,10l3560,10e" filled="false" stroked="true" strokeweight=".96002pt" strokecolor="#000000">
                <v:path arrowok="t"/>
              </v:shape>
            </v:group>
            <v:group style="position:absolute;left:3560;top:10;width:2583;height:2" coordorigin="3560,10" coordsize="2583,2">
              <v:shape style="position:absolute;left:3560;top:10;width:2583;height:2" coordorigin="3560,10" coordsize="2583,0" path="m3560,10l6143,10e" filled="false" stroked="true" strokeweight=".96002pt" strokecolor="#000000">
                <v:path arrowok="t"/>
              </v:shape>
            </v:group>
            <v:group style="position:absolute;left:6143;top:10;width:20;height:2" coordorigin="6143,10" coordsize="20,2">
              <v:shape style="position:absolute;left:6143;top:10;width:20;height:2" coordorigin="6143,10" coordsize="20,0" path="m6143,10l6162,10e" filled="false" stroked="true" strokeweight=".96002pt" strokecolor="#000000">
                <v:path arrowok="t"/>
              </v:shape>
            </v:group>
            <v:group style="position:absolute;left:6162;top:10;width:2970;height:2" coordorigin="6162,10" coordsize="2970,2">
              <v:shape style="position:absolute;left:6162;top:10;width:2970;height:2" coordorigin="6162,10" coordsize="2970,0" path="m6162,10l9132,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50"/>
          <w:pgMar w:header="0" w:footer="919" w:top="1640" w:bottom="1100" w:left="1140" w:right="1000"/>
        </w:sectPr>
      </w:pPr>
    </w:p>
    <w:p>
      <w:pPr>
        <w:spacing w:line="240" w:lineRule="auto" w:before="6"/>
        <w:rPr>
          <w:rFonts w:ascii="宋体" w:hAnsi="宋体" w:cs="宋体" w:eastAsia="宋体" w:hint="default"/>
          <w:sz w:val="16"/>
          <w:szCs w:val="16"/>
        </w:rPr>
      </w:pPr>
    </w:p>
    <w:p>
      <w:pPr>
        <w:tabs>
          <w:tab w:pos="1781" w:val="left" w:leader="none"/>
        </w:tabs>
        <w:spacing w:before="0"/>
        <w:ind w:left="562" w:right="-14" w:firstLine="0"/>
        <w:jc w:val="left"/>
        <w:rPr>
          <w:rFonts w:ascii="宋体" w:hAnsi="宋体" w:cs="宋体" w:eastAsia="宋体" w:hint="default"/>
          <w:sz w:val="21"/>
          <w:szCs w:val="21"/>
        </w:rPr>
      </w:pPr>
      <w:r>
        <w:rPr>
          <w:rFonts w:ascii="宋体" w:hAnsi="宋体" w:cs="宋体" w:eastAsia="宋体" w:hint="default"/>
          <w:b/>
          <w:bCs/>
          <w:sz w:val="21"/>
          <w:szCs w:val="21"/>
        </w:rPr>
        <w:t>项目名称</w:t>
        <w:tab/>
        <w:t>关联方</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p>
      <w:pPr>
        <w:tabs>
          <w:tab w:pos="1781" w:val="left" w:leader="none"/>
        </w:tabs>
        <w:spacing w:line="207" w:lineRule="exact" w:before="0"/>
        <w:ind w:left="562" w:right="-14" w:firstLine="0"/>
        <w:jc w:val="left"/>
        <w:rPr>
          <w:rFonts w:ascii="宋体" w:hAnsi="宋体" w:cs="宋体" w:eastAsia="宋体" w:hint="default"/>
          <w:sz w:val="21"/>
          <w:szCs w:val="21"/>
        </w:rPr>
      </w:pPr>
      <w:r>
        <w:rPr/>
        <w:pict>
          <v:group style="position:absolute;margin-left:79.464012pt;margin-top:-2.616301pt;width:456.6pt;height:.5pt;mso-position-horizontal-relative:page;mso-position-vertical-relative:paragraph;z-index:2560" coordorigin="1589,-52" coordsize="9132,10">
            <v:group style="position:absolute;left:1594;top:-48;width:1220;height:2" coordorigin="1594,-48" coordsize="1220,2">
              <v:shape style="position:absolute;left:1594;top:-48;width:1220;height:2" coordorigin="1594,-48" coordsize="1220,0" path="m1594,-48l2813,-48e" filled="false" stroked="true" strokeweight=".47998pt" strokecolor="#000000">
                <v:path arrowok="t"/>
              </v:shape>
            </v:group>
            <v:group style="position:absolute;left:2813;top:-48;width:10;height:2" coordorigin="2813,-48" coordsize="10,2">
              <v:shape style="position:absolute;left:2813;top:-48;width:10;height:2" coordorigin="2813,-48" coordsize="10,0" path="m2813,-48l2823,-48e" filled="false" stroked="true" strokeweight=".47998pt" strokecolor="#000000">
                <v:path arrowok="t"/>
              </v:shape>
            </v:group>
            <v:group style="position:absolute;left:2823;top:-48;width:2302;height:2" coordorigin="2823,-48" coordsize="2302,2">
              <v:shape style="position:absolute;left:2823;top:-48;width:2302;height:2" coordorigin="2823,-48" coordsize="2302,0" path="m2823,-48l5125,-48e" filled="false" stroked="true" strokeweight=".47998pt" strokecolor="#000000">
                <v:path arrowok="t"/>
              </v:shape>
            </v:group>
            <v:group style="position:absolute;left:5125;top:-48;width:10;height:2" coordorigin="5125,-48" coordsize="10,2">
              <v:shape style="position:absolute;left:5125;top:-48;width:10;height:2" coordorigin="5125,-48" coordsize="10,0" path="m5125,-48l5135,-48e" filled="false" stroked="true" strokeweight=".47998pt" strokecolor="#000000">
                <v:path arrowok="t"/>
              </v:shape>
            </v:group>
            <v:group style="position:absolute;left:5135;top:-48;width:1352;height:2" coordorigin="5135,-48" coordsize="1352,2">
              <v:shape style="position:absolute;left:5135;top:-48;width:1352;height:2" coordorigin="5135,-48" coordsize="1352,0" path="m5135,-48l6486,-48e" filled="false" stroked="true" strokeweight=".47998pt" strokecolor="#000000">
                <v:path arrowok="t"/>
              </v:shape>
            </v:group>
            <v:group style="position:absolute;left:6486;top:-48;width:10;height:2" coordorigin="6486,-48" coordsize="10,2">
              <v:shape style="position:absolute;left:6486;top:-48;width:10;height:2" coordorigin="6486,-48" coordsize="10,0" path="m6486,-48l6496,-48e" filled="false" stroked="true" strokeweight=".47998pt" strokecolor="#000000">
                <v:path arrowok="t"/>
              </v:shape>
            </v:group>
            <v:group style="position:absolute;left:6496;top:-48;width:1232;height:2" coordorigin="6496,-48" coordsize="1232,2">
              <v:shape style="position:absolute;left:6496;top:-48;width:1232;height:2" coordorigin="6496,-48" coordsize="1232,0" path="m6496,-48l7727,-48e" filled="false" stroked="true" strokeweight=".47998pt" strokecolor="#000000">
                <v:path arrowok="t"/>
              </v:shape>
            </v:group>
            <v:group style="position:absolute;left:7727;top:-48;width:10;height:2" coordorigin="7727,-48" coordsize="10,2">
              <v:shape style="position:absolute;left:7727;top:-48;width:10;height:2" coordorigin="7727,-48" coordsize="10,0" path="m7727,-48l7737,-48e" filled="false" stroked="true" strokeweight=".47998pt" strokecolor="#000000">
                <v:path arrowok="t"/>
              </v:shape>
            </v:group>
            <v:group style="position:absolute;left:7737;top:-48;width:1590;height:2" coordorigin="7737,-48" coordsize="1590,2">
              <v:shape style="position:absolute;left:7737;top:-48;width:1590;height:2" coordorigin="7737,-48" coordsize="1590,0" path="m7737,-48l9326,-48e" filled="false" stroked="true" strokeweight=".47998pt" strokecolor="#000000">
                <v:path arrowok="t"/>
              </v:shape>
            </v:group>
            <v:group style="position:absolute;left:9326;top:-48;width:10;height:2" coordorigin="9326,-48" coordsize="10,2">
              <v:shape style="position:absolute;left:9326;top:-48;width:10;height:2" coordorigin="9326,-48" coordsize="10,0" path="m9326,-48l9336,-48e" filled="false" stroked="true" strokeweight=".47998pt" strokecolor="#000000">
                <v:path arrowok="t"/>
              </v:shape>
            </v:group>
            <v:group style="position:absolute;left:9336;top:-48;width:1381;height:2" coordorigin="9336,-48" coordsize="1381,2">
              <v:shape style="position:absolute;left:9336;top:-48;width:1381;height:2" coordorigin="9336,-48" coordsize="1381,0" path="m9336,-48l10716,-48e" filled="false" stroked="true" strokeweight=".47998pt" strokecolor="#000000">
                <v:path arrowok="t"/>
              </v:shape>
            </v:group>
            <w10:wrap type="none"/>
          </v:group>
        </w:pict>
      </w:r>
      <w:r>
        <w:rPr>
          <w:rFonts w:ascii="宋体" w:hAnsi="宋体" w:cs="宋体" w:eastAsia="宋体" w:hint="default"/>
          <w:spacing w:val="-1"/>
          <w:position w:val="-13"/>
          <w:sz w:val="21"/>
          <w:szCs w:val="21"/>
        </w:rPr>
        <w:t>应收账款</w:t>
        <w:tab/>
      </w:r>
      <w:r>
        <w:rPr>
          <w:rFonts w:ascii="宋体" w:hAnsi="宋体" w:cs="宋体" w:eastAsia="宋体" w:hint="default"/>
          <w:spacing w:val="11"/>
          <w:sz w:val="21"/>
          <w:szCs w:val="21"/>
        </w:rPr>
        <w:t>中国</w:t>
      </w:r>
      <w:r>
        <w:rPr>
          <w:rFonts w:ascii="宋体" w:hAnsi="宋体" w:cs="宋体" w:eastAsia="宋体" w:hint="default"/>
          <w:spacing w:val="-73"/>
          <w:sz w:val="21"/>
          <w:szCs w:val="21"/>
        </w:rPr>
        <w:t> </w:t>
      </w:r>
      <w:r>
        <w:rPr>
          <w:rFonts w:ascii="宋体" w:hAnsi="宋体" w:cs="宋体" w:eastAsia="宋体" w:hint="default"/>
          <w:spacing w:val="19"/>
          <w:sz w:val="21"/>
          <w:szCs w:val="21"/>
        </w:rPr>
        <w:t>科学院地理科</w:t>
      </w:r>
      <w:r>
        <w:rPr>
          <w:rFonts w:ascii="宋体" w:hAnsi="宋体" w:cs="宋体" w:eastAsia="宋体" w:hint="default"/>
          <w:spacing w:val="-73"/>
          <w:sz w:val="21"/>
          <w:szCs w:val="21"/>
        </w:rPr>
        <w:t> </w:t>
      </w:r>
      <w:r>
        <w:rPr>
          <w:rFonts w:ascii="宋体" w:hAnsi="宋体" w:cs="宋体" w:eastAsia="宋体" w:hint="default"/>
          <w:sz w:val="21"/>
          <w:szCs w:val="21"/>
        </w:rPr>
        <w:t>学</w:t>
      </w:r>
    </w:p>
    <w:p>
      <w:pPr>
        <w:tabs>
          <w:tab w:pos="3845" w:val="left" w:leader="none"/>
        </w:tabs>
        <w:spacing w:line="290" w:lineRule="exact" w:before="0"/>
        <w:ind w:left="1049"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期末数</w:t>
        <w:tab/>
      </w:r>
      <w:r>
        <w:rPr>
          <w:rFonts w:ascii="宋体" w:hAnsi="宋体" w:cs="宋体" w:eastAsia="宋体" w:hint="default"/>
          <w:b/>
          <w:bCs/>
          <w:position w:val="-4"/>
          <w:sz w:val="21"/>
          <w:szCs w:val="21"/>
        </w:rPr>
        <w:t>期初数</w:t>
      </w:r>
      <w:r>
        <w:rPr>
          <w:rFonts w:ascii="宋体" w:hAnsi="宋体" w:cs="宋体" w:eastAsia="宋体" w:hint="default"/>
          <w:sz w:val="21"/>
          <w:szCs w:val="21"/>
        </w:rPr>
      </w:r>
    </w:p>
    <w:p>
      <w:pPr>
        <w:tabs>
          <w:tab w:pos="1716" w:val="left" w:leader="none"/>
          <w:tab w:pos="3317" w:val="left" w:leader="none"/>
          <w:tab w:pos="4707" w:val="left" w:leader="none"/>
        </w:tabs>
        <w:spacing w:before="115"/>
        <w:ind w:left="477" w:right="0" w:firstLine="0"/>
        <w:jc w:val="left"/>
        <w:rPr>
          <w:rFonts w:ascii="宋体" w:hAnsi="宋体" w:cs="宋体" w:eastAsia="宋体" w:hint="default"/>
          <w:sz w:val="21"/>
          <w:szCs w:val="21"/>
        </w:rPr>
      </w:pPr>
      <w:r>
        <w:rPr>
          <w:rFonts w:ascii="宋体" w:hAnsi="宋体" w:cs="宋体" w:eastAsia="宋体" w:hint="default"/>
          <w:b/>
          <w:bCs/>
          <w:sz w:val="21"/>
          <w:szCs w:val="21"/>
        </w:rPr>
        <w:t>账面余额</w:t>
        <w:tab/>
        <w:t>坏账准备</w:t>
        <w:tab/>
        <w:t>账面余额</w:t>
        <w:tab/>
        <w:t>坏账准备</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50"/>
          <w:pgMar w:top="440" w:bottom="280" w:left="1140" w:right="1000"/>
          <w:cols w:num="2" w:equalWidth="0">
            <w:col w:w="3878" w:space="40"/>
            <w:col w:w="5842"/>
          </w:cols>
        </w:sectPr>
      </w:pPr>
    </w:p>
    <w:p>
      <w:pPr>
        <w:tabs>
          <w:tab w:pos="4095" w:val="left" w:leader="none"/>
          <w:tab w:pos="5470" w:val="left" w:leader="none"/>
          <w:tab w:pos="7071" w:val="left" w:leader="none"/>
          <w:tab w:pos="8605" w:val="left" w:leader="none"/>
        </w:tabs>
        <w:spacing w:line="342" w:lineRule="exact" w:before="0"/>
        <w:ind w:left="1781" w:right="0" w:firstLine="0"/>
        <w:jc w:val="left"/>
        <w:rPr>
          <w:rFonts w:ascii="Arial Narrow" w:hAnsi="Arial Narrow" w:cs="Arial Narrow" w:eastAsia="Arial Narrow" w:hint="default"/>
          <w:sz w:val="21"/>
          <w:szCs w:val="21"/>
        </w:rPr>
      </w:pPr>
      <w:r>
        <w:rPr>
          <w:rFonts w:ascii="宋体" w:hAnsi="宋体" w:cs="宋体" w:eastAsia="宋体" w:hint="default"/>
          <w:spacing w:val="-1"/>
          <w:position w:val="-13"/>
          <w:sz w:val="21"/>
          <w:szCs w:val="21"/>
        </w:rPr>
        <w:t>与资源研究所</w:t>
        <w:tab/>
      </w:r>
      <w:r>
        <w:rPr>
          <w:rFonts w:ascii="Arial Narrow" w:hAnsi="Arial Narrow" w:cs="Arial Narrow" w:eastAsia="Arial Narrow" w:hint="default"/>
          <w:spacing w:val="-1"/>
          <w:sz w:val="21"/>
          <w:szCs w:val="21"/>
        </w:rPr>
        <w:t>1,791,253.15</w:t>
        <w:tab/>
        <w:t>1,167,041.35</w:t>
        <w:tab/>
        <w:t>1,864,103.00</w:t>
        <w:tab/>
        <w:t>601,140.45</w:t>
      </w:r>
      <w:r>
        <w:rPr>
          <w:rFonts w:ascii="Arial Narrow" w:hAnsi="Arial Narrow" w:cs="Arial Narrow" w:eastAsia="Arial Narrow" w:hint="default"/>
          <w:sz w:val="21"/>
          <w:szCs w:val="21"/>
        </w:rPr>
      </w:r>
    </w:p>
    <w:p>
      <w:pPr>
        <w:spacing w:line="240" w:lineRule="auto" w:before="3"/>
        <w:rPr>
          <w:rFonts w:ascii="Arial Narrow" w:hAnsi="Arial Narrow" w:cs="Arial Narrow" w:eastAsia="Arial Narrow" w:hint="default"/>
          <w:sz w:val="10"/>
          <w:szCs w:val="10"/>
        </w:rPr>
      </w:pPr>
    </w:p>
    <w:p>
      <w:pPr>
        <w:spacing w:line="228" w:lineRule="exact" w:before="36"/>
        <w:ind w:left="1781" w:right="0" w:firstLine="0"/>
        <w:jc w:val="left"/>
        <w:rPr>
          <w:rFonts w:ascii="宋体" w:hAnsi="宋体" w:cs="宋体" w:eastAsia="宋体" w:hint="default"/>
          <w:sz w:val="21"/>
          <w:szCs w:val="21"/>
        </w:rPr>
      </w:pPr>
      <w:r>
        <w:rPr>
          <w:rFonts w:ascii="宋体" w:hAnsi="宋体" w:cs="宋体" w:eastAsia="宋体" w:hint="default"/>
          <w:spacing w:val="11"/>
          <w:sz w:val="21"/>
          <w:szCs w:val="21"/>
        </w:rPr>
        <w:t>浙江</w:t>
      </w:r>
      <w:r>
        <w:rPr>
          <w:rFonts w:ascii="宋体" w:hAnsi="宋体" w:cs="宋体" w:eastAsia="宋体" w:hint="default"/>
          <w:spacing w:val="-70"/>
          <w:sz w:val="21"/>
          <w:szCs w:val="21"/>
        </w:rPr>
        <w:t> </w:t>
      </w:r>
      <w:r>
        <w:rPr>
          <w:rFonts w:ascii="宋体" w:hAnsi="宋体" w:cs="宋体" w:eastAsia="宋体" w:hint="default"/>
          <w:spacing w:val="18"/>
          <w:sz w:val="21"/>
          <w:szCs w:val="21"/>
        </w:rPr>
        <w:t>中科数城软件</w:t>
      </w:r>
      <w:r>
        <w:rPr>
          <w:rFonts w:ascii="宋体" w:hAnsi="宋体" w:cs="宋体" w:eastAsia="宋体" w:hint="default"/>
          <w:spacing w:val="-70"/>
          <w:sz w:val="21"/>
          <w:szCs w:val="21"/>
        </w:rPr>
        <w:t> </w:t>
      </w:r>
      <w:r>
        <w:rPr>
          <w:rFonts w:ascii="宋体" w:hAnsi="宋体" w:cs="宋体" w:eastAsia="宋体" w:hint="default"/>
          <w:sz w:val="21"/>
          <w:szCs w:val="21"/>
        </w:rPr>
        <w:t>有</w:t>
      </w:r>
    </w:p>
    <w:p>
      <w:pPr>
        <w:tabs>
          <w:tab w:pos="5180" w:val="left" w:leader="none"/>
          <w:tab w:pos="6418" w:val="left" w:leader="none"/>
          <w:tab w:pos="7312" w:val="left" w:leader="none"/>
          <w:tab w:pos="8797" w:val="left" w:leader="none"/>
        </w:tabs>
        <w:spacing w:line="319" w:lineRule="exact" w:before="0"/>
        <w:ind w:left="1781" w:right="0" w:firstLine="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限公司</w:t>
        <w:tab/>
      </w:r>
      <w:r>
        <w:rPr>
          <w:rFonts w:ascii="Arial Narrow" w:hAnsi="Arial Narrow" w:cs="Arial Narrow" w:eastAsia="Arial Narrow" w:hint="default"/>
          <w:sz w:val="21"/>
          <w:szCs w:val="21"/>
        </w:rPr>
        <w:t>-</w:t>
        <w:tab/>
        <w:t>-</w:t>
        <w:tab/>
      </w:r>
      <w:r>
        <w:rPr>
          <w:rFonts w:ascii="Arial Narrow" w:hAnsi="Arial Narrow" w:cs="Arial Narrow" w:eastAsia="Arial Narrow" w:hint="default"/>
          <w:spacing w:val="-1"/>
          <w:sz w:val="21"/>
          <w:szCs w:val="21"/>
        </w:rPr>
        <w:t>30,000.00</w:t>
        <w:tab/>
        <w:t>6,000.00</w:t>
      </w:r>
      <w:r>
        <w:rPr>
          <w:rFonts w:ascii="Arial Narrow" w:hAnsi="Arial Narrow" w:cs="Arial Narrow" w:eastAsia="Arial Narrow" w:hint="default"/>
          <w:sz w:val="21"/>
          <w:szCs w:val="21"/>
        </w:rPr>
      </w:r>
    </w:p>
    <w:p>
      <w:pPr>
        <w:spacing w:line="240" w:lineRule="auto" w:before="8"/>
        <w:rPr>
          <w:rFonts w:ascii="Arial Narrow" w:hAnsi="Arial Narrow" w:cs="Arial Narrow" w:eastAsia="Arial Narrow" w:hint="default"/>
          <w:sz w:val="10"/>
          <w:szCs w:val="10"/>
        </w:rPr>
      </w:pPr>
    </w:p>
    <w:p>
      <w:pPr>
        <w:spacing w:after="0" w:line="240" w:lineRule="auto"/>
        <w:rPr>
          <w:rFonts w:ascii="Arial Narrow" w:hAnsi="Arial Narrow" w:cs="Arial Narrow" w:eastAsia="Arial Narrow" w:hint="default"/>
          <w:sz w:val="10"/>
          <w:szCs w:val="10"/>
        </w:rPr>
        <w:sectPr>
          <w:type w:val="continuous"/>
          <w:pgSz w:w="11900" w:h="16850"/>
          <w:pgMar w:top="440" w:bottom="280" w:left="1140" w:right="1000"/>
        </w:sectPr>
      </w:pPr>
    </w:p>
    <w:p>
      <w:pPr>
        <w:spacing w:before="36"/>
        <w:ind w:left="562" w:right="-17" w:firstLine="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0"/>
          <w:sz w:val="21"/>
          <w:szCs w:val="21"/>
        </w:rPr>
        <w:t> </w:t>
      </w:r>
      <w:r>
        <w:rPr>
          <w:rFonts w:ascii="宋体" w:hAnsi="宋体" w:cs="宋体" w:eastAsia="宋体" w:hint="default"/>
          <w:sz w:val="21"/>
          <w:szCs w:val="21"/>
        </w:rPr>
        <w:t>他</w:t>
      </w:r>
      <w:r>
        <w:rPr>
          <w:rFonts w:ascii="宋体" w:hAnsi="宋体" w:cs="宋体" w:eastAsia="宋体" w:hint="default"/>
          <w:spacing w:val="-52"/>
          <w:sz w:val="21"/>
          <w:szCs w:val="21"/>
        </w:rPr>
        <w:t> </w:t>
      </w:r>
      <w:r>
        <w:rPr>
          <w:rFonts w:ascii="宋体" w:hAnsi="宋体" w:cs="宋体" w:eastAsia="宋体" w:hint="default"/>
          <w:sz w:val="21"/>
          <w:szCs w:val="21"/>
        </w:rPr>
        <w:t>应</w:t>
      </w:r>
      <w:r>
        <w:rPr>
          <w:rFonts w:ascii="宋体" w:hAnsi="宋体" w:cs="宋体" w:eastAsia="宋体" w:hint="default"/>
          <w:spacing w:val="-52"/>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p>
    <w:p>
      <w:pPr>
        <w:spacing w:line="229" w:lineRule="exact" w:before="36"/>
        <w:ind w:left="174" w:right="0" w:firstLine="0"/>
        <w:jc w:val="left"/>
        <w:rPr>
          <w:rFonts w:ascii="宋体" w:hAnsi="宋体" w:cs="宋体" w:eastAsia="宋体" w:hint="default"/>
          <w:sz w:val="21"/>
          <w:szCs w:val="21"/>
        </w:rPr>
      </w:pPr>
      <w:r>
        <w:rPr>
          <w:spacing w:val="11"/>
        </w:rPr>
        <w:br w:type="column"/>
      </w:r>
      <w:r>
        <w:rPr>
          <w:rFonts w:ascii="宋体" w:hAnsi="宋体" w:cs="宋体" w:eastAsia="宋体" w:hint="default"/>
          <w:spacing w:val="11"/>
          <w:sz w:val="21"/>
          <w:szCs w:val="21"/>
        </w:rPr>
        <w:t>浙江</w:t>
      </w:r>
      <w:r>
        <w:rPr>
          <w:rFonts w:ascii="宋体" w:hAnsi="宋体" w:cs="宋体" w:eastAsia="宋体" w:hint="default"/>
          <w:spacing w:val="-70"/>
          <w:sz w:val="21"/>
          <w:szCs w:val="21"/>
        </w:rPr>
        <w:t> </w:t>
      </w:r>
      <w:r>
        <w:rPr>
          <w:rFonts w:ascii="宋体" w:hAnsi="宋体" w:cs="宋体" w:eastAsia="宋体" w:hint="default"/>
          <w:spacing w:val="18"/>
          <w:sz w:val="21"/>
          <w:szCs w:val="21"/>
        </w:rPr>
        <w:t>中科数城软件</w:t>
      </w:r>
      <w:r>
        <w:rPr>
          <w:rFonts w:ascii="宋体" w:hAnsi="宋体" w:cs="宋体" w:eastAsia="宋体" w:hint="default"/>
          <w:spacing w:val="-70"/>
          <w:sz w:val="21"/>
          <w:szCs w:val="21"/>
        </w:rPr>
        <w:t> </w:t>
      </w:r>
      <w:r>
        <w:rPr>
          <w:rFonts w:ascii="宋体" w:hAnsi="宋体" w:cs="宋体" w:eastAsia="宋体" w:hint="default"/>
          <w:sz w:val="21"/>
          <w:szCs w:val="21"/>
        </w:rPr>
        <w:t>有</w:t>
      </w:r>
    </w:p>
    <w:p>
      <w:pPr>
        <w:tabs>
          <w:tab w:pos="3573" w:val="left" w:leader="none"/>
          <w:tab w:pos="4811" w:val="left" w:leader="none"/>
          <w:tab w:pos="5609" w:val="left" w:leader="none"/>
          <w:tab w:pos="6998" w:val="left" w:leader="none"/>
        </w:tabs>
        <w:spacing w:line="320" w:lineRule="exact" w:before="0"/>
        <w:ind w:left="174" w:right="0" w:firstLine="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限公司</w:t>
        <w:tab/>
      </w:r>
      <w:r>
        <w:rPr>
          <w:rFonts w:ascii="Arial Narrow" w:hAnsi="Arial Narrow" w:cs="Arial Narrow" w:eastAsia="Arial Narrow" w:hint="default"/>
          <w:sz w:val="21"/>
          <w:szCs w:val="21"/>
        </w:rPr>
        <w:t>-</w:t>
        <w:tab/>
        <w:t>-</w:t>
        <w:tab/>
      </w:r>
      <w:r>
        <w:rPr>
          <w:rFonts w:ascii="Arial Narrow" w:hAnsi="Arial Narrow" w:cs="Arial Narrow" w:eastAsia="Arial Narrow" w:hint="default"/>
          <w:spacing w:val="-1"/>
          <w:sz w:val="21"/>
          <w:szCs w:val="21"/>
        </w:rPr>
        <w:t>140,000.00</w:t>
        <w:tab/>
        <w:t>140,000.00</w:t>
      </w:r>
      <w:r>
        <w:rPr>
          <w:rFonts w:ascii="Arial Narrow" w:hAnsi="Arial Narrow" w:cs="Arial Narrow" w:eastAsia="Arial Narrow" w:hint="default"/>
          <w:sz w:val="21"/>
          <w:szCs w:val="21"/>
        </w:rPr>
      </w:r>
    </w:p>
    <w:p>
      <w:pPr>
        <w:spacing w:after="0" w:line="320" w:lineRule="exact"/>
        <w:jc w:val="left"/>
        <w:rPr>
          <w:rFonts w:ascii="Arial Narrow" w:hAnsi="Arial Narrow" w:cs="Arial Narrow" w:eastAsia="Arial Narrow" w:hint="default"/>
          <w:sz w:val="21"/>
          <w:szCs w:val="21"/>
        </w:rPr>
        <w:sectPr>
          <w:type w:val="continuous"/>
          <w:pgSz w:w="11900" w:h="16850"/>
          <w:pgMar w:top="440" w:bottom="280" w:left="1140" w:right="1000"/>
          <w:cols w:num="2" w:equalWidth="0">
            <w:col w:w="1567" w:space="40"/>
            <w:col w:w="8153"/>
          </w:cols>
        </w:sectPr>
      </w:pPr>
    </w:p>
    <w:p>
      <w:pPr>
        <w:spacing w:line="240" w:lineRule="auto" w:before="10"/>
        <w:rPr>
          <w:rFonts w:ascii="Arial Narrow" w:hAnsi="Arial Narrow" w:cs="Arial Narrow" w:eastAsia="Arial Narrow" w:hint="default"/>
          <w:sz w:val="9"/>
          <w:szCs w:val="9"/>
        </w:rPr>
      </w:pPr>
    </w:p>
    <w:p>
      <w:pPr>
        <w:spacing w:line="20" w:lineRule="exact"/>
        <w:ind w:left="43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57.8pt;height:1pt;mso-position-horizontal-relative:char;mso-position-vertical-relative:line" coordorigin="0,0" coordsize="9156,20">
            <v:group style="position:absolute;left:10;top:10;width:1234;height:2" coordorigin="10,10" coordsize="1234,2">
              <v:shape style="position:absolute;left:10;top:10;width:1234;height:2" coordorigin="10,10" coordsize="1234,0" path="m10,10l1243,10e" filled="false" stroked="true" strokeweight=".96002pt" strokecolor="#000000">
                <v:path arrowok="t"/>
              </v:shape>
            </v:group>
            <v:group style="position:absolute;left:1229;top:10;width:20;height:2" coordorigin="1229,10" coordsize="20,2">
              <v:shape style="position:absolute;left:1229;top:10;width:20;height:2" coordorigin="1229,10" coordsize="20,0" path="m1229,10l1248,10e" filled="false" stroked="true" strokeweight=".96002pt" strokecolor="#000000">
                <v:path arrowok="t"/>
              </v:shape>
            </v:group>
            <v:group style="position:absolute;left:1248;top:10;width:2307;height:2" coordorigin="1248,10" coordsize="2307,2">
              <v:shape style="position:absolute;left:1248;top:10;width:2307;height:2" coordorigin="1248,10" coordsize="2307,0" path="m1248,10l3555,10e" filled="false" stroked="true" strokeweight=".96002pt" strokecolor="#000000">
                <v:path arrowok="t"/>
              </v:shape>
            </v:group>
            <v:group style="position:absolute;left:3541;top:10;width:20;height:2" coordorigin="3541,10" coordsize="20,2">
              <v:shape style="position:absolute;left:3541;top:10;width:20;height:2" coordorigin="3541,10" coordsize="20,0" path="m3541,10l3560,10e" filled="false" stroked="true" strokeweight=".96002pt" strokecolor="#000000">
                <v:path arrowok="t"/>
              </v:shape>
            </v:group>
            <v:group style="position:absolute;left:3560;top:10;width:1357;height:2" coordorigin="3560,10" coordsize="1357,2">
              <v:shape style="position:absolute;left:3560;top:10;width:1357;height:2" coordorigin="3560,10" coordsize="1357,0" path="m3560,10l4916,10e" filled="false" stroked="true" strokeweight=".96002pt" strokecolor="#000000">
                <v:path arrowok="t"/>
              </v:shape>
            </v:group>
            <v:group style="position:absolute;left:4902;top:10;width:20;height:2" coordorigin="4902,10" coordsize="20,2">
              <v:shape style="position:absolute;left:4902;top:10;width:20;height:2" coordorigin="4902,10" coordsize="20,0" path="m4902,10l4921,10e" filled="false" stroked="true" strokeweight=".96002pt" strokecolor="#000000">
                <v:path arrowok="t"/>
              </v:shape>
            </v:group>
            <v:group style="position:absolute;left:4921;top:10;width:1236;height:2" coordorigin="4921,10" coordsize="1236,2">
              <v:shape style="position:absolute;left:4921;top:10;width:1236;height:2" coordorigin="4921,10" coordsize="1236,0" path="m4921,10l6157,10e" filled="false" stroked="true" strokeweight=".96002pt" strokecolor="#000000">
                <v:path arrowok="t"/>
              </v:shape>
            </v:group>
            <v:group style="position:absolute;left:6143;top:10;width:20;height:2" coordorigin="6143,10" coordsize="20,2">
              <v:shape style="position:absolute;left:6143;top:10;width:20;height:2" coordorigin="6143,10" coordsize="20,0" path="m6143,10l6162,10e" filled="false" stroked="true" strokeweight=".96002pt" strokecolor="#000000">
                <v:path arrowok="t"/>
              </v:shape>
            </v:group>
            <v:group style="position:absolute;left:6162;top:10;width:1595;height:2" coordorigin="6162,10" coordsize="1595,2">
              <v:shape style="position:absolute;left:6162;top:10;width:1595;height:2" coordorigin="6162,10" coordsize="1595,0" path="m6162,10l7756,10e" filled="false" stroked="true" strokeweight=".96002pt" strokecolor="#000000">
                <v:path arrowok="t"/>
              </v:shape>
            </v:group>
            <v:group style="position:absolute;left:7742;top:10;width:20;height:2" coordorigin="7742,10" coordsize="20,2">
              <v:shape style="position:absolute;left:7742;top:10;width:20;height:2" coordorigin="7742,10" coordsize="20,0" path="m7742,10l7761,10e" filled="false" stroked="true" strokeweight=".96002pt" strokecolor="#000000">
                <v:path arrowok="t"/>
              </v:shape>
            </v:group>
            <v:group style="position:absolute;left:7761;top:10;width:1386;height:2" coordorigin="7761,10" coordsize="1386,2">
              <v:shape style="position:absolute;left:7761;top:10;width:1386;height:2" coordorigin="7761,10" coordsize="1386,0" path="m7761,10l9146,10e" filled="false" stroked="true" strokeweight=".96002pt" strokecolor="#000000">
                <v:path arrowok="t"/>
              </v:shape>
            </v:group>
          </v:group>
        </w:pict>
      </w:r>
      <w:r>
        <w:rPr>
          <w:rFonts w:ascii="Arial Narrow" w:hAnsi="Arial Narrow" w:cs="Arial Narrow" w:eastAsia="Arial Narrow" w:hint="default"/>
          <w:sz w:val="2"/>
          <w:szCs w:val="2"/>
        </w:rPr>
      </w:r>
    </w:p>
    <w:p>
      <w:pPr>
        <w:pStyle w:val="BodyText"/>
        <w:spacing w:line="240" w:lineRule="auto" w:before="79"/>
        <w:ind w:left="559" w:right="0"/>
        <w:jc w:val="left"/>
      </w:pPr>
      <w:r>
        <w:rPr/>
        <w:t>（</w:t>
      </w:r>
      <w:r>
        <w:rPr>
          <w:rFonts w:ascii="Arial Narrow" w:hAnsi="Arial Narrow" w:cs="Arial Narrow" w:eastAsia="Arial Narrow" w:hint="default"/>
        </w:rPr>
        <w:t>2</w:t>
      </w:r>
      <w:r>
        <w:rPr/>
        <w:t>）应付关联方款项</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1665"/>
        <w:gridCol w:w="3526"/>
        <w:gridCol w:w="2211"/>
        <w:gridCol w:w="1672"/>
      </w:tblGrid>
      <w:tr>
        <w:trPr>
          <w:trHeight w:val="394" w:hRule="exact"/>
        </w:trPr>
        <w:tc>
          <w:tcPr>
            <w:tcW w:w="1665"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3526"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711"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211"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70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67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06"/>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574" w:hRule="exact"/>
        </w:trPr>
        <w:tc>
          <w:tcPr>
            <w:tcW w:w="1665" w:type="dxa"/>
            <w:tcBorders>
              <w:top w:val="single" w:sz="4" w:space="0" w:color="000000"/>
              <w:left w:val="nil" w:sz="6" w:space="0" w:color="auto"/>
              <w:bottom w:val="nil" w:sz="6" w:space="0" w:color="auto"/>
              <w:right w:val="nil" w:sz="6" w:space="0" w:color="auto"/>
            </w:tcBorders>
          </w:tcPr>
          <w:p>
            <w:pPr>
              <w:pStyle w:val="TableParagraph"/>
              <w:spacing w:line="240" w:lineRule="auto" w:before="160"/>
              <w:ind w:left="10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526" w:type="dxa"/>
            <w:tcBorders>
              <w:top w:val="single" w:sz="4" w:space="0" w:color="000000"/>
              <w:left w:val="nil" w:sz="6" w:space="0" w:color="auto"/>
              <w:bottom w:val="nil" w:sz="6" w:space="0" w:color="auto"/>
              <w:right w:val="nil" w:sz="6" w:space="0" w:color="auto"/>
            </w:tcBorders>
          </w:tcPr>
          <w:p>
            <w:pPr>
              <w:pStyle w:val="TableParagraph"/>
              <w:spacing w:line="272" w:lineRule="exact" w:before="51"/>
              <w:ind w:left="711" w:right="738"/>
              <w:jc w:val="left"/>
              <w:rPr>
                <w:rFonts w:ascii="宋体" w:hAnsi="宋体" w:cs="宋体" w:eastAsia="宋体" w:hint="default"/>
                <w:sz w:val="21"/>
                <w:szCs w:val="21"/>
              </w:rPr>
            </w:pPr>
            <w:r>
              <w:rPr>
                <w:rFonts w:ascii="宋体" w:hAnsi="宋体" w:cs="宋体" w:eastAsia="宋体" w:hint="default"/>
                <w:spacing w:val="16"/>
                <w:sz w:val="21"/>
                <w:szCs w:val="21"/>
              </w:rPr>
              <w:t>北京国遥新天地信息</w:t>
            </w:r>
            <w:r>
              <w:rPr>
                <w:rFonts w:ascii="宋体" w:hAnsi="宋体" w:cs="宋体" w:eastAsia="宋体" w:hint="default"/>
                <w:spacing w:val="-87"/>
                <w:sz w:val="21"/>
                <w:szCs w:val="21"/>
              </w:rPr>
              <w:t> </w:t>
            </w:r>
            <w:r>
              <w:rPr>
                <w:rFonts w:ascii="宋体" w:hAnsi="宋体" w:cs="宋体" w:eastAsia="宋体" w:hint="default"/>
                <w:sz w:val="21"/>
                <w:szCs w:val="21"/>
              </w:rPr>
              <w:t>技术有限公司</w:t>
            </w:r>
          </w:p>
        </w:tc>
        <w:tc>
          <w:tcPr>
            <w:tcW w:w="221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700"/>
              <w:jc w:val="right"/>
              <w:rPr>
                <w:rFonts w:ascii="Arial Narrow" w:hAnsi="Arial Narrow" w:cs="Arial Narrow" w:eastAsia="Arial Narrow" w:hint="default"/>
                <w:sz w:val="21"/>
                <w:szCs w:val="21"/>
              </w:rPr>
            </w:pPr>
            <w:r>
              <w:rPr>
                <w:rFonts w:ascii="Arial Narrow"/>
                <w:spacing w:val="-1"/>
                <w:sz w:val="21"/>
              </w:rPr>
              <w:t>20,000.00</w:t>
            </w:r>
            <w:r>
              <w:rPr>
                <w:rFonts w:ascii="Arial Narrow"/>
                <w:sz w:val="21"/>
              </w:rPr>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138,260.00</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00" w:h="16850"/>
          <w:pgMar w:top="440" w:bottom="280" w:left="1140" w:right="1000"/>
        </w:sectPr>
      </w:pPr>
    </w:p>
    <w:p>
      <w:pPr>
        <w:spacing w:line="240" w:lineRule="auto" w:before="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400"/>
        <w:gridCol w:w="1678"/>
        <w:gridCol w:w="3479"/>
        <w:gridCol w:w="2661"/>
        <w:gridCol w:w="1292"/>
      </w:tblGrid>
      <w:tr>
        <w:trPr>
          <w:trHeight w:val="706" w:hRule="exact"/>
        </w:trPr>
        <w:tc>
          <w:tcPr>
            <w:tcW w:w="400" w:type="dxa"/>
            <w:tcBorders>
              <w:top w:val="single" w:sz="6" w:space="0" w:color="000000"/>
              <w:left w:val="nil" w:sz="6" w:space="0" w:color="auto"/>
              <w:bottom w:val="nil" w:sz="6" w:space="0" w:color="auto"/>
              <w:right w:val="nil" w:sz="6" w:space="0" w:color="auto"/>
            </w:tcBorders>
          </w:tcPr>
          <w:p>
            <w:pPr/>
          </w:p>
        </w:tc>
        <w:tc>
          <w:tcPr>
            <w:tcW w:w="1678" w:type="dxa"/>
            <w:tcBorders>
              <w:top w:val="single" w:sz="6" w:space="0" w:color="000000"/>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479" w:type="dxa"/>
            <w:tcBorders>
              <w:top w:val="single" w:sz="6" w:space="0" w:color="000000"/>
              <w:left w:val="nil" w:sz="6" w:space="0" w:color="auto"/>
              <w:bottom w:val="single" w:sz="8" w:space="0" w:color="000000"/>
              <w:right w:val="nil" w:sz="6" w:space="0" w:color="auto"/>
            </w:tcBorders>
          </w:tcPr>
          <w:p>
            <w:pPr>
              <w:pStyle w:val="TableParagraph"/>
              <w:spacing w:line="240" w:lineRule="auto" w:before="81"/>
              <w:ind w:left="713" w:right="690"/>
              <w:jc w:val="left"/>
              <w:rPr>
                <w:rFonts w:ascii="宋体" w:hAnsi="宋体" w:cs="宋体" w:eastAsia="宋体" w:hint="default"/>
                <w:sz w:val="21"/>
                <w:szCs w:val="21"/>
              </w:rPr>
            </w:pPr>
            <w:r>
              <w:rPr>
                <w:rFonts w:ascii="宋体" w:hAnsi="宋体" w:cs="宋体" w:eastAsia="宋体" w:hint="default"/>
                <w:spacing w:val="16"/>
                <w:sz w:val="21"/>
                <w:szCs w:val="21"/>
              </w:rPr>
              <w:t>浙江中科数城软件有</w:t>
            </w:r>
            <w:r>
              <w:rPr>
                <w:rFonts w:ascii="宋体" w:hAnsi="宋体" w:cs="宋体" w:eastAsia="宋体" w:hint="default"/>
                <w:spacing w:val="-87"/>
                <w:sz w:val="21"/>
                <w:szCs w:val="21"/>
              </w:rPr>
              <w:t> </w:t>
            </w:r>
            <w:r>
              <w:rPr>
                <w:rFonts w:ascii="宋体" w:hAnsi="宋体" w:cs="宋体" w:eastAsia="宋体" w:hint="default"/>
                <w:sz w:val="21"/>
                <w:szCs w:val="21"/>
              </w:rPr>
              <w:t>限公司</w:t>
            </w:r>
          </w:p>
        </w:tc>
        <w:tc>
          <w:tcPr>
            <w:tcW w:w="2661" w:type="dxa"/>
            <w:tcBorders>
              <w:top w:val="single" w:sz="6"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692" w:right="0"/>
              <w:jc w:val="left"/>
              <w:rPr>
                <w:rFonts w:ascii="Arial Narrow" w:hAnsi="Arial Narrow" w:cs="Arial Narrow" w:eastAsia="Arial Narrow" w:hint="default"/>
                <w:sz w:val="21"/>
                <w:szCs w:val="21"/>
              </w:rPr>
            </w:pPr>
            <w:r>
              <w:rPr>
                <w:rFonts w:ascii="Arial Narrow"/>
                <w:sz w:val="21"/>
              </w:rPr>
              <w:t>200,000.00</w:t>
            </w:r>
          </w:p>
        </w:tc>
        <w:tc>
          <w:tcPr>
            <w:tcW w:w="1292" w:type="dxa"/>
            <w:tcBorders>
              <w:top w:val="single" w:sz="6"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28"/>
              <w:jc w:val="right"/>
              <w:rPr>
                <w:rFonts w:ascii="Arial Narrow" w:hAnsi="Arial Narrow" w:cs="Arial Narrow" w:eastAsia="Arial Narrow" w:hint="default"/>
                <w:sz w:val="21"/>
                <w:szCs w:val="21"/>
              </w:rPr>
            </w:pPr>
            <w:r>
              <w:rPr>
                <w:rFonts w:ascii="Arial Narrow"/>
                <w:w w:val="100"/>
                <w:sz w:val="21"/>
              </w:rPr>
              <w:t>-</w:t>
            </w:r>
          </w:p>
        </w:tc>
      </w:tr>
    </w:tbl>
    <w:p>
      <w:pPr>
        <w:pStyle w:val="Heading5"/>
        <w:spacing w:line="240" w:lineRule="auto" w:before="79"/>
        <w:ind w:left="102" w:right="0"/>
        <w:jc w:val="left"/>
        <w:rPr>
          <w:b w:val="0"/>
          <w:bCs w:val="0"/>
        </w:rPr>
      </w:pPr>
      <w:r>
        <w:rPr/>
        <w:t>七、</w:t>
      </w:r>
      <w:r>
        <w:rPr>
          <w:spacing w:val="-1"/>
        </w:rPr>
        <w:t> </w:t>
      </w:r>
      <w:r>
        <w:rPr/>
        <w:t>股份支付</w:t>
      </w:r>
      <w:r>
        <w:rPr>
          <w:b w:val="0"/>
          <w:bCs w:val="0"/>
        </w:rPr>
      </w:r>
    </w:p>
    <w:p>
      <w:pPr>
        <w:pStyle w:val="BodyText"/>
        <w:spacing w:line="240" w:lineRule="auto" w:before="211"/>
        <w:ind w:left="102" w:right="0"/>
        <w:jc w:val="left"/>
      </w:pPr>
      <w:r>
        <w:rPr>
          <w:rFonts w:ascii="Arial Narrow" w:hAnsi="Arial Narrow" w:cs="Arial Narrow" w:eastAsia="Arial Narrow" w:hint="default"/>
        </w:rPr>
        <w:t>1</w:t>
      </w:r>
      <w:r>
        <w:rPr/>
        <w:t>、股份支付总体情况</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4567"/>
        <w:gridCol w:w="4569"/>
      </w:tblGrid>
      <w:tr>
        <w:trPr>
          <w:trHeight w:val="395" w:hRule="exact"/>
        </w:trPr>
        <w:tc>
          <w:tcPr>
            <w:tcW w:w="4567" w:type="dxa"/>
            <w:tcBorders>
              <w:top w:val="single" w:sz="8" w:space="0" w:color="000000"/>
              <w:left w:val="nil" w:sz="6" w:space="0" w:color="auto"/>
              <w:bottom w:val="nil" w:sz="6" w:space="0" w:color="auto"/>
              <w:right w:val="nil" w:sz="6" w:space="0" w:color="auto"/>
            </w:tcBorders>
          </w:tcPr>
          <w:p>
            <w:pPr>
              <w:pStyle w:val="TableParagraph"/>
              <w:spacing w:line="307" w:lineRule="exact"/>
              <w:ind w:left="108" w:right="0"/>
              <w:jc w:val="left"/>
              <w:rPr>
                <w:rFonts w:ascii="宋体" w:hAnsi="宋体" w:cs="宋体" w:eastAsia="宋体" w:hint="default"/>
                <w:sz w:val="24"/>
                <w:szCs w:val="24"/>
              </w:rPr>
            </w:pPr>
            <w:r>
              <w:rPr>
                <w:rFonts w:ascii="宋体" w:hAnsi="宋体" w:cs="宋体" w:eastAsia="宋体" w:hint="default"/>
                <w:sz w:val="24"/>
                <w:szCs w:val="24"/>
              </w:rPr>
              <w:t>公司本期授予的各项权益工具总额</w:t>
            </w:r>
          </w:p>
        </w:tc>
        <w:tc>
          <w:tcPr>
            <w:tcW w:w="4569" w:type="dxa"/>
            <w:tcBorders>
              <w:top w:val="single" w:sz="8" w:space="0" w:color="000000"/>
              <w:left w:val="nil" w:sz="6" w:space="0" w:color="auto"/>
              <w:bottom w:val="nil" w:sz="6" w:space="0" w:color="auto"/>
              <w:right w:val="nil" w:sz="6" w:space="0" w:color="auto"/>
            </w:tcBorders>
          </w:tcPr>
          <w:p>
            <w:pPr>
              <w:pStyle w:val="TableParagraph"/>
              <w:spacing w:line="324" w:lineRule="exact"/>
              <w:ind w:left="108" w:right="0"/>
              <w:jc w:val="left"/>
              <w:rPr>
                <w:rFonts w:ascii="宋体" w:hAnsi="宋体" w:cs="宋体" w:eastAsia="宋体" w:hint="default"/>
                <w:sz w:val="24"/>
                <w:szCs w:val="24"/>
              </w:rPr>
            </w:pPr>
            <w:r>
              <w:rPr>
                <w:rFonts w:ascii="Arial Narrow" w:hAnsi="Arial Narrow" w:cs="Arial Narrow" w:eastAsia="Arial Narrow" w:hint="default"/>
                <w:sz w:val="24"/>
                <w:szCs w:val="24"/>
              </w:rPr>
              <w:t>299.68</w:t>
            </w:r>
            <w:r>
              <w:rPr>
                <w:rFonts w:ascii="Arial Narrow" w:hAnsi="Arial Narrow" w:cs="Arial Narrow" w:eastAsia="Arial Narrow" w:hint="default"/>
                <w:spacing w:val="5"/>
                <w:sz w:val="24"/>
                <w:szCs w:val="24"/>
              </w:rPr>
              <w:t> </w:t>
            </w:r>
            <w:r>
              <w:rPr>
                <w:rFonts w:ascii="宋体" w:hAnsi="宋体" w:cs="宋体" w:eastAsia="宋体" w:hint="default"/>
                <w:sz w:val="24"/>
                <w:szCs w:val="24"/>
              </w:rPr>
              <w:t>万份</w:t>
            </w:r>
          </w:p>
        </w:tc>
      </w:tr>
      <w:tr>
        <w:trPr>
          <w:trHeight w:val="391"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308" w:lineRule="exact"/>
              <w:ind w:left="108" w:right="0"/>
              <w:jc w:val="left"/>
              <w:rPr>
                <w:rFonts w:ascii="宋体" w:hAnsi="宋体" w:cs="宋体" w:eastAsia="宋体" w:hint="default"/>
                <w:sz w:val="24"/>
                <w:szCs w:val="24"/>
              </w:rPr>
            </w:pPr>
            <w:r>
              <w:rPr>
                <w:rFonts w:ascii="宋体" w:hAnsi="宋体" w:cs="宋体" w:eastAsia="宋体" w:hint="default"/>
                <w:sz w:val="24"/>
                <w:szCs w:val="24"/>
              </w:rPr>
              <w:t>公司本期行权的各项权益工具总额</w:t>
            </w:r>
          </w:p>
        </w:tc>
        <w:tc>
          <w:tcPr>
            <w:tcW w:w="4569"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8" w:right="0"/>
              <w:jc w:val="left"/>
              <w:rPr>
                <w:rFonts w:ascii="Arial Narrow" w:hAnsi="Arial Narrow" w:cs="Arial Narrow" w:eastAsia="Arial Narrow" w:hint="default"/>
                <w:sz w:val="24"/>
                <w:szCs w:val="24"/>
              </w:rPr>
            </w:pPr>
            <w:r>
              <w:rPr>
                <w:rFonts w:ascii="Arial Narrow"/>
                <w:sz w:val="24"/>
              </w:rPr>
              <w:t>-</w:t>
            </w:r>
          </w:p>
        </w:tc>
      </w:tr>
      <w:tr>
        <w:trPr>
          <w:trHeight w:val="389"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公司本期失效的各项权益工具总额</w:t>
            </w:r>
          </w:p>
        </w:tc>
        <w:tc>
          <w:tcPr>
            <w:tcW w:w="456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Arial Narrow" w:hAnsi="Arial Narrow" w:cs="Arial Narrow" w:eastAsia="Arial Narrow" w:hint="default"/>
                <w:sz w:val="24"/>
                <w:szCs w:val="24"/>
              </w:rPr>
            </w:pPr>
            <w:r>
              <w:rPr>
                <w:rFonts w:ascii="Arial Narrow"/>
                <w:color w:val="0000FF"/>
                <w:sz w:val="24"/>
              </w:rPr>
              <w:t>-</w:t>
            </w:r>
            <w:r>
              <w:rPr>
                <w:rFonts w:ascii="Arial Narrow"/>
                <w:sz w:val="24"/>
              </w:rPr>
            </w:r>
          </w:p>
        </w:tc>
      </w:tr>
      <w:tr>
        <w:trPr>
          <w:trHeight w:val="672" w:hRule="exact"/>
        </w:trPr>
        <w:tc>
          <w:tcPr>
            <w:tcW w:w="4567" w:type="dxa"/>
            <w:tcBorders>
              <w:top w:val="nil" w:sz="6" w:space="0" w:color="auto"/>
              <w:left w:val="nil" w:sz="6" w:space="0" w:color="auto"/>
              <w:bottom w:val="nil" w:sz="6" w:space="0" w:color="auto"/>
              <w:right w:val="nil" w:sz="6" w:space="0" w:color="auto"/>
            </w:tcBorders>
          </w:tcPr>
          <w:p>
            <w:pPr>
              <w:pStyle w:val="TableParagraph"/>
              <w:spacing w:line="310" w:lineRule="exact" w:before="26"/>
              <w:ind w:left="108" w:right="106"/>
              <w:jc w:val="left"/>
              <w:rPr>
                <w:rFonts w:ascii="宋体" w:hAnsi="宋体" w:cs="宋体" w:eastAsia="宋体" w:hint="default"/>
                <w:sz w:val="24"/>
                <w:szCs w:val="24"/>
              </w:rPr>
            </w:pPr>
            <w:r>
              <w:rPr>
                <w:rFonts w:ascii="宋体" w:hAnsi="宋体" w:cs="宋体" w:eastAsia="宋体" w:hint="default"/>
                <w:sz w:val="24"/>
                <w:szCs w:val="24"/>
              </w:rPr>
              <w:t>公司期末发行在外的股份期权行权价格的</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范围和合同剩余期限</w:t>
            </w:r>
          </w:p>
        </w:tc>
        <w:tc>
          <w:tcPr>
            <w:tcW w:w="4569" w:type="dxa"/>
            <w:tcBorders>
              <w:top w:val="nil" w:sz="6" w:space="0" w:color="auto"/>
              <w:left w:val="nil" w:sz="6" w:space="0" w:color="auto"/>
              <w:bottom w:val="nil" w:sz="6" w:space="0" w:color="auto"/>
              <w:right w:val="nil" w:sz="6" w:space="0" w:color="auto"/>
            </w:tcBorders>
          </w:tcPr>
          <w:p>
            <w:pPr>
              <w:pStyle w:val="TableParagraph"/>
              <w:spacing w:line="314" w:lineRule="exact"/>
              <w:ind w:left="108" w:right="0"/>
              <w:jc w:val="left"/>
              <w:rPr>
                <w:rFonts w:ascii="宋体" w:hAnsi="宋体" w:cs="宋体" w:eastAsia="宋体" w:hint="default"/>
                <w:sz w:val="24"/>
                <w:szCs w:val="24"/>
              </w:rPr>
            </w:pPr>
            <w:r>
              <w:rPr>
                <w:rFonts w:ascii="宋体" w:hAnsi="宋体" w:cs="宋体" w:eastAsia="宋体" w:hint="default"/>
                <w:sz w:val="24"/>
                <w:szCs w:val="24"/>
              </w:rPr>
              <w:t>行权价每份 </w:t>
            </w:r>
            <w:r>
              <w:rPr>
                <w:rFonts w:ascii="Arial Narrow" w:hAnsi="Arial Narrow" w:cs="Arial Narrow" w:eastAsia="Arial Narrow" w:hint="default"/>
                <w:sz w:val="24"/>
                <w:szCs w:val="24"/>
              </w:rPr>
              <w:t>17.66 </w:t>
            </w:r>
            <w:r>
              <w:rPr>
                <w:rFonts w:ascii="Arial Narrow" w:hAnsi="Arial Narrow" w:cs="Arial Narrow" w:eastAsia="Arial Narrow" w:hint="default"/>
                <w:spacing w:val="29"/>
                <w:sz w:val="24"/>
                <w:szCs w:val="24"/>
              </w:rPr>
              <w:t> </w:t>
            </w:r>
            <w:r>
              <w:rPr>
                <w:rFonts w:ascii="宋体" w:hAnsi="宋体" w:cs="宋体" w:eastAsia="宋体" w:hint="default"/>
                <w:sz w:val="24"/>
                <w:szCs w:val="24"/>
              </w:rPr>
              <w:t>元，合同年限为自股票</w:t>
            </w:r>
          </w:p>
          <w:p>
            <w:pPr>
              <w:pStyle w:val="TableParagraph"/>
              <w:spacing w:line="320" w:lineRule="exact"/>
              <w:ind w:left="108" w:right="0"/>
              <w:jc w:val="left"/>
              <w:rPr>
                <w:rFonts w:ascii="宋体" w:hAnsi="宋体" w:cs="宋体" w:eastAsia="宋体" w:hint="default"/>
                <w:sz w:val="24"/>
                <w:szCs w:val="24"/>
              </w:rPr>
            </w:pPr>
            <w:r>
              <w:rPr>
                <w:rFonts w:ascii="宋体" w:hAnsi="宋体" w:cs="宋体" w:eastAsia="宋体" w:hint="default"/>
                <w:sz w:val="24"/>
                <w:szCs w:val="24"/>
              </w:rPr>
              <w:t>期权授权日（</w:t>
            </w:r>
            <w:r>
              <w:rPr>
                <w:rFonts w:ascii="Arial Narrow" w:hAnsi="Arial Narrow" w:cs="Arial Narrow" w:eastAsia="Arial Narrow" w:hint="default"/>
                <w:sz w:val="24"/>
                <w:szCs w:val="24"/>
              </w:rPr>
              <w:t>2011 </w:t>
            </w:r>
            <w:r>
              <w:rPr>
                <w:rFonts w:ascii="宋体" w:hAnsi="宋体" w:cs="宋体" w:eastAsia="宋体" w:hint="default"/>
                <w:sz w:val="24"/>
                <w:szCs w:val="24"/>
              </w:rPr>
              <w:t>年 </w:t>
            </w:r>
            <w:r>
              <w:rPr>
                <w:rFonts w:ascii="Arial Narrow" w:hAnsi="Arial Narrow" w:cs="Arial Narrow" w:eastAsia="Arial Narrow" w:hint="default"/>
                <w:sz w:val="24"/>
                <w:szCs w:val="24"/>
              </w:rPr>
              <w:t>6 </w:t>
            </w:r>
            <w:r>
              <w:rPr>
                <w:rFonts w:ascii="宋体" w:hAnsi="宋体" w:cs="宋体" w:eastAsia="宋体" w:hint="default"/>
                <w:sz w:val="24"/>
                <w:szCs w:val="24"/>
              </w:rPr>
              <w:t>月 </w:t>
            </w:r>
            <w:r>
              <w:rPr>
                <w:rFonts w:ascii="Arial Narrow" w:hAnsi="Arial Narrow" w:cs="Arial Narrow" w:eastAsia="Arial Narrow" w:hint="default"/>
                <w:sz w:val="24"/>
                <w:szCs w:val="24"/>
              </w:rPr>
              <w:t>10</w:t>
            </w:r>
            <w:r>
              <w:rPr>
                <w:rFonts w:ascii="Arial Narrow" w:hAnsi="Arial Narrow" w:cs="Arial Narrow" w:eastAsia="Arial Narrow" w:hint="default"/>
                <w:spacing w:val="-1"/>
                <w:sz w:val="24"/>
                <w:szCs w:val="24"/>
              </w:rPr>
              <w:t> </w:t>
            </w:r>
            <w:r>
              <w:rPr>
                <w:rFonts w:ascii="宋体" w:hAnsi="宋体" w:cs="宋体" w:eastAsia="宋体" w:hint="default"/>
                <w:sz w:val="24"/>
                <w:szCs w:val="24"/>
              </w:rPr>
              <w:t>日）起五年</w:t>
            </w:r>
          </w:p>
        </w:tc>
      </w:tr>
      <w:tr>
        <w:trPr>
          <w:trHeight w:val="641" w:hRule="exact"/>
        </w:trPr>
        <w:tc>
          <w:tcPr>
            <w:tcW w:w="4567" w:type="dxa"/>
            <w:tcBorders>
              <w:top w:val="nil" w:sz="6" w:space="0" w:color="auto"/>
              <w:left w:val="nil" w:sz="6" w:space="0" w:color="auto"/>
              <w:bottom w:val="single" w:sz="8" w:space="0" w:color="000000"/>
              <w:right w:val="nil" w:sz="6" w:space="0" w:color="auto"/>
            </w:tcBorders>
          </w:tcPr>
          <w:p>
            <w:pPr>
              <w:pStyle w:val="TableParagraph"/>
              <w:spacing w:line="312" w:lineRule="exact"/>
              <w:ind w:left="108" w:right="106"/>
              <w:jc w:val="left"/>
              <w:rPr>
                <w:rFonts w:ascii="宋体" w:hAnsi="宋体" w:cs="宋体" w:eastAsia="宋体" w:hint="default"/>
                <w:sz w:val="24"/>
                <w:szCs w:val="24"/>
              </w:rPr>
            </w:pPr>
            <w:r>
              <w:rPr>
                <w:rFonts w:ascii="宋体" w:hAnsi="宋体" w:cs="宋体" w:eastAsia="宋体" w:hint="default"/>
                <w:sz w:val="24"/>
                <w:szCs w:val="24"/>
              </w:rPr>
              <w:t>公司期末其他权益工具行权价格的范围和</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合同剩余期限</w:t>
            </w:r>
          </w:p>
        </w:tc>
        <w:tc>
          <w:tcPr>
            <w:tcW w:w="4569" w:type="dxa"/>
            <w:tcBorders>
              <w:top w:val="nil" w:sz="6" w:space="0" w:color="auto"/>
              <w:left w:val="nil" w:sz="6" w:space="0" w:color="auto"/>
              <w:bottom w:val="single" w:sz="8" w:space="0" w:color="000000"/>
              <w:right w:val="nil" w:sz="6" w:space="0" w:color="auto"/>
            </w:tcBorders>
          </w:tcPr>
          <w:p>
            <w:pPr>
              <w:pStyle w:val="TableParagraph"/>
              <w:spacing w:line="240" w:lineRule="auto" w:before="176"/>
              <w:ind w:left="108" w:right="0"/>
              <w:jc w:val="left"/>
              <w:rPr>
                <w:rFonts w:ascii="Arial Narrow" w:hAnsi="Arial Narrow" w:cs="Arial Narrow" w:eastAsia="Arial Narrow" w:hint="default"/>
                <w:sz w:val="24"/>
                <w:szCs w:val="24"/>
              </w:rPr>
            </w:pPr>
            <w:r>
              <w:rPr>
                <w:rFonts w:ascii="Arial Narrow"/>
                <w:color w:val="0000FF"/>
                <w:sz w:val="24"/>
              </w:rPr>
              <w:t>-</w:t>
            </w:r>
            <w:r>
              <w:rPr>
                <w:rFonts w:ascii="Arial Narrow"/>
                <w:sz w:val="24"/>
              </w:rPr>
            </w:r>
          </w:p>
        </w:tc>
      </w:tr>
    </w:tbl>
    <w:p>
      <w:pPr>
        <w:pStyle w:val="BodyText"/>
        <w:spacing w:line="240" w:lineRule="auto" w:before="79"/>
        <w:ind w:left="522" w:right="0"/>
        <w:jc w:val="both"/>
      </w:pPr>
      <w:r>
        <w:rPr/>
        <w:t>说明：</w:t>
      </w:r>
    </w:p>
    <w:p>
      <w:pPr>
        <w:spacing w:line="240" w:lineRule="auto" w:before="3"/>
        <w:rPr>
          <w:rFonts w:ascii="宋体" w:hAnsi="宋体" w:cs="宋体" w:eastAsia="宋体" w:hint="default"/>
          <w:sz w:val="17"/>
          <w:szCs w:val="17"/>
        </w:rPr>
      </w:pPr>
    </w:p>
    <w:p>
      <w:pPr>
        <w:pStyle w:val="BodyText"/>
        <w:spacing w:line="230" w:lineRule="auto"/>
        <w:ind w:left="522" w:right="166"/>
        <w:jc w:val="both"/>
      </w:pPr>
      <w:r>
        <w:rPr>
          <w:rFonts w:ascii="Arial Narrow" w:hAnsi="Arial Narrow" w:cs="Arial Narrow" w:eastAsia="Arial Narrow" w:hint="default"/>
          <w:spacing w:val="-4"/>
        </w:rPr>
        <w:t>2011 </w:t>
      </w:r>
      <w:r>
        <w:rPr/>
        <w:t>年 </w:t>
      </w:r>
      <w:r>
        <w:rPr>
          <w:rFonts w:ascii="Arial Narrow" w:hAnsi="Arial Narrow" w:cs="Arial Narrow" w:eastAsia="Arial Narrow" w:hint="default"/>
        </w:rPr>
        <w:t>2 </w:t>
      </w:r>
      <w:r>
        <w:rPr/>
        <w:t>月 </w:t>
      </w:r>
      <w:r>
        <w:rPr>
          <w:rFonts w:ascii="Arial Narrow" w:hAnsi="Arial Narrow" w:cs="Arial Narrow" w:eastAsia="Arial Narrow" w:hint="default"/>
        </w:rPr>
        <w:t>24</w:t>
      </w:r>
      <w:r>
        <w:rPr>
          <w:rFonts w:ascii="Arial Narrow" w:hAnsi="Arial Narrow" w:cs="Arial Narrow" w:eastAsia="Arial Narrow" w:hint="default"/>
          <w:spacing w:val="-11"/>
        </w:rPr>
        <w:t> </w:t>
      </w:r>
      <w:r>
        <w:rPr/>
        <w:t>日，公司第一届董事会第十七次会议审议通过了《关于公司股票期权激 </w:t>
      </w:r>
      <w:r>
        <w:rPr>
          <w:spacing w:val="-2"/>
        </w:rPr>
        <w:t>励计划（草案）的议案》，向公司高级管理人员以及董事会认为需要激励的其他人员合</w:t>
      </w:r>
      <w:r>
        <w:rPr>
          <w:spacing w:val="-111"/>
        </w:rPr>
        <w:t> </w:t>
      </w:r>
      <w:r>
        <w:rPr>
          <w:spacing w:val="-111"/>
        </w:rPr>
      </w:r>
      <w:r>
        <w:rPr/>
        <w:t>计</w:t>
      </w:r>
      <w:r>
        <w:rPr>
          <w:spacing w:val="-52"/>
        </w:rPr>
        <w:t> </w:t>
      </w:r>
      <w:r>
        <w:rPr>
          <w:rFonts w:ascii="Arial Narrow" w:hAnsi="Arial Narrow" w:cs="Arial Narrow" w:eastAsia="Arial Narrow" w:hint="default"/>
        </w:rPr>
        <w:t>125</w:t>
      </w:r>
      <w:r>
        <w:rPr>
          <w:rFonts w:ascii="Arial Narrow" w:hAnsi="Arial Narrow" w:cs="Arial Narrow" w:eastAsia="Arial Narrow" w:hint="default"/>
          <w:spacing w:val="14"/>
        </w:rPr>
        <w:t> </w:t>
      </w:r>
      <w:r>
        <w:rPr/>
        <w:t>人授予</w:t>
      </w:r>
      <w:r>
        <w:rPr>
          <w:spacing w:val="-55"/>
        </w:rPr>
        <w:t> </w:t>
      </w:r>
      <w:r>
        <w:rPr>
          <w:rFonts w:ascii="Arial Narrow" w:hAnsi="Arial Narrow" w:cs="Arial Narrow" w:eastAsia="Arial Narrow" w:hint="default"/>
          <w:spacing w:val="-1"/>
        </w:rPr>
        <w:t>200</w:t>
      </w:r>
      <w:r>
        <w:rPr>
          <w:rFonts w:ascii="Arial Narrow" w:hAnsi="Arial Narrow" w:cs="Arial Narrow" w:eastAsia="Arial Narrow" w:hint="default"/>
          <w:spacing w:val="15"/>
        </w:rPr>
        <w:t> </w:t>
      </w:r>
      <w:r>
        <w:rPr>
          <w:spacing w:val="-1"/>
        </w:rPr>
        <w:t>万份股票期权（授予日</w:t>
      </w:r>
      <w:r>
        <w:rPr>
          <w:spacing w:val="-52"/>
        </w:rPr>
        <w:t> </w:t>
      </w:r>
      <w:r>
        <w:rPr>
          <w:rFonts w:ascii="Arial Narrow" w:hAnsi="Arial Narrow" w:cs="Arial Narrow" w:eastAsia="Arial Narrow" w:hint="default"/>
          <w:spacing w:val="-4"/>
        </w:rPr>
        <w:t>2011</w:t>
      </w:r>
      <w:r>
        <w:rPr>
          <w:rFonts w:ascii="Arial Narrow" w:hAnsi="Arial Narrow" w:cs="Arial Narrow" w:eastAsia="Arial Narrow" w:hint="default"/>
          <w:spacing w:val="14"/>
        </w:rPr>
        <w:t> </w:t>
      </w:r>
      <w:r>
        <w:rPr/>
        <w:t>年</w:t>
      </w:r>
      <w:r>
        <w:rPr>
          <w:spacing w:val="-52"/>
        </w:rPr>
        <w:t> </w:t>
      </w:r>
      <w:r>
        <w:rPr>
          <w:rFonts w:ascii="Arial Narrow" w:hAnsi="Arial Narrow" w:cs="Arial Narrow" w:eastAsia="Arial Narrow" w:hint="default"/>
        </w:rPr>
        <w:t>6</w:t>
      </w:r>
      <w:r>
        <w:rPr>
          <w:rFonts w:ascii="Arial Narrow" w:hAnsi="Arial Narrow" w:cs="Arial Narrow" w:eastAsia="Arial Narrow" w:hint="default"/>
          <w:spacing w:val="14"/>
        </w:rPr>
        <w:t> </w:t>
      </w:r>
      <w:r>
        <w:rPr/>
        <w:t>月</w:t>
      </w:r>
      <w:r>
        <w:rPr>
          <w:spacing w:val="-52"/>
        </w:rPr>
        <w:t> </w:t>
      </w:r>
      <w:r>
        <w:rPr>
          <w:rFonts w:ascii="Arial Narrow" w:hAnsi="Arial Narrow" w:cs="Arial Narrow" w:eastAsia="Arial Narrow" w:hint="default"/>
          <w:spacing w:val="-1"/>
        </w:rPr>
        <w:t>10</w:t>
      </w:r>
      <w:r>
        <w:rPr>
          <w:rFonts w:ascii="Arial Narrow" w:hAnsi="Arial Narrow" w:cs="Arial Narrow" w:eastAsia="Arial Narrow" w:hint="default"/>
          <w:spacing w:val="14"/>
        </w:rPr>
        <w:t> </w:t>
      </w:r>
      <w:r>
        <w:rPr>
          <w:spacing w:val="-16"/>
        </w:rPr>
        <w:t>日），行权价每份</w:t>
      </w:r>
      <w:r>
        <w:rPr>
          <w:spacing w:val="-52"/>
        </w:rPr>
        <w:t> </w:t>
      </w:r>
      <w:r>
        <w:rPr>
          <w:rFonts w:ascii="Arial Narrow" w:hAnsi="Arial Narrow" w:cs="Arial Narrow" w:eastAsia="Arial Narrow" w:hint="default"/>
          <w:spacing w:val="-1"/>
        </w:rPr>
        <w:t>28.45</w:t>
      </w:r>
      <w:r>
        <w:rPr>
          <w:rFonts w:ascii="Arial Narrow" w:hAnsi="Arial Narrow" w:cs="Arial Narrow" w:eastAsia="Arial Narrow" w:hint="default"/>
          <w:spacing w:val="14"/>
        </w:rPr>
        <w:t> </w:t>
      </w:r>
      <w:r>
        <w:rPr/>
        <w:t>元。授</w:t>
      </w:r>
    </w:p>
    <w:p>
      <w:pPr>
        <w:pStyle w:val="BodyText"/>
        <w:spacing w:line="225" w:lineRule="auto"/>
        <w:ind w:left="522" w:right="168"/>
        <w:jc w:val="both"/>
      </w:pPr>
      <w:r>
        <w:rPr/>
        <w:t>予期权的主要行权条件： </w:t>
      </w:r>
      <w:r>
        <w:rPr>
          <w:rFonts w:ascii="Arial Narrow" w:hAnsi="Arial Narrow" w:cs="Arial Narrow" w:eastAsia="Arial Narrow" w:hint="default"/>
        </w:rPr>
        <w:t>2012 -2014 </w:t>
      </w:r>
      <w:r>
        <w:rPr/>
        <w:t>年度经审计的净利润相比 </w:t>
      </w:r>
      <w:r>
        <w:rPr>
          <w:rFonts w:ascii="Arial Narrow" w:hAnsi="Arial Narrow" w:cs="Arial Narrow" w:eastAsia="Arial Narrow" w:hint="default"/>
        </w:rPr>
        <w:t>2010</w:t>
      </w:r>
      <w:r>
        <w:rPr>
          <w:rFonts w:ascii="Arial Narrow" w:hAnsi="Arial Narrow" w:cs="Arial Narrow" w:eastAsia="Arial Narrow" w:hint="default"/>
          <w:spacing w:val="19"/>
        </w:rPr>
        <w:t> </w:t>
      </w:r>
      <w:r>
        <w:rPr/>
        <w:t>年度经审计的净利 润的增长率均分别不低于</w:t>
      </w:r>
      <w:r>
        <w:rPr>
          <w:spacing w:val="-33"/>
        </w:rPr>
        <w:t> </w:t>
      </w:r>
      <w:r>
        <w:rPr>
          <w:rFonts w:ascii="Arial Narrow" w:hAnsi="Arial Narrow" w:cs="Arial Narrow" w:eastAsia="Arial Narrow" w:hint="default"/>
        </w:rPr>
        <w:t>44%</w:t>
      </w:r>
      <w:r>
        <w:rPr/>
        <w:t>、</w:t>
      </w:r>
      <w:r>
        <w:rPr>
          <w:rFonts w:ascii="Arial Narrow" w:hAnsi="Arial Narrow" w:cs="Arial Narrow" w:eastAsia="Arial Narrow" w:hint="default"/>
        </w:rPr>
        <w:t>72%</w:t>
      </w:r>
      <w:r>
        <w:rPr/>
        <w:t>、</w:t>
      </w:r>
      <w:r>
        <w:rPr>
          <w:rFonts w:ascii="Arial Narrow" w:hAnsi="Arial Narrow" w:cs="Arial Narrow" w:eastAsia="Arial Narrow" w:hint="default"/>
        </w:rPr>
        <w:t>108%</w:t>
      </w:r>
      <w:r>
        <w:rPr/>
        <w:t>。本计划的股票来源为本公司向激励对象定 向发行股票。本计划有效期为自股票期权授权日起</w:t>
      </w:r>
      <w:r>
        <w:rPr>
          <w:spacing w:val="-84"/>
        </w:rPr>
        <w:t> </w:t>
      </w:r>
      <w:r>
        <w:rPr>
          <w:rFonts w:ascii="Arial Narrow" w:hAnsi="Arial Narrow" w:cs="Arial Narrow" w:eastAsia="Arial Narrow" w:hint="default"/>
        </w:rPr>
        <w:t>5</w:t>
      </w:r>
      <w:r>
        <w:rPr>
          <w:rFonts w:ascii="Arial Narrow" w:hAnsi="Arial Narrow" w:cs="Arial Narrow" w:eastAsia="Arial Narrow" w:hint="default"/>
          <w:spacing w:val="-18"/>
        </w:rPr>
        <w:t> </w:t>
      </w:r>
      <w:r>
        <w:rPr/>
        <w:t>年。本计划授予的股票期权自本期</w:t>
      </w:r>
    </w:p>
    <w:p>
      <w:pPr>
        <w:pStyle w:val="BodyText"/>
        <w:spacing w:line="315" w:lineRule="exact"/>
        <w:ind w:left="522" w:right="0"/>
        <w:jc w:val="both"/>
      </w:pPr>
      <w:r>
        <w:rPr/>
        <w:t>激励计划授予日起满</w:t>
      </w:r>
      <w:r>
        <w:rPr>
          <w:spacing w:val="-61"/>
        </w:rPr>
        <w:t> </w:t>
      </w:r>
      <w:r>
        <w:rPr>
          <w:rFonts w:ascii="Arial Narrow" w:hAnsi="Arial Narrow" w:cs="Arial Narrow" w:eastAsia="Arial Narrow" w:hint="default"/>
        </w:rPr>
        <w:t>24</w:t>
      </w:r>
      <w:r>
        <w:rPr>
          <w:rFonts w:ascii="Arial Narrow" w:hAnsi="Arial Narrow" w:cs="Arial Narrow" w:eastAsia="Arial Narrow" w:hint="default"/>
          <w:spacing w:val="5"/>
        </w:rPr>
        <w:t> </w:t>
      </w:r>
      <w:r>
        <w:rPr/>
        <w:t>个月后，激励对象应在未来</w:t>
      </w:r>
      <w:r>
        <w:rPr>
          <w:spacing w:val="-61"/>
        </w:rPr>
        <w:t> </w:t>
      </w:r>
      <w:r>
        <w:rPr>
          <w:rFonts w:ascii="Arial Narrow" w:hAnsi="Arial Narrow" w:cs="Arial Narrow" w:eastAsia="Arial Narrow" w:hint="default"/>
        </w:rPr>
        <w:t>36</w:t>
      </w:r>
      <w:r>
        <w:rPr>
          <w:rFonts w:ascii="Arial Narrow" w:hAnsi="Arial Narrow" w:cs="Arial Narrow" w:eastAsia="Arial Narrow" w:hint="default"/>
          <w:spacing w:val="5"/>
        </w:rPr>
        <w:t> </w:t>
      </w:r>
      <w:r>
        <w:rPr/>
        <w:t>个月内分三期行权：</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568"/>
        <w:gridCol w:w="5500"/>
        <w:gridCol w:w="2020"/>
      </w:tblGrid>
      <w:tr>
        <w:trPr>
          <w:trHeight w:val="674" w:hRule="exact"/>
        </w:trPr>
        <w:tc>
          <w:tcPr>
            <w:tcW w:w="1568" w:type="dxa"/>
            <w:tcBorders>
              <w:top w:val="single" w:sz="8" w:space="0" w:color="000000"/>
              <w:left w:val="nil" w:sz="6" w:space="0" w:color="auto"/>
              <w:bottom w:val="single" w:sz="4" w:space="0" w:color="000000"/>
              <w:right w:val="nil" w:sz="6" w:space="0" w:color="auto"/>
            </w:tcBorders>
          </w:tcPr>
          <w:p>
            <w:pPr>
              <w:pStyle w:val="TableParagraph"/>
              <w:spacing w:line="240" w:lineRule="auto" w:before="160"/>
              <w:ind w:left="105" w:right="0"/>
              <w:jc w:val="left"/>
              <w:rPr>
                <w:rFonts w:ascii="宋体" w:hAnsi="宋体" w:cs="宋体" w:eastAsia="宋体" w:hint="default"/>
                <w:sz w:val="21"/>
                <w:szCs w:val="21"/>
              </w:rPr>
            </w:pPr>
            <w:r>
              <w:rPr>
                <w:rFonts w:ascii="宋体" w:hAnsi="宋体" w:cs="宋体" w:eastAsia="宋体" w:hint="default"/>
                <w:sz w:val="21"/>
                <w:szCs w:val="21"/>
              </w:rPr>
              <w:t>行权期</w:t>
            </w:r>
          </w:p>
        </w:tc>
        <w:tc>
          <w:tcPr>
            <w:tcW w:w="5500" w:type="dxa"/>
            <w:tcBorders>
              <w:top w:val="single" w:sz="8" w:space="0" w:color="000000"/>
              <w:left w:val="nil" w:sz="6" w:space="0" w:color="auto"/>
              <w:bottom w:val="single" w:sz="4" w:space="0" w:color="000000"/>
              <w:right w:val="nil" w:sz="6" w:space="0" w:color="auto"/>
            </w:tcBorders>
          </w:tcPr>
          <w:p>
            <w:pPr>
              <w:pStyle w:val="TableParagraph"/>
              <w:spacing w:line="240" w:lineRule="auto" w:before="160"/>
              <w:ind w:left="200" w:right="0"/>
              <w:jc w:val="left"/>
              <w:rPr>
                <w:rFonts w:ascii="宋体" w:hAnsi="宋体" w:cs="宋体" w:eastAsia="宋体" w:hint="default"/>
                <w:sz w:val="21"/>
                <w:szCs w:val="21"/>
              </w:rPr>
            </w:pPr>
            <w:r>
              <w:rPr>
                <w:rFonts w:ascii="宋体" w:hAnsi="宋体" w:cs="宋体" w:eastAsia="宋体" w:hint="default"/>
                <w:sz w:val="21"/>
                <w:szCs w:val="21"/>
              </w:rPr>
              <w:t>行权时间</w:t>
            </w:r>
          </w:p>
        </w:tc>
        <w:tc>
          <w:tcPr>
            <w:tcW w:w="2020" w:type="dxa"/>
            <w:tcBorders>
              <w:top w:val="single" w:sz="8" w:space="0" w:color="000000"/>
              <w:left w:val="nil" w:sz="6" w:space="0" w:color="auto"/>
              <w:bottom w:val="single" w:sz="4" w:space="0" w:color="000000"/>
              <w:right w:val="nil" w:sz="6" w:space="0" w:color="auto"/>
            </w:tcBorders>
          </w:tcPr>
          <w:p>
            <w:pPr>
              <w:pStyle w:val="TableParagraph"/>
              <w:spacing w:line="272" w:lineRule="exact" w:before="51"/>
              <w:ind w:left="108" w:right="107"/>
              <w:jc w:val="left"/>
              <w:rPr>
                <w:rFonts w:ascii="宋体" w:hAnsi="宋体" w:cs="宋体" w:eastAsia="宋体" w:hint="default"/>
                <w:sz w:val="21"/>
                <w:szCs w:val="21"/>
              </w:rPr>
            </w:pPr>
            <w:r>
              <w:rPr>
                <w:rFonts w:ascii="宋体" w:hAnsi="宋体" w:cs="宋体" w:eastAsia="宋体" w:hint="default"/>
                <w:spacing w:val="12"/>
                <w:sz w:val="21"/>
                <w:szCs w:val="21"/>
              </w:rPr>
              <w:t>可行权数量占获授</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期权数量比例</w:t>
            </w:r>
          </w:p>
        </w:tc>
      </w:tr>
      <w:tr>
        <w:trPr>
          <w:trHeight w:val="606" w:hRule="exact"/>
        </w:trPr>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129"/>
              <w:ind w:left="105"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5500" w:type="dxa"/>
            <w:tcBorders>
              <w:top w:val="single" w:sz="4" w:space="0" w:color="000000"/>
              <w:left w:val="nil" w:sz="6" w:space="0" w:color="auto"/>
              <w:bottom w:val="nil" w:sz="6" w:space="0" w:color="auto"/>
              <w:right w:val="nil" w:sz="6" w:space="0" w:color="auto"/>
            </w:tcBorders>
          </w:tcPr>
          <w:p>
            <w:pPr>
              <w:pStyle w:val="TableParagraph"/>
              <w:spacing w:line="274" w:lineRule="exact" w:before="18"/>
              <w:ind w:left="200" w:right="106"/>
              <w:jc w:val="left"/>
              <w:rPr>
                <w:rFonts w:ascii="宋体" w:hAnsi="宋体" w:cs="宋体" w:eastAsia="宋体" w:hint="default"/>
                <w:sz w:val="21"/>
                <w:szCs w:val="21"/>
              </w:rPr>
            </w:pPr>
            <w:r>
              <w:rPr>
                <w:rFonts w:ascii="宋体" w:hAnsi="宋体" w:cs="宋体" w:eastAsia="宋体" w:hint="default"/>
                <w:spacing w:val="3"/>
                <w:sz w:val="21"/>
                <w:szCs w:val="21"/>
              </w:rPr>
              <w:t>自本次授权日起</w:t>
            </w:r>
            <w:r>
              <w:rPr>
                <w:rFonts w:ascii="Arial Narrow" w:hAnsi="Arial Narrow" w:cs="Arial Narrow" w:eastAsia="Arial Narrow" w:hint="default"/>
                <w:spacing w:val="3"/>
                <w:sz w:val="21"/>
                <w:szCs w:val="21"/>
              </w:rPr>
              <w:t>24</w:t>
            </w:r>
            <w:r>
              <w:rPr>
                <w:rFonts w:ascii="宋体" w:hAnsi="宋体" w:cs="宋体" w:eastAsia="宋体" w:hint="default"/>
                <w:spacing w:val="3"/>
                <w:sz w:val="21"/>
                <w:szCs w:val="21"/>
              </w:rPr>
              <w:t>个月后的首个交易日起至本次授权日</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起</w:t>
            </w:r>
            <w:r>
              <w:rPr>
                <w:rFonts w:ascii="Arial Narrow" w:hAnsi="Arial Narrow" w:cs="Arial Narrow" w:eastAsia="Arial Narrow" w:hint="default"/>
                <w:sz w:val="21"/>
                <w:szCs w:val="21"/>
              </w:rPr>
              <w:t>36</w:t>
            </w:r>
            <w:r>
              <w:rPr>
                <w:rFonts w:ascii="宋体" w:hAnsi="宋体" w:cs="宋体" w:eastAsia="宋体" w:hint="default"/>
                <w:sz w:val="21"/>
                <w:szCs w:val="21"/>
              </w:rPr>
              <w:t>个月内的最后一个交易日当日止</w:t>
            </w:r>
          </w:p>
        </w:tc>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175"/>
              <w:ind w:right="108"/>
              <w:jc w:val="right"/>
              <w:rPr>
                <w:rFonts w:ascii="Arial Narrow" w:hAnsi="Arial Narrow" w:cs="Arial Narrow" w:eastAsia="Arial Narrow" w:hint="default"/>
                <w:sz w:val="21"/>
                <w:szCs w:val="21"/>
              </w:rPr>
            </w:pPr>
            <w:r>
              <w:rPr>
                <w:rFonts w:ascii="Arial Narrow"/>
                <w:spacing w:val="-1"/>
                <w:sz w:val="21"/>
              </w:rPr>
              <w:t>30%</w:t>
            </w:r>
            <w:r>
              <w:rPr>
                <w:rFonts w:ascii="Arial Narrow"/>
                <w:sz w:val="21"/>
              </w:rPr>
            </w:r>
          </w:p>
        </w:tc>
      </w:tr>
      <w:tr>
        <w:trPr>
          <w:trHeight w:val="608" w:hRule="exact"/>
        </w:trPr>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5"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5500" w:type="dxa"/>
            <w:tcBorders>
              <w:top w:val="nil" w:sz="6" w:space="0" w:color="auto"/>
              <w:left w:val="nil" w:sz="6" w:space="0" w:color="auto"/>
              <w:bottom w:val="nil" w:sz="6" w:space="0" w:color="auto"/>
              <w:right w:val="nil" w:sz="6" w:space="0" w:color="auto"/>
            </w:tcBorders>
          </w:tcPr>
          <w:p>
            <w:pPr>
              <w:pStyle w:val="TableParagraph"/>
              <w:spacing w:line="272" w:lineRule="exact" w:before="14"/>
              <w:ind w:left="200" w:right="106"/>
              <w:jc w:val="left"/>
              <w:rPr>
                <w:rFonts w:ascii="宋体" w:hAnsi="宋体" w:cs="宋体" w:eastAsia="宋体" w:hint="default"/>
                <w:sz w:val="21"/>
                <w:szCs w:val="21"/>
              </w:rPr>
            </w:pPr>
            <w:r>
              <w:rPr>
                <w:rFonts w:ascii="宋体" w:hAnsi="宋体" w:cs="宋体" w:eastAsia="宋体" w:hint="default"/>
                <w:spacing w:val="3"/>
                <w:sz w:val="21"/>
                <w:szCs w:val="21"/>
              </w:rPr>
              <w:t>自本次授权日起</w:t>
            </w:r>
            <w:r>
              <w:rPr>
                <w:rFonts w:ascii="Arial Narrow" w:hAnsi="Arial Narrow" w:cs="Arial Narrow" w:eastAsia="Arial Narrow" w:hint="default"/>
                <w:spacing w:val="3"/>
                <w:sz w:val="21"/>
                <w:szCs w:val="21"/>
              </w:rPr>
              <w:t>36</w:t>
            </w:r>
            <w:r>
              <w:rPr>
                <w:rFonts w:ascii="宋体" w:hAnsi="宋体" w:cs="宋体" w:eastAsia="宋体" w:hint="default"/>
                <w:spacing w:val="3"/>
                <w:sz w:val="21"/>
                <w:szCs w:val="21"/>
              </w:rPr>
              <w:t>个月后的首个交易日起至本次授权日</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起</w:t>
            </w:r>
            <w:r>
              <w:rPr>
                <w:rFonts w:ascii="Arial Narrow" w:hAnsi="Arial Narrow" w:cs="Arial Narrow" w:eastAsia="Arial Narrow" w:hint="default"/>
                <w:sz w:val="21"/>
                <w:szCs w:val="21"/>
              </w:rPr>
              <w:t>48</w:t>
            </w:r>
            <w:r>
              <w:rPr>
                <w:rFonts w:ascii="宋体" w:hAnsi="宋体" w:cs="宋体" w:eastAsia="宋体" w:hint="default"/>
                <w:sz w:val="21"/>
                <w:szCs w:val="21"/>
              </w:rPr>
              <w:t>个月内的最后一个交易日当日止</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108"/>
              <w:jc w:val="right"/>
              <w:rPr>
                <w:rFonts w:ascii="Arial Narrow" w:hAnsi="Arial Narrow" w:cs="Arial Narrow" w:eastAsia="Arial Narrow" w:hint="default"/>
                <w:sz w:val="21"/>
                <w:szCs w:val="21"/>
              </w:rPr>
            </w:pPr>
            <w:r>
              <w:rPr>
                <w:rFonts w:ascii="Arial Narrow"/>
                <w:spacing w:val="-1"/>
                <w:sz w:val="21"/>
              </w:rPr>
              <w:t>30%</w:t>
            </w:r>
            <w:r>
              <w:rPr>
                <w:rFonts w:ascii="Arial Narrow"/>
                <w:sz w:val="21"/>
              </w:rPr>
            </w:r>
          </w:p>
        </w:tc>
      </w:tr>
      <w:tr>
        <w:trPr>
          <w:trHeight w:val="647" w:hRule="exact"/>
        </w:trPr>
        <w:tc>
          <w:tcPr>
            <w:tcW w:w="1568" w:type="dxa"/>
            <w:tcBorders>
              <w:top w:val="nil" w:sz="6" w:space="0" w:color="auto"/>
              <w:left w:val="nil" w:sz="6" w:space="0" w:color="auto"/>
              <w:bottom w:val="single" w:sz="8" w:space="0" w:color="000000"/>
              <w:right w:val="nil" w:sz="6" w:space="0" w:color="auto"/>
            </w:tcBorders>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5500" w:type="dxa"/>
            <w:tcBorders>
              <w:top w:val="nil" w:sz="6" w:space="0" w:color="auto"/>
              <w:left w:val="nil" w:sz="6" w:space="0" w:color="auto"/>
              <w:bottom w:val="single" w:sz="8" w:space="0" w:color="000000"/>
              <w:right w:val="nil" w:sz="6" w:space="0" w:color="auto"/>
            </w:tcBorders>
          </w:tcPr>
          <w:p>
            <w:pPr>
              <w:pStyle w:val="TableParagraph"/>
              <w:spacing w:line="274" w:lineRule="exact" w:before="27"/>
              <w:ind w:left="200" w:right="106"/>
              <w:jc w:val="left"/>
              <w:rPr>
                <w:rFonts w:ascii="宋体" w:hAnsi="宋体" w:cs="宋体" w:eastAsia="宋体" w:hint="default"/>
                <w:sz w:val="21"/>
                <w:szCs w:val="21"/>
              </w:rPr>
            </w:pPr>
            <w:r>
              <w:rPr>
                <w:rFonts w:ascii="宋体" w:hAnsi="宋体" w:cs="宋体" w:eastAsia="宋体" w:hint="default"/>
                <w:spacing w:val="3"/>
                <w:sz w:val="21"/>
                <w:szCs w:val="21"/>
              </w:rPr>
              <w:t>自本次授权日起</w:t>
            </w:r>
            <w:r>
              <w:rPr>
                <w:rFonts w:ascii="Arial Narrow" w:hAnsi="Arial Narrow" w:cs="Arial Narrow" w:eastAsia="Arial Narrow" w:hint="default"/>
                <w:spacing w:val="3"/>
                <w:sz w:val="21"/>
                <w:szCs w:val="21"/>
              </w:rPr>
              <w:t>48</w:t>
            </w:r>
            <w:r>
              <w:rPr>
                <w:rFonts w:ascii="宋体" w:hAnsi="宋体" w:cs="宋体" w:eastAsia="宋体" w:hint="default"/>
                <w:spacing w:val="3"/>
                <w:sz w:val="21"/>
                <w:szCs w:val="21"/>
              </w:rPr>
              <w:t>个月后的首个交易日起至本次授权日</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起</w:t>
            </w:r>
            <w:r>
              <w:rPr>
                <w:rFonts w:ascii="Arial Narrow" w:hAnsi="Arial Narrow" w:cs="Arial Narrow" w:eastAsia="Arial Narrow" w:hint="default"/>
                <w:sz w:val="21"/>
                <w:szCs w:val="21"/>
              </w:rPr>
              <w:t>60</w:t>
            </w:r>
            <w:r>
              <w:rPr>
                <w:rFonts w:ascii="宋体" w:hAnsi="宋体" w:cs="宋体" w:eastAsia="宋体" w:hint="default"/>
                <w:sz w:val="21"/>
                <w:szCs w:val="21"/>
              </w:rPr>
              <w:t>个月内的最后一个交易日当日止</w:t>
            </w:r>
          </w:p>
        </w:tc>
        <w:tc>
          <w:tcPr>
            <w:tcW w:w="202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08"/>
              <w:jc w:val="right"/>
              <w:rPr>
                <w:rFonts w:ascii="Arial Narrow" w:hAnsi="Arial Narrow" w:cs="Arial Narrow" w:eastAsia="Arial Narrow" w:hint="default"/>
                <w:sz w:val="21"/>
                <w:szCs w:val="21"/>
              </w:rPr>
            </w:pPr>
            <w:r>
              <w:rPr>
                <w:rFonts w:ascii="Arial Narrow"/>
                <w:spacing w:val="-1"/>
                <w:sz w:val="21"/>
              </w:rPr>
              <w:t>40%</w:t>
            </w:r>
            <w:r>
              <w:rPr>
                <w:rFonts w:ascii="Arial Narrow"/>
                <w:sz w:val="21"/>
              </w:rPr>
            </w:r>
          </w:p>
        </w:tc>
      </w:tr>
    </w:tbl>
    <w:p>
      <w:pPr>
        <w:pStyle w:val="BodyText"/>
        <w:spacing w:line="230" w:lineRule="auto" w:before="91"/>
        <w:ind w:left="522" w:right="168"/>
        <w:jc w:val="both"/>
      </w:pPr>
      <w:r>
        <w:rPr>
          <w:rFonts w:ascii="Arial Narrow" w:hAnsi="Arial Narrow" w:cs="Arial Narrow" w:eastAsia="Arial Narrow" w:hint="default"/>
          <w:spacing w:val="-4"/>
        </w:rPr>
        <w:t>2011 </w:t>
      </w:r>
      <w:r>
        <w:rPr/>
        <w:t>年 </w:t>
      </w:r>
      <w:r>
        <w:rPr>
          <w:rFonts w:ascii="Arial Narrow" w:hAnsi="Arial Narrow" w:cs="Arial Narrow" w:eastAsia="Arial Narrow" w:hint="default"/>
        </w:rPr>
        <w:t>5 </w:t>
      </w:r>
      <w:r>
        <w:rPr/>
        <w:t>月 </w:t>
      </w:r>
      <w:r>
        <w:rPr>
          <w:rFonts w:ascii="Arial Narrow" w:hAnsi="Arial Narrow" w:cs="Arial Narrow" w:eastAsia="Arial Narrow" w:hint="default"/>
        </w:rPr>
        <w:t>19</w:t>
      </w:r>
      <w:r>
        <w:rPr>
          <w:rFonts w:ascii="Arial Narrow" w:hAnsi="Arial Narrow" w:cs="Arial Narrow" w:eastAsia="Arial Narrow" w:hint="default"/>
          <w:spacing w:val="-11"/>
        </w:rPr>
        <w:t> </w:t>
      </w:r>
      <w:r>
        <w:rPr/>
        <w:t>日，公司第一届董事会第二十次会议、第一届监事会第十二次会议审议 </w:t>
      </w:r>
      <w:r>
        <w:rPr>
          <w:spacing w:val="-8"/>
        </w:rPr>
        <w:t>通过了《北京超图软件股份有限公司股票期权激励计划（草案修订稿）》（以下简称《股</w:t>
      </w:r>
      <w:r>
        <w:rPr>
          <w:spacing w:val="-108"/>
        </w:rPr>
        <w:t> </w:t>
      </w:r>
      <w:r>
        <w:rPr>
          <w:spacing w:val="-108"/>
        </w:rPr>
      </w:r>
      <w:r>
        <w:rPr>
          <w:spacing w:val="-10"/>
        </w:rPr>
        <w:t>票期权激励计划》），将股票期权激励对象人员数量由</w:t>
      </w:r>
      <w:r>
        <w:rPr>
          <w:spacing w:val="-55"/>
        </w:rPr>
        <w:t> </w:t>
      </w:r>
      <w:r>
        <w:rPr>
          <w:rFonts w:ascii="Arial Narrow" w:hAnsi="Arial Narrow" w:cs="Arial Narrow" w:eastAsia="Arial Narrow" w:hint="default"/>
        </w:rPr>
        <w:t>125</w:t>
      </w:r>
      <w:r>
        <w:rPr>
          <w:rFonts w:ascii="Arial Narrow" w:hAnsi="Arial Narrow" w:cs="Arial Narrow" w:eastAsia="Arial Narrow" w:hint="default"/>
          <w:spacing w:val="11"/>
        </w:rPr>
        <w:t> </w:t>
      </w:r>
      <w:r>
        <w:rPr/>
        <w:t>名调整到</w:t>
      </w:r>
      <w:r>
        <w:rPr>
          <w:spacing w:val="-55"/>
        </w:rPr>
        <w:t> </w:t>
      </w:r>
      <w:r>
        <w:rPr>
          <w:rFonts w:ascii="Arial Narrow" w:hAnsi="Arial Narrow" w:cs="Arial Narrow" w:eastAsia="Arial Narrow" w:hint="default"/>
          <w:spacing w:val="-6"/>
        </w:rPr>
        <w:t>116</w:t>
      </w:r>
      <w:r>
        <w:rPr>
          <w:rFonts w:ascii="Arial Narrow" w:hAnsi="Arial Narrow" w:cs="Arial Narrow" w:eastAsia="Arial Narrow" w:hint="default"/>
          <w:spacing w:val="11"/>
        </w:rPr>
        <w:t> </w:t>
      </w:r>
      <w:r>
        <w:rPr/>
        <w:t>名，行权条件修</w:t>
      </w:r>
    </w:p>
    <w:p>
      <w:pPr>
        <w:pStyle w:val="BodyText"/>
        <w:spacing w:line="225" w:lineRule="auto"/>
        <w:ind w:left="522" w:right="167"/>
        <w:jc w:val="both"/>
      </w:pPr>
      <w:r>
        <w:rPr>
          <w:spacing w:val="-16"/>
        </w:rPr>
        <w:t>改为：</w:t>
      </w:r>
      <w:r>
        <w:rPr>
          <w:rFonts w:ascii="Arial Narrow" w:hAnsi="Arial Narrow" w:cs="Arial Narrow" w:eastAsia="Arial Narrow" w:hint="default"/>
          <w:spacing w:val="-16"/>
        </w:rPr>
        <w:t>2012</w:t>
      </w:r>
      <w:r>
        <w:rPr>
          <w:rFonts w:ascii="Arial Narrow" w:hAnsi="Arial Narrow" w:cs="Arial Narrow" w:eastAsia="Arial Narrow" w:hint="default"/>
        </w:rPr>
        <w:t> </w:t>
      </w:r>
      <w:r>
        <w:rPr>
          <w:rFonts w:ascii="Arial Narrow" w:hAnsi="Arial Narrow" w:cs="Arial Narrow" w:eastAsia="Arial Narrow" w:hint="default"/>
          <w:spacing w:val="-1"/>
        </w:rPr>
        <w:t>-2014</w:t>
      </w:r>
      <w:r>
        <w:rPr>
          <w:rFonts w:ascii="Arial Narrow" w:hAnsi="Arial Narrow" w:cs="Arial Narrow" w:eastAsia="Arial Narrow" w:hint="default"/>
        </w:rPr>
        <w:t> </w:t>
      </w:r>
      <w:r>
        <w:rPr>
          <w:spacing w:val="-1"/>
        </w:rPr>
        <w:t>年度经审计的净利润相比</w:t>
      </w:r>
      <w:r>
        <w:rPr/>
        <w:t> </w:t>
      </w:r>
      <w:r>
        <w:rPr>
          <w:rFonts w:ascii="Arial Narrow" w:hAnsi="Arial Narrow" w:cs="Arial Narrow" w:eastAsia="Arial Narrow" w:hint="default"/>
        </w:rPr>
        <w:t>2010</w:t>
      </w:r>
      <w:r>
        <w:rPr>
          <w:rFonts w:ascii="Arial Narrow" w:hAnsi="Arial Narrow" w:cs="Arial Narrow" w:eastAsia="Arial Narrow" w:hint="default"/>
          <w:spacing w:val="27"/>
        </w:rPr>
        <w:t> </w:t>
      </w:r>
      <w:r>
        <w:rPr/>
        <w:t>年度经审计的净利润的增长率均分别不 低于 </w:t>
      </w:r>
      <w:r>
        <w:rPr>
          <w:rFonts w:ascii="Arial Narrow" w:hAnsi="Arial Narrow" w:cs="Arial Narrow" w:eastAsia="Arial Narrow" w:hint="default"/>
        </w:rPr>
        <w:t>44%</w:t>
      </w:r>
      <w:r>
        <w:rPr/>
        <w:t>、</w:t>
      </w:r>
      <w:r>
        <w:rPr>
          <w:rFonts w:ascii="Arial Narrow" w:hAnsi="Arial Narrow" w:cs="Arial Narrow" w:eastAsia="Arial Narrow" w:hint="default"/>
        </w:rPr>
        <w:t>72%</w:t>
      </w:r>
      <w:r>
        <w:rPr/>
        <w:t>、</w:t>
      </w:r>
      <w:r>
        <w:rPr>
          <w:rFonts w:ascii="Arial Narrow" w:hAnsi="Arial Narrow" w:cs="Arial Narrow" w:eastAsia="Arial Narrow" w:hint="default"/>
        </w:rPr>
        <w:t>108%</w:t>
      </w:r>
      <w:r>
        <w:rPr/>
        <w:t>，</w:t>
      </w:r>
      <w:r>
        <w:rPr>
          <w:rFonts w:ascii="Arial Narrow" w:hAnsi="Arial Narrow" w:cs="Arial Narrow" w:eastAsia="Arial Narrow" w:hint="default"/>
        </w:rPr>
        <w:t>2012 -2014 </w:t>
      </w:r>
      <w:r>
        <w:rPr/>
        <w:t>年度加权平均净资产收益率分别不低于</w:t>
      </w:r>
      <w:r>
        <w:rPr>
          <w:spacing w:val="-81"/>
        </w:rPr>
        <w:t> </w:t>
      </w:r>
      <w:r>
        <w:rPr>
          <w:rFonts w:ascii="Arial Narrow" w:hAnsi="Arial Narrow" w:cs="Arial Narrow" w:eastAsia="Arial Narrow" w:hint="default"/>
        </w:rPr>
        <w:t>8%</w:t>
      </w:r>
      <w:r>
        <w:rPr/>
        <w:t>、</w:t>
      </w:r>
      <w:r>
        <w:rPr>
          <w:rFonts w:ascii="Arial Narrow" w:hAnsi="Arial Narrow" w:cs="Arial Narrow" w:eastAsia="Arial Narrow" w:hint="default"/>
        </w:rPr>
        <w:t>8.5%</w:t>
      </w:r>
      <w:r>
        <w:rPr/>
        <w:t>、 </w:t>
      </w:r>
      <w:r>
        <w:rPr>
          <w:rFonts w:ascii="Arial Narrow" w:hAnsi="Arial Narrow" w:cs="Arial Narrow" w:eastAsia="Arial Narrow" w:hint="default"/>
        </w:rPr>
        <w:t>9% </w:t>
      </w:r>
      <w:r>
        <w:rPr>
          <w:rFonts w:ascii="Arial Narrow" w:hAnsi="Arial Narrow" w:cs="Arial Narrow" w:eastAsia="Arial Narrow" w:hint="default"/>
          <w:spacing w:val="8"/>
        </w:rPr>
        <w:t> </w:t>
      </w:r>
      <w:r>
        <w:rPr/>
        <w:t>。</w:t>
      </w:r>
    </w:p>
    <w:p>
      <w:pPr>
        <w:spacing w:line="240" w:lineRule="auto" w:before="8"/>
        <w:rPr>
          <w:rFonts w:ascii="宋体" w:hAnsi="宋体" w:cs="宋体" w:eastAsia="宋体" w:hint="default"/>
          <w:sz w:val="16"/>
          <w:szCs w:val="16"/>
        </w:rPr>
      </w:pPr>
    </w:p>
    <w:p>
      <w:pPr>
        <w:pStyle w:val="BodyText"/>
        <w:spacing w:line="225" w:lineRule="auto"/>
        <w:ind w:left="522" w:right="167"/>
        <w:jc w:val="both"/>
        <w:rPr>
          <w:rFonts w:ascii="Arial Narrow" w:hAnsi="Arial Narrow" w:cs="Arial Narrow" w:eastAsia="Arial Narrow" w:hint="default"/>
        </w:rPr>
      </w:pPr>
      <w:r>
        <w:rPr>
          <w:rFonts w:ascii="Arial Narrow" w:hAnsi="Arial Narrow" w:cs="Arial Narrow" w:eastAsia="Arial Narrow" w:hint="default"/>
          <w:spacing w:val="-4"/>
        </w:rPr>
        <w:t>2011</w:t>
      </w:r>
      <w:r>
        <w:rPr>
          <w:rFonts w:ascii="Arial Narrow" w:hAnsi="Arial Narrow" w:cs="Arial Narrow" w:eastAsia="Arial Narrow" w:hint="default"/>
          <w:spacing w:val="8"/>
        </w:rPr>
        <w:t> </w:t>
      </w:r>
      <w:r>
        <w:rPr/>
        <w:t>年</w:t>
      </w:r>
      <w:r>
        <w:rPr>
          <w:spacing w:val="-58"/>
        </w:rPr>
        <w:t> </w:t>
      </w:r>
      <w:r>
        <w:rPr>
          <w:rFonts w:ascii="Arial Narrow" w:hAnsi="Arial Narrow" w:cs="Arial Narrow" w:eastAsia="Arial Narrow" w:hint="default"/>
        </w:rPr>
        <w:t>6</w:t>
      </w:r>
      <w:r>
        <w:rPr>
          <w:rFonts w:ascii="Arial Narrow" w:hAnsi="Arial Narrow" w:cs="Arial Narrow" w:eastAsia="Arial Narrow" w:hint="default"/>
          <w:spacing w:val="8"/>
        </w:rPr>
        <w:t> </w:t>
      </w:r>
      <w:r>
        <w:rPr/>
        <w:t>月</w:t>
      </w:r>
      <w:r>
        <w:rPr>
          <w:spacing w:val="-58"/>
        </w:rPr>
        <w:t> </w:t>
      </w:r>
      <w:r>
        <w:rPr>
          <w:rFonts w:ascii="Arial Narrow" w:hAnsi="Arial Narrow" w:cs="Arial Narrow" w:eastAsia="Arial Narrow" w:hint="default"/>
        </w:rPr>
        <w:t>10</w:t>
      </w:r>
      <w:r>
        <w:rPr>
          <w:rFonts w:ascii="Arial Narrow" w:hAnsi="Arial Narrow" w:cs="Arial Narrow" w:eastAsia="Arial Narrow" w:hint="default"/>
          <w:spacing w:val="8"/>
        </w:rPr>
        <w:t> </w:t>
      </w:r>
      <w:r>
        <w:rPr>
          <w:spacing w:val="-5"/>
        </w:rPr>
        <w:t>日，公司第二届董事会第一次、第二届监事会第一次会议审议通过了《关</w:t>
      </w:r>
      <w:r>
        <w:rPr/>
        <w:t> </w:t>
      </w:r>
      <w:r>
        <w:rPr>
          <w:spacing w:val="-2"/>
        </w:rPr>
        <w:t>于对</w:t>
      </w:r>
      <w:r>
        <w:rPr>
          <w:rFonts w:ascii="Arial Narrow" w:hAnsi="Arial Narrow" w:cs="Arial Narrow" w:eastAsia="Arial Narrow" w:hint="default"/>
          <w:spacing w:val="-2"/>
        </w:rPr>
        <w:t>&lt;</w:t>
      </w:r>
      <w:r>
        <w:rPr>
          <w:spacing w:val="-2"/>
        </w:rPr>
        <w:t>股票期权激励计划</w:t>
      </w:r>
      <w:r>
        <w:rPr>
          <w:rFonts w:ascii="Arial Narrow" w:hAnsi="Arial Narrow" w:cs="Arial Narrow" w:eastAsia="Arial Narrow" w:hint="default"/>
          <w:spacing w:val="-2"/>
        </w:rPr>
        <w:t>&gt;</w:t>
      </w:r>
      <w:r>
        <w:rPr>
          <w:spacing w:val="-2"/>
        </w:rPr>
        <w:t>激励对象及涉及股票期权数量和行权价格进行调整的议案》，</w:t>
      </w:r>
      <w:r>
        <w:rPr>
          <w:spacing w:val="-97"/>
        </w:rPr>
        <w:t> </w:t>
      </w:r>
      <w:r>
        <w:rPr>
          <w:spacing w:val="-97"/>
        </w:rPr>
      </w:r>
      <w:r>
        <w:rPr/>
        <w:t>将激励对象由</w:t>
      </w:r>
      <w:r>
        <w:rPr>
          <w:spacing w:val="-62"/>
        </w:rPr>
        <w:t> </w:t>
      </w:r>
      <w:r>
        <w:rPr>
          <w:rFonts w:ascii="Arial Narrow" w:hAnsi="Arial Narrow" w:cs="Arial Narrow" w:eastAsia="Arial Narrow" w:hint="default"/>
          <w:spacing w:val="-5"/>
        </w:rPr>
        <w:t>116</w:t>
      </w:r>
      <w:r>
        <w:rPr>
          <w:rFonts w:ascii="Arial Narrow" w:hAnsi="Arial Narrow" w:cs="Arial Narrow" w:eastAsia="Arial Narrow" w:hint="default"/>
          <w:spacing w:val="6"/>
        </w:rPr>
        <w:t> </w:t>
      </w:r>
      <w:r>
        <w:rPr/>
        <w:t>名调整为</w:t>
      </w:r>
      <w:r>
        <w:rPr>
          <w:spacing w:val="-61"/>
        </w:rPr>
        <w:t> </w:t>
      </w:r>
      <w:r>
        <w:rPr>
          <w:rFonts w:ascii="Arial Narrow" w:hAnsi="Arial Narrow" w:cs="Arial Narrow" w:eastAsia="Arial Narrow" w:hint="default"/>
          <w:spacing w:val="-5"/>
        </w:rPr>
        <w:t>114</w:t>
      </w:r>
      <w:r>
        <w:rPr>
          <w:rFonts w:ascii="Arial Narrow" w:hAnsi="Arial Narrow" w:cs="Arial Narrow" w:eastAsia="Arial Narrow" w:hint="default"/>
          <w:spacing w:val="5"/>
        </w:rPr>
        <w:t> </w:t>
      </w:r>
      <w:r>
        <w:rPr>
          <w:spacing w:val="-4"/>
        </w:rPr>
        <w:t>名，同时根据公司</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spacing w:val="-3"/>
        </w:rPr>
        <w:t>年度股东大会通过的《关于</w:t>
      </w:r>
      <w:r>
        <w:rPr>
          <w:spacing w:val="-61"/>
        </w:rPr>
        <w:t> </w:t>
      </w:r>
      <w:r>
        <w:rPr>
          <w:rFonts w:ascii="Arial Narrow" w:hAnsi="Arial Narrow" w:cs="Arial Narrow" w:eastAsia="Arial Narrow" w:hint="default"/>
        </w:rPr>
        <w:t>2010</w:t>
      </w:r>
    </w:p>
    <w:p>
      <w:pPr>
        <w:pStyle w:val="BodyText"/>
        <w:spacing w:line="312" w:lineRule="exact" w:before="15"/>
        <w:ind w:left="522" w:right="115"/>
        <w:jc w:val="both"/>
      </w:pPr>
      <w:r>
        <w:rPr/>
        <w:t>年度利润分配及资本公积金转增股本的预案》以及《股票期权激励计划》的相关规定， 对股票期权数量及行权价格进行了调整。调整后，股票期权总数增至</w:t>
      </w:r>
      <w:r>
        <w:rPr>
          <w:spacing w:val="-80"/>
        </w:rPr>
        <w:t> </w:t>
      </w:r>
      <w:r>
        <w:rPr>
          <w:rFonts w:ascii="Arial Narrow" w:hAnsi="Arial Narrow" w:cs="Arial Narrow" w:eastAsia="Arial Narrow" w:hint="default"/>
        </w:rPr>
        <w:t>314.88</w:t>
      </w:r>
      <w:r>
        <w:rPr>
          <w:rFonts w:ascii="Arial Narrow" w:hAnsi="Arial Narrow" w:cs="Arial Narrow" w:eastAsia="Arial Narrow" w:hint="default"/>
          <w:spacing w:val="-15"/>
        </w:rPr>
        <w:t> </w:t>
      </w:r>
      <w:r>
        <w:rPr>
          <w:spacing w:val="-4"/>
        </w:rPr>
        <w:t>万份，行权</w:t>
      </w:r>
    </w:p>
    <w:p>
      <w:pPr>
        <w:spacing w:after="0" w:line="312" w:lineRule="exact"/>
        <w:jc w:val="both"/>
        <w:sectPr>
          <w:pgSz w:w="11900" w:h="16850"/>
          <w:pgMar w:header="0" w:footer="919" w:top="1640" w:bottom="1100" w:left="1180" w:right="96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7.95pt;height:.75pt;mso-position-horizontal-relative:char;mso-position-vertical-relative:line" coordorigin="0,0" coordsize="9559,15">
            <v:group style="position:absolute;left:7;top:7;width:9545;height:2" coordorigin="7,7" coordsize="9545,2">
              <v:shape style="position:absolute;left:7;top:7;width:9545;height:2" coordorigin="7,7" coordsize="9545,0" path="m7,7l9552,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43"/>
        <w:ind w:left="562" w:right="0"/>
        <w:jc w:val="both"/>
      </w:pPr>
      <w:r>
        <w:rPr/>
        <w:t>价每份</w:t>
      </w:r>
      <w:r>
        <w:rPr>
          <w:spacing w:val="-62"/>
        </w:rPr>
        <w:t> </w:t>
      </w:r>
      <w:r>
        <w:rPr>
          <w:rFonts w:ascii="Arial Narrow" w:hAnsi="Arial Narrow" w:cs="Arial Narrow" w:eastAsia="Arial Narrow" w:hint="default"/>
        </w:rPr>
        <w:t>17.66</w:t>
      </w:r>
      <w:r>
        <w:rPr>
          <w:rFonts w:ascii="Arial Narrow" w:hAnsi="Arial Narrow" w:cs="Arial Narrow" w:eastAsia="Arial Narrow" w:hint="default"/>
          <w:spacing w:val="5"/>
        </w:rPr>
        <w:t> </w:t>
      </w:r>
      <w:r>
        <w:rPr/>
        <w:t>元。授予日为</w:t>
      </w:r>
      <w:r>
        <w:rPr>
          <w:spacing w:val="-61"/>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6</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10</w:t>
      </w:r>
      <w:r>
        <w:rPr>
          <w:rFonts w:ascii="Arial Narrow" w:hAnsi="Arial Narrow" w:cs="Arial Narrow" w:eastAsia="Arial Narrow" w:hint="default"/>
          <w:spacing w:val="5"/>
        </w:rPr>
        <w:t> </w:t>
      </w:r>
      <w:r>
        <w:rPr>
          <w:spacing w:val="-3"/>
        </w:rPr>
        <w:t>日。</w:t>
      </w:r>
      <w:r>
        <w:rPr/>
      </w:r>
    </w:p>
    <w:p>
      <w:pPr>
        <w:pStyle w:val="BodyText"/>
        <w:spacing w:line="230" w:lineRule="auto" w:before="208"/>
        <w:ind w:left="562" w:right="229"/>
        <w:jc w:val="both"/>
      </w:pPr>
      <w:r>
        <w:rPr>
          <w:rFonts w:ascii="Arial Narrow" w:hAnsi="Arial Narrow" w:cs="Arial Narrow" w:eastAsia="Arial Narrow" w:hint="default"/>
        </w:rPr>
        <w:t>2012</w:t>
      </w:r>
      <w:r>
        <w:rPr>
          <w:rFonts w:ascii="Arial Narrow" w:hAnsi="Arial Narrow" w:cs="Arial Narrow" w:eastAsia="Arial Narrow" w:hint="default"/>
          <w:spacing w:val="-6"/>
        </w:rPr>
        <w:t> </w:t>
      </w:r>
      <w:r>
        <w:rPr/>
        <w:t>年</w:t>
      </w:r>
      <w:r>
        <w:rPr>
          <w:spacing w:val="-72"/>
        </w:rPr>
        <w:t> </w:t>
      </w:r>
      <w:r>
        <w:rPr>
          <w:rFonts w:ascii="Arial Narrow" w:hAnsi="Arial Narrow" w:cs="Arial Narrow" w:eastAsia="Arial Narrow" w:hint="default"/>
        </w:rPr>
        <w:t>3</w:t>
      </w:r>
      <w:r>
        <w:rPr>
          <w:rFonts w:ascii="Arial Narrow" w:hAnsi="Arial Narrow" w:cs="Arial Narrow" w:eastAsia="Arial Narrow" w:hint="default"/>
          <w:spacing w:val="-6"/>
        </w:rPr>
        <w:t> </w:t>
      </w:r>
      <w:r>
        <w:rPr/>
        <w:t>月</w:t>
      </w:r>
      <w:r>
        <w:rPr>
          <w:spacing w:val="-72"/>
        </w:rPr>
        <w:t> </w:t>
      </w:r>
      <w:r>
        <w:rPr>
          <w:rFonts w:ascii="Arial Narrow" w:hAnsi="Arial Narrow" w:cs="Arial Narrow" w:eastAsia="Arial Narrow" w:hint="default"/>
        </w:rPr>
        <w:t>9</w:t>
      </w:r>
      <w:r>
        <w:rPr>
          <w:rFonts w:ascii="Arial Narrow" w:hAnsi="Arial Narrow" w:cs="Arial Narrow" w:eastAsia="Arial Narrow" w:hint="default"/>
          <w:spacing w:val="-6"/>
        </w:rPr>
        <w:t> </w:t>
      </w:r>
      <w:r>
        <w:rPr/>
        <w:t>日，公司第二届董事会第六次会议审议通过了调整后的《北京超图软件股 </w:t>
      </w:r>
      <w:r>
        <w:rPr>
          <w:spacing w:val="-14"/>
        </w:rPr>
        <w:t>份有限公司股票期权激励计划（草案修订稿）》（以下简称：《股票期权激励计划》）。激</w:t>
      </w:r>
      <w:r>
        <w:rPr>
          <w:spacing w:val="-101"/>
        </w:rPr>
        <w:t> </w:t>
      </w:r>
      <w:r>
        <w:rPr>
          <w:spacing w:val="-101"/>
        </w:rPr>
      </w:r>
      <w:r>
        <w:rPr/>
        <w:t>励对象李少杰等 </w:t>
      </w:r>
      <w:r>
        <w:rPr>
          <w:rFonts w:ascii="Arial Narrow" w:hAnsi="Arial Narrow" w:cs="Arial Narrow" w:eastAsia="Arial Narrow" w:hint="default"/>
        </w:rPr>
        <w:t>10</w:t>
      </w:r>
      <w:r>
        <w:rPr>
          <w:rFonts w:ascii="Arial Narrow" w:hAnsi="Arial Narrow" w:cs="Arial Narrow" w:eastAsia="Arial Narrow" w:hint="default"/>
          <w:spacing w:val="29"/>
        </w:rPr>
        <w:t> </w:t>
      </w:r>
      <w:r>
        <w:rPr/>
        <w:t>人因个人原因在期权授予之后行权之前离职，所涉及股票期权数量</w:t>
      </w:r>
    </w:p>
    <w:p>
      <w:pPr>
        <w:pStyle w:val="BodyText"/>
        <w:spacing w:line="303" w:lineRule="exact"/>
        <w:ind w:left="562" w:right="0"/>
        <w:jc w:val="both"/>
      </w:pPr>
      <w:r>
        <w:rPr/>
        <w:t>共计</w:t>
      </w:r>
      <w:r>
        <w:rPr>
          <w:spacing w:val="-39"/>
        </w:rPr>
        <w:t> </w:t>
      </w:r>
      <w:r>
        <w:rPr>
          <w:rFonts w:ascii="Arial Narrow" w:hAnsi="Arial Narrow" w:cs="Arial Narrow" w:eastAsia="Arial Narrow" w:hint="default"/>
        </w:rPr>
        <w:t>15</w:t>
      </w:r>
      <w:r>
        <w:rPr>
          <w:rFonts w:ascii="Arial Narrow" w:hAnsi="Arial Narrow" w:cs="Arial Narrow" w:eastAsia="Arial Narrow" w:hint="default"/>
          <w:spacing w:val="-2"/>
        </w:rPr>
        <w:t>.</w:t>
      </w:r>
      <w:r>
        <w:rPr>
          <w:rFonts w:ascii="Arial Narrow" w:hAnsi="Arial Narrow" w:cs="Arial Narrow" w:eastAsia="Arial Narrow" w:hint="default"/>
        </w:rPr>
        <w:t>2 </w:t>
      </w:r>
      <w:r>
        <w:rPr>
          <w:rFonts w:ascii="Arial Narrow" w:hAnsi="Arial Narrow" w:cs="Arial Narrow" w:eastAsia="Arial Narrow" w:hint="default"/>
          <w:spacing w:val="-27"/>
        </w:rPr>
        <w:t> </w:t>
      </w:r>
      <w:r>
        <w:rPr/>
        <w:t>万股，根</w:t>
      </w:r>
      <w:r>
        <w:rPr>
          <w:spacing w:val="-3"/>
        </w:rPr>
        <w:t>据</w:t>
      </w:r>
      <w:r>
        <w:rPr/>
        <w:t>《股票期权激励计划</w:t>
      </w:r>
      <w:r>
        <w:rPr>
          <w:spacing w:val="-120"/>
        </w:rPr>
        <w:t>》</w:t>
      </w:r>
      <w:r>
        <w:rPr/>
        <w:t>，其已不具备激励对象资格，注销其已登记</w:t>
      </w:r>
    </w:p>
    <w:p>
      <w:pPr>
        <w:pStyle w:val="BodyText"/>
        <w:spacing w:line="311" w:lineRule="exact"/>
        <w:ind w:left="562" w:right="0"/>
        <w:jc w:val="both"/>
      </w:pPr>
      <w:r>
        <w:rPr/>
        <w:t>的股票期权。调整后的《股票期权激励计划》所涉首次期权的激励对象为</w:t>
      </w:r>
      <w:r>
        <w:rPr>
          <w:spacing w:val="-72"/>
        </w:rPr>
        <w:t> </w:t>
      </w:r>
      <w:r>
        <w:rPr>
          <w:rFonts w:ascii="Arial Narrow" w:hAnsi="Arial Narrow" w:cs="Arial Narrow" w:eastAsia="Arial Narrow" w:hint="default"/>
        </w:rPr>
        <w:t>107</w:t>
      </w:r>
      <w:r>
        <w:rPr>
          <w:rFonts w:ascii="Arial Narrow" w:hAnsi="Arial Narrow" w:cs="Arial Narrow" w:eastAsia="Arial Narrow" w:hint="default"/>
          <w:spacing w:val="-7"/>
        </w:rPr>
        <w:t> </w:t>
      </w:r>
      <w:r>
        <w:rPr/>
        <w:t>人，股票</w:t>
      </w:r>
    </w:p>
    <w:p>
      <w:pPr>
        <w:pStyle w:val="BodyText"/>
        <w:spacing w:line="321" w:lineRule="exact"/>
        <w:ind w:left="562" w:right="0"/>
        <w:jc w:val="both"/>
      </w:pPr>
      <w:r>
        <w:rPr/>
        <w:t>期权数量为</w:t>
      </w:r>
      <w:r>
        <w:rPr>
          <w:spacing w:val="-64"/>
        </w:rPr>
        <w:t> </w:t>
      </w:r>
      <w:r>
        <w:rPr>
          <w:rFonts w:ascii="Arial Narrow" w:hAnsi="Arial Narrow" w:cs="Arial Narrow" w:eastAsia="Arial Narrow" w:hint="default"/>
        </w:rPr>
        <w:t>299.68</w:t>
      </w:r>
      <w:r>
        <w:rPr>
          <w:rFonts w:ascii="Arial Narrow" w:hAnsi="Arial Narrow" w:cs="Arial Narrow" w:eastAsia="Arial Narrow" w:hint="default"/>
          <w:spacing w:val="4"/>
        </w:rPr>
        <w:t> </w:t>
      </w:r>
      <w:r>
        <w:rPr/>
        <w:t>万股。</w:t>
      </w:r>
    </w:p>
    <w:p>
      <w:pPr>
        <w:pStyle w:val="BodyText"/>
        <w:spacing w:line="240" w:lineRule="auto" w:before="197"/>
        <w:ind w:left="142" w:right="0"/>
        <w:jc w:val="left"/>
      </w:pPr>
      <w:r>
        <w:rPr>
          <w:rFonts w:ascii="Arial Narrow" w:hAnsi="Arial Narrow" w:cs="Arial Narrow" w:eastAsia="Arial Narrow" w:hint="default"/>
        </w:rPr>
        <w:t>2</w:t>
      </w:r>
      <w:r>
        <w:rPr/>
        <w:t>、以权益结算的股份支付情况</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4326"/>
        <w:gridCol w:w="4810"/>
      </w:tblGrid>
      <w:tr>
        <w:trPr>
          <w:trHeight w:val="382" w:hRule="exact"/>
        </w:trPr>
        <w:tc>
          <w:tcPr>
            <w:tcW w:w="4326" w:type="dxa"/>
            <w:tcBorders>
              <w:top w:val="single" w:sz="8" w:space="0" w:color="000000"/>
              <w:left w:val="nil" w:sz="6" w:space="0" w:color="auto"/>
              <w:bottom w:val="nil" w:sz="6" w:space="0" w:color="auto"/>
              <w:right w:val="nil" w:sz="6" w:space="0" w:color="auto"/>
            </w:tcBorders>
          </w:tcPr>
          <w:p>
            <w:pPr>
              <w:pStyle w:val="TableParagraph"/>
              <w:spacing w:line="307" w:lineRule="exact"/>
              <w:ind w:left="108" w:right="0"/>
              <w:jc w:val="left"/>
              <w:rPr>
                <w:rFonts w:ascii="宋体" w:hAnsi="宋体" w:cs="宋体" w:eastAsia="宋体" w:hint="default"/>
                <w:sz w:val="24"/>
                <w:szCs w:val="24"/>
              </w:rPr>
            </w:pPr>
            <w:r>
              <w:rPr>
                <w:rFonts w:ascii="宋体" w:hAnsi="宋体" w:cs="宋体" w:eastAsia="宋体" w:hint="default"/>
                <w:sz w:val="24"/>
                <w:szCs w:val="24"/>
              </w:rPr>
              <w:t>授予日权益工具公允价值的确定方法</w:t>
            </w:r>
          </w:p>
        </w:tc>
        <w:tc>
          <w:tcPr>
            <w:tcW w:w="4810" w:type="dxa"/>
            <w:tcBorders>
              <w:top w:val="single" w:sz="8" w:space="0" w:color="000000"/>
              <w:left w:val="nil" w:sz="6" w:space="0" w:color="auto"/>
              <w:bottom w:val="nil" w:sz="6" w:space="0" w:color="auto"/>
              <w:right w:val="nil" w:sz="6" w:space="0" w:color="auto"/>
            </w:tcBorders>
          </w:tcPr>
          <w:p>
            <w:pPr>
              <w:pStyle w:val="TableParagraph"/>
              <w:spacing w:line="324" w:lineRule="exact"/>
              <w:ind w:left="107" w:right="0"/>
              <w:jc w:val="left"/>
              <w:rPr>
                <w:rFonts w:ascii="宋体" w:hAnsi="宋体" w:cs="宋体" w:eastAsia="宋体" w:hint="default"/>
                <w:sz w:val="24"/>
                <w:szCs w:val="24"/>
              </w:rPr>
            </w:pPr>
            <w:r>
              <w:rPr>
                <w:rFonts w:ascii="Arial Narrow" w:hAnsi="Arial Narrow" w:cs="Arial Narrow" w:eastAsia="Arial Narrow" w:hint="default"/>
                <w:sz w:val="24"/>
                <w:szCs w:val="24"/>
              </w:rPr>
              <w:t>Black-Scholes</w:t>
            </w:r>
            <w:r>
              <w:rPr>
                <w:rFonts w:ascii="Arial Narrow" w:hAnsi="Arial Narrow" w:cs="Arial Narrow" w:eastAsia="Arial Narrow" w:hint="default"/>
                <w:spacing w:val="-1"/>
                <w:sz w:val="24"/>
                <w:szCs w:val="24"/>
              </w:rPr>
              <w:t> </w:t>
            </w:r>
            <w:r>
              <w:rPr>
                <w:rFonts w:ascii="宋体" w:hAnsi="宋体" w:cs="宋体" w:eastAsia="宋体" w:hint="default"/>
                <w:sz w:val="24"/>
                <w:szCs w:val="24"/>
              </w:rPr>
              <w:t>模型</w:t>
            </w:r>
          </w:p>
        </w:tc>
      </w:tr>
      <w:tr>
        <w:trPr>
          <w:trHeight w:val="984"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before="167"/>
              <w:ind w:left="108" w:right="105"/>
              <w:jc w:val="left"/>
              <w:rPr>
                <w:rFonts w:ascii="宋体" w:hAnsi="宋体" w:cs="宋体" w:eastAsia="宋体" w:hint="default"/>
                <w:sz w:val="24"/>
                <w:szCs w:val="24"/>
              </w:rPr>
            </w:pPr>
            <w:r>
              <w:rPr>
                <w:rFonts w:ascii="宋体" w:hAnsi="宋体" w:cs="宋体" w:eastAsia="宋体" w:hint="default"/>
                <w:sz w:val="24"/>
                <w:szCs w:val="24"/>
              </w:rPr>
              <w:t>对可行权权益工具数量的最佳估计的确</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定方法</w:t>
            </w:r>
          </w:p>
        </w:tc>
        <w:tc>
          <w:tcPr>
            <w:tcW w:w="4810" w:type="dxa"/>
            <w:tcBorders>
              <w:top w:val="nil" w:sz="6" w:space="0" w:color="auto"/>
              <w:left w:val="nil" w:sz="6" w:space="0" w:color="auto"/>
              <w:bottom w:val="nil" w:sz="6" w:space="0" w:color="auto"/>
              <w:right w:val="nil" w:sz="6" w:space="0" w:color="auto"/>
            </w:tcBorders>
          </w:tcPr>
          <w:p>
            <w:pPr>
              <w:pStyle w:val="TableParagraph"/>
              <w:spacing w:line="312" w:lineRule="exact" w:before="11"/>
              <w:ind w:left="107" w:right="108"/>
              <w:jc w:val="both"/>
              <w:rPr>
                <w:rFonts w:ascii="宋体" w:hAnsi="宋体" w:cs="宋体" w:eastAsia="宋体" w:hint="default"/>
                <w:sz w:val="24"/>
                <w:szCs w:val="24"/>
              </w:rPr>
            </w:pPr>
            <w:r>
              <w:rPr>
                <w:rFonts w:ascii="宋体" w:hAnsi="宋体" w:cs="宋体" w:eastAsia="宋体" w:hint="default"/>
                <w:sz w:val="24"/>
                <w:szCs w:val="24"/>
              </w:rPr>
              <w:t>等待期内每个资产负债表日，根据最新取得</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的可行权职工人数变动等后续信息做出最佳</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估计，修正预计可行权的权益工具数量</w:t>
            </w:r>
          </w:p>
        </w:tc>
      </w:tr>
      <w:tr>
        <w:trPr>
          <w:trHeight w:val="392"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05" w:lineRule="exact"/>
              <w:ind w:left="108" w:right="0"/>
              <w:jc w:val="left"/>
              <w:rPr>
                <w:rFonts w:ascii="宋体" w:hAnsi="宋体" w:cs="宋体" w:eastAsia="宋体" w:hint="default"/>
                <w:sz w:val="24"/>
                <w:szCs w:val="24"/>
              </w:rPr>
            </w:pPr>
            <w:r>
              <w:rPr>
                <w:rFonts w:ascii="宋体" w:hAnsi="宋体" w:cs="宋体" w:eastAsia="宋体" w:hint="default"/>
                <w:sz w:val="24"/>
                <w:szCs w:val="24"/>
              </w:rPr>
              <w:t>本期估计与上期估计有重大差异的原因</w:t>
            </w:r>
          </w:p>
        </w:tc>
        <w:tc>
          <w:tcPr>
            <w:tcW w:w="481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Arial Narrow" w:hAnsi="Arial Narrow" w:cs="Arial Narrow" w:eastAsia="Arial Narrow" w:hint="default"/>
                <w:sz w:val="24"/>
                <w:szCs w:val="24"/>
              </w:rPr>
            </w:pPr>
            <w:r>
              <w:rPr>
                <w:rFonts w:ascii="Arial Narrow"/>
                <w:sz w:val="24"/>
              </w:rPr>
              <w:t>-</w:t>
            </w:r>
          </w:p>
        </w:tc>
      </w:tr>
      <w:tr>
        <w:trPr>
          <w:trHeight w:val="769" w:hRule="exact"/>
        </w:trPr>
        <w:tc>
          <w:tcPr>
            <w:tcW w:w="4326" w:type="dxa"/>
            <w:tcBorders>
              <w:top w:val="nil" w:sz="6" w:space="0" w:color="auto"/>
              <w:left w:val="nil" w:sz="6" w:space="0" w:color="auto"/>
              <w:bottom w:val="nil" w:sz="6" w:space="0" w:color="auto"/>
              <w:right w:val="nil" w:sz="6" w:space="0" w:color="auto"/>
            </w:tcBorders>
          </w:tcPr>
          <w:p>
            <w:pPr>
              <w:pStyle w:val="TableParagraph"/>
              <w:spacing w:line="312" w:lineRule="exact" w:before="35"/>
              <w:ind w:left="108" w:right="105"/>
              <w:jc w:val="left"/>
              <w:rPr>
                <w:rFonts w:ascii="宋体" w:hAnsi="宋体" w:cs="宋体" w:eastAsia="宋体" w:hint="default"/>
                <w:sz w:val="24"/>
                <w:szCs w:val="24"/>
              </w:rPr>
            </w:pPr>
            <w:r>
              <w:rPr>
                <w:rFonts w:ascii="宋体" w:hAnsi="宋体" w:cs="宋体" w:eastAsia="宋体" w:hint="default"/>
                <w:sz w:val="24"/>
                <w:szCs w:val="24"/>
              </w:rPr>
              <w:t>资本公积中以权益结算的股份支付的累</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计金额</w:t>
            </w:r>
          </w:p>
        </w:tc>
        <w:tc>
          <w:tcPr>
            <w:tcW w:w="4810" w:type="dxa"/>
            <w:tcBorders>
              <w:top w:val="nil" w:sz="6" w:space="0" w:color="auto"/>
              <w:left w:val="nil" w:sz="6" w:space="0" w:color="auto"/>
              <w:bottom w:val="nil" w:sz="6" w:space="0" w:color="auto"/>
              <w:right w:val="nil" w:sz="6" w:space="0" w:color="auto"/>
            </w:tcBorders>
          </w:tcPr>
          <w:p>
            <w:pPr>
              <w:pStyle w:val="TableParagraph"/>
              <w:spacing w:line="240" w:lineRule="auto" w:before="211"/>
              <w:ind w:right="106"/>
              <w:jc w:val="right"/>
              <w:rPr>
                <w:rFonts w:ascii="Arial Narrow" w:hAnsi="Arial Narrow" w:cs="Arial Narrow" w:eastAsia="Arial Narrow" w:hint="default"/>
                <w:sz w:val="24"/>
                <w:szCs w:val="24"/>
              </w:rPr>
            </w:pPr>
            <w:r>
              <w:rPr>
                <w:rFonts w:ascii="Arial Narrow"/>
                <w:spacing w:val="-1"/>
                <w:sz w:val="24"/>
              </w:rPr>
              <w:t>2,984,678.29</w:t>
            </w:r>
          </w:p>
        </w:tc>
      </w:tr>
      <w:tr>
        <w:trPr>
          <w:trHeight w:val="580" w:hRule="exact"/>
        </w:trPr>
        <w:tc>
          <w:tcPr>
            <w:tcW w:w="4326" w:type="dxa"/>
            <w:tcBorders>
              <w:top w:val="nil" w:sz="6" w:space="0" w:color="auto"/>
              <w:left w:val="nil" w:sz="6" w:space="0" w:color="auto"/>
              <w:bottom w:val="single" w:sz="8" w:space="0" w:color="000000"/>
              <w:right w:val="nil" w:sz="6" w:space="0" w:color="auto"/>
            </w:tcBorders>
          </w:tcPr>
          <w:p>
            <w:pPr>
              <w:pStyle w:val="TableParagraph"/>
              <w:spacing w:line="240" w:lineRule="auto" w:before="64"/>
              <w:ind w:left="108" w:right="0"/>
              <w:jc w:val="left"/>
              <w:rPr>
                <w:rFonts w:ascii="宋体" w:hAnsi="宋体" w:cs="宋体" w:eastAsia="宋体" w:hint="default"/>
                <w:sz w:val="24"/>
                <w:szCs w:val="24"/>
              </w:rPr>
            </w:pPr>
            <w:r>
              <w:rPr>
                <w:rFonts w:ascii="宋体" w:hAnsi="宋体" w:cs="宋体" w:eastAsia="宋体" w:hint="default"/>
                <w:sz w:val="24"/>
                <w:szCs w:val="24"/>
              </w:rPr>
              <w:t>以权益结算的股份支付确认的费用总额</w:t>
            </w:r>
          </w:p>
        </w:tc>
        <w:tc>
          <w:tcPr>
            <w:tcW w:w="4810" w:type="dxa"/>
            <w:tcBorders>
              <w:top w:val="nil" w:sz="6" w:space="0" w:color="auto"/>
              <w:left w:val="nil" w:sz="6" w:space="0" w:color="auto"/>
              <w:bottom w:val="single" w:sz="8" w:space="0" w:color="000000"/>
              <w:right w:val="nil" w:sz="6" w:space="0" w:color="auto"/>
            </w:tcBorders>
          </w:tcPr>
          <w:p>
            <w:pPr>
              <w:pStyle w:val="TableParagraph"/>
              <w:spacing w:line="240" w:lineRule="auto" w:before="114"/>
              <w:ind w:right="106"/>
              <w:jc w:val="right"/>
              <w:rPr>
                <w:rFonts w:ascii="Arial Narrow" w:hAnsi="Arial Narrow" w:cs="Arial Narrow" w:eastAsia="Arial Narrow" w:hint="default"/>
                <w:sz w:val="24"/>
                <w:szCs w:val="24"/>
              </w:rPr>
            </w:pPr>
            <w:r>
              <w:rPr>
                <w:rFonts w:ascii="Arial Narrow"/>
                <w:spacing w:val="-1"/>
                <w:sz w:val="24"/>
              </w:rPr>
              <w:t>2,984,678.29</w:t>
            </w:r>
          </w:p>
        </w:tc>
      </w:tr>
    </w:tbl>
    <w:p>
      <w:pPr>
        <w:pStyle w:val="BodyText"/>
        <w:spacing w:line="225" w:lineRule="auto" w:before="96"/>
        <w:ind w:left="559" w:right="0" w:firstLine="2"/>
        <w:jc w:val="left"/>
      </w:pPr>
      <w:r>
        <w:rPr/>
        <w:t>说明：根据</w:t>
      </w:r>
      <w:r>
        <w:rPr>
          <w:spacing w:val="-64"/>
        </w:rPr>
        <w:t> </w:t>
      </w:r>
      <w:r>
        <w:rPr>
          <w:rFonts w:ascii="Arial Narrow" w:hAnsi="Arial Narrow" w:cs="Arial Narrow" w:eastAsia="Arial Narrow" w:hint="default"/>
        </w:rPr>
        <w:t>Black-Scholes</w:t>
      </w:r>
      <w:r>
        <w:rPr>
          <w:rFonts w:ascii="Arial Narrow" w:hAnsi="Arial Narrow" w:cs="Arial Narrow" w:eastAsia="Arial Narrow" w:hint="default"/>
          <w:spacing w:val="3"/>
        </w:rPr>
        <w:t> </w:t>
      </w:r>
      <w:r>
        <w:rPr/>
        <w:t>模型计算出的单位期权价值为</w:t>
      </w:r>
      <w:r>
        <w:rPr>
          <w:spacing w:val="-63"/>
        </w:rPr>
        <w:t> </w:t>
      </w:r>
      <w:r>
        <w:rPr>
          <w:rFonts w:ascii="Arial Narrow" w:hAnsi="Arial Narrow" w:cs="Arial Narrow" w:eastAsia="Arial Narrow" w:hint="default"/>
        </w:rPr>
        <w:t>4.878</w:t>
      </w:r>
      <w:r>
        <w:rPr>
          <w:rFonts w:ascii="Arial Narrow" w:hAnsi="Arial Narrow" w:cs="Arial Narrow" w:eastAsia="Arial Narrow" w:hint="default"/>
          <w:spacing w:val="3"/>
        </w:rPr>
        <w:t> </w:t>
      </w:r>
      <w:r>
        <w:rPr/>
        <w:t>元，期权总数</w:t>
      </w:r>
      <w:r>
        <w:rPr>
          <w:spacing w:val="-63"/>
        </w:rPr>
        <w:t> </w:t>
      </w:r>
      <w:r>
        <w:rPr>
          <w:rFonts w:ascii="Arial Narrow" w:hAnsi="Arial Narrow" w:cs="Arial Narrow" w:eastAsia="Arial Narrow" w:hint="default"/>
        </w:rPr>
        <w:t>299.68</w:t>
      </w:r>
      <w:r>
        <w:rPr>
          <w:rFonts w:ascii="Arial Narrow" w:hAnsi="Arial Narrow" w:cs="Arial Narrow" w:eastAsia="Arial Narrow" w:hint="default"/>
          <w:spacing w:val="4"/>
        </w:rPr>
        <w:t> </w:t>
      </w:r>
      <w:r>
        <w:rPr/>
        <w:t>万份， 期权总成本 </w:t>
      </w:r>
      <w:r>
        <w:rPr>
          <w:rFonts w:ascii="Arial Narrow" w:hAnsi="Arial Narrow" w:cs="Arial Narrow" w:eastAsia="Arial Narrow" w:hint="default"/>
        </w:rPr>
        <w:t>1461.88</w:t>
      </w:r>
      <w:r>
        <w:rPr>
          <w:rFonts w:ascii="Arial Narrow" w:hAnsi="Arial Narrow" w:cs="Arial Narrow" w:eastAsia="Arial Narrow" w:hint="default"/>
          <w:spacing w:val="20"/>
        </w:rPr>
        <w:t> </w:t>
      </w:r>
      <w:r>
        <w:rPr/>
        <w:t>万元。由于分为三期行权，每期可行权权益工具的等待期分别为两 年、三年、四年，每期可行权数量占获授期权数量比例分别为</w:t>
      </w:r>
      <w:r>
        <w:rPr>
          <w:spacing w:val="-74"/>
        </w:rPr>
        <w:t> </w:t>
      </w:r>
      <w:r>
        <w:rPr>
          <w:rFonts w:ascii="Arial Narrow" w:hAnsi="Arial Narrow" w:cs="Arial Narrow" w:eastAsia="Arial Narrow" w:hint="default"/>
          <w:spacing w:val="-4"/>
        </w:rPr>
        <w:t>30%</w:t>
      </w:r>
      <w:r>
        <w:rPr>
          <w:spacing w:val="-4"/>
        </w:rPr>
        <w:t>、</w:t>
      </w:r>
      <w:r>
        <w:rPr>
          <w:rFonts w:ascii="Arial Narrow" w:hAnsi="Arial Narrow" w:cs="Arial Narrow" w:eastAsia="Arial Narrow" w:hint="default"/>
          <w:spacing w:val="-4"/>
        </w:rPr>
        <w:t>30%</w:t>
      </w:r>
      <w:r>
        <w:rPr>
          <w:spacing w:val="-4"/>
        </w:rPr>
        <w:t>、</w:t>
      </w:r>
      <w:r>
        <w:rPr>
          <w:rFonts w:ascii="Arial Narrow" w:hAnsi="Arial Narrow" w:cs="Arial Narrow" w:eastAsia="Arial Narrow" w:hint="default"/>
          <w:spacing w:val="-4"/>
        </w:rPr>
        <w:t>40%</w:t>
      </w:r>
      <w:r>
        <w:rPr>
          <w:spacing w:val="-4"/>
        </w:rPr>
        <w:t>。自授予</w:t>
      </w:r>
      <w:r>
        <w:rPr/>
        <w:t> 日</w:t>
      </w:r>
      <w:r>
        <w:rPr>
          <w:spacing w:val="-61"/>
        </w:rPr>
        <w:t> </w:t>
      </w:r>
      <w:r>
        <w:rPr>
          <w:rFonts w:ascii="Arial Narrow" w:hAnsi="Arial Narrow" w:cs="Arial Narrow" w:eastAsia="Arial Narrow" w:hint="default"/>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6</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10</w:t>
      </w:r>
      <w:r>
        <w:rPr>
          <w:rFonts w:ascii="Arial Narrow" w:hAnsi="Arial Narrow" w:cs="Arial Narrow" w:eastAsia="Arial Narrow" w:hint="default"/>
          <w:spacing w:val="5"/>
        </w:rPr>
        <w:t> </w:t>
      </w:r>
      <w:r>
        <w:rPr/>
        <w:t>日起确认股份支付产生的成本费用金额，</w:t>
      </w:r>
      <w:r>
        <w:rPr>
          <w:rFonts w:ascii="Arial Narrow" w:hAnsi="Arial Narrow" w:cs="Arial Narrow" w:eastAsia="Arial Narrow" w:hint="default"/>
        </w:rPr>
        <w:t>2011</w:t>
      </w:r>
      <w:r>
        <w:rPr>
          <w:rFonts w:ascii="Arial Narrow" w:hAnsi="Arial Narrow" w:cs="Arial Narrow" w:eastAsia="Arial Narrow" w:hint="default"/>
          <w:spacing w:val="5"/>
        </w:rPr>
        <w:t> </w:t>
      </w:r>
      <w:r>
        <w:rPr/>
        <w:t>年度确认的三期可行权 权益工具的费用金额分别为</w:t>
      </w:r>
      <w:r>
        <w:rPr>
          <w:spacing w:val="-62"/>
        </w:rPr>
        <w:t> </w:t>
      </w:r>
      <w:r>
        <w:rPr>
          <w:rFonts w:ascii="Arial Narrow" w:hAnsi="Arial Narrow" w:cs="Arial Narrow" w:eastAsia="Arial Narrow" w:hint="default"/>
        </w:rPr>
        <w:t>127.91</w:t>
      </w:r>
      <w:r>
        <w:rPr>
          <w:rFonts w:ascii="Arial Narrow" w:hAnsi="Arial Narrow" w:cs="Arial Narrow" w:eastAsia="Arial Narrow" w:hint="default"/>
          <w:spacing w:val="4"/>
        </w:rPr>
        <w:t> </w:t>
      </w:r>
      <w:r>
        <w:rPr/>
        <w:t>万元、</w:t>
      </w:r>
      <w:r>
        <w:rPr>
          <w:rFonts w:ascii="Arial Narrow" w:hAnsi="Arial Narrow" w:cs="Arial Narrow" w:eastAsia="Arial Narrow" w:hint="default"/>
        </w:rPr>
        <w:t>85.28</w:t>
      </w:r>
      <w:r>
        <w:rPr>
          <w:rFonts w:ascii="Arial Narrow" w:hAnsi="Arial Narrow" w:cs="Arial Narrow" w:eastAsia="Arial Narrow" w:hint="default"/>
          <w:spacing w:val="4"/>
        </w:rPr>
        <w:t> </w:t>
      </w:r>
      <w:r>
        <w:rPr/>
        <w:t>万元、</w:t>
      </w:r>
      <w:r>
        <w:rPr>
          <w:rFonts w:ascii="Arial Narrow" w:hAnsi="Arial Narrow" w:cs="Arial Narrow" w:eastAsia="Arial Narrow" w:hint="default"/>
        </w:rPr>
        <w:t>85.28</w:t>
      </w:r>
      <w:r>
        <w:rPr>
          <w:rFonts w:ascii="Arial Narrow" w:hAnsi="Arial Narrow" w:cs="Arial Narrow" w:eastAsia="Arial Narrow" w:hint="default"/>
          <w:spacing w:val="4"/>
        </w:rPr>
        <w:t> </w:t>
      </w:r>
      <w:r>
        <w:rPr/>
        <w:t>万元，合计</w:t>
      </w:r>
      <w:r>
        <w:rPr>
          <w:spacing w:val="-62"/>
        </w:rPr>
        <w:t> </w:t>
      </w:r>
      <w:r>
        <w:rPr>
          <w:rFonts w:ascii="Arial Narrow" w:hAnsi="Arial Narrow" w:cs="Arial Narrow" w:eastAsia="Arial Narrow" w:hint="default"/>
        </w:rPr>
        <w:t>298.47</w:t>
      </w:r>
      <w:r>
        <w:rPr>
          <w:rFonts w:ascii="Arial Narrow" w:hAnsi="Arial Narrow" w:cs="Arial Narrow" w:eastAsia="Arial Narrow" w:hint="default"/>
          <w:spacing w:val="4"/>
        </w:rPr>
        <w:t> </w:t>
      </w:r>
      <w:r>
        <w:rPr/>
        <w:t>万元。</w:t>
      </w:r>
    </w:p>
    <w:p>
      <w:pPr>
        <w:pStyle w:val="BodyText"/>
        <w:spacing w:line="240" w:lineRule="auto" w:before="198"/>
        <w:ind w:left="149" w:right="0"/>
        <w:jc w:val="left"/>
      </w:pPr>
      <w:r>
        <w:rPr>
          <w:rFonts w:ascii="Arial Narrow" w:hAnsi="Arial Narrow" w:cs="Arial Narrow" w:eastAsia="Arial Narrow" w:hint="default"/>
        </w:rPr>
        <w:t>3</w:t>
      </w:r>
      <w:r>
        <w:rPr/>
        <w:t>、以股份支付服务情况</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5673"/>
        <w:gridCol w:w="3463"/>
      </w:tblGrid>
      <w:tr>
        <w:trPr>
          <w:trHeight w:val="456" w:hRule="exact"/>
        </w:trPr>
        <w:tc>
          <w:tcPr>
            <w:tcW w:w="5673" w:type="dxa"/>
            <w:tcBorders>
              <w:top w:val="single" w:sz="8" w:space="0" w:color="000000"/>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24"/>
                <w:szCs w:val="24"/>
              </w:rPr>
            </w:pPr>
            <w:r>
              <w:rPr>
                <w:rFonts w:ascii="宋体" w:hAnsi="宋体" w:cs="宋体" w:eastAsia="宋体" w:hint="default"/>
                <w:sz w:val="24"/>
                <w:szCs w:val="24"/>
              </w:rPr>
              <w:t>以股份支付换取的职工服务总额</w:t>
            </w:r>
          </w:p>
        </w:tc>
        <w:tc>
          <w:tcPr>
            <w:tcW w:w="3463" w:type="dxa"/>
            <w:tcBorders>
              <w:top w:val="single" w:sz="8" w:space="0" w:color="000000"/>
              <w:left w:val="nil" w:sz="6" w:space="0" w:color="auto"/>
              <w:bottom w:val="nil" w:sz="6" w:space="0" w:color="auto"/>
              <w:right w:val="nil" w:sz="6" w:space="0" w:color="auto"/>
            </w:tcBorders>
          </w:tcPr>
          <w:p>
            <w:pPr>
              <w:pStyle w:val="TableParagraph"/>
              <w:spacing w:line="240" w:lineRule="auto" w:before="87"/>
              <w:ind w:right="106"/>
              <w:jc w:val="right"/>
              <w:rPr>
                <w:rFonts w:ascii="Arial Narrow" w:hAnsi="Arial Narrow" w:cs="Arial Narrow" w:eastAsia="Arial Narrow" w:hint="default"/>
                <w:sz w:val="24"/>
                <w:szCs w:val="24"/>
              </w:rPr>
            </w:pPr>
            <w:r>
              <w:rPr>
                <w:rFonts w:ascii="Arial Narrow"/>
                <w:spacing w:val="-1"/>
                <w:sz w:val="24"/>
              </w:rPr>
              <w:t>2,984,678.29</w:t>
            </w:r>
          </w:p>
        </w:tc>
      </w:tr>
      <w:tr>
        <w:trPr>
          <w:trHeight w:val="421" w:hRule="exact"/>
        </w:trPr>
        <w:tc>
          <w:tcPr>
            <w:tcW w:w="5673" w:type="dxa"/>
            <w:tcBorders>
              <w:top w:val="nil" w:sz="6" w:space="0" w:color="auto"/>
              <w:left w:val="nil" w:sz="6" w:space="0" w:color="auto"/>
              <w:bottom w:val="single" w:sz="8" w:space="0" w:color="000000"/>
              <w:right w:val="nil" w:sz="6" w:space="0" w:color="auto"/>
            </w:tcBorders>
          </w:tcPr>
          <w:p>
            <w:pPr>
              <w:pStyle w:val="TableParagraph"/>
              <w:spacing w:line="240" w:lineRule="auto" w:before="15"/>
              <w:ind w:left="108" w:right="0"/>
              <w:jc w:val="left"/>
              <w:rPr>
                <w:rFonts w:ascii="宋体" w:hAnsi="宋体" w:cs="宋体" w:eastAsia="宋体" w:hint="default"/>
                <w:sz w:val="24"/>
                <w:szCs w:val="24"/>
              </w:rPr>
            </w:pPr>
            <w:r>
              <w:rPr>
                <w:rFonts w:ascii="宋体" w:hAnsi="宋体" w:cs="宋体" w:eastAsia="宋体" w:hint="default"/>
                <w:sz w:val="24"/>
                <w:szCs w:val="24"/>
              </w:rPr>
              <w:t>以股份支付换取的其他服务总额</w:t>
            </w:r>
          </w:p>
        </w:tc>
        <w:tc>
          <w:tcPr>
            <w:tcW w:w="3463" w:type="dxa"/>
            <w:tcBorders>
              <w:top w:val="nil" w:sz="6" w:space="0" w:color="auto"/>
              <w:left w:val="nil" w:sz="6" w:space="0" w:color="auto"/>
              <w:bottom w:val="single" w:sz="8" w:space="0" w:color="000000"/>
              <w:right w:val="nil" w:sz="6" w:space="0" w:color="auto"/>
            </w:tcBorders>
          </w:tcPr>
          <w:p>
            <w:pPr>
              <w:pStyle w:val="TableParagraph"/>
              <w:spacing w:line="240" w:lineRule="auto" w:before="68"/>
              <w:ind w:right="105"/>
              <w:jc w:val="right"/>
              <w:rPr>
                <w:rFonts w:ascii="Arial Narrow" w:hAnsi="Arial Narrow" w:cs="Arial Narrow" w:eastAsia="Arial Narrow" w:hint="default"/>
                <w:sz w:val="24"/>
                <w:szCs w:val="24"/>
              </w:rPr>
            </w:pPr>
            <w:r>
              <w:rPr>
                <w:rFonts w:ascii="Arial Narrow"/>
                <w:color w:val="0000FF"/>
                <w:sz w:val="24"/>
              </w:rPr>
              <w:t>-</w:t>
            </w:r>
            <w:r>
              <w:rPr>
                <w:rFonts w:ascii="Arial Narrow"/>
                <w:sz w:val="24"/>
              </w:rPr>
            </w:r>
          </w:p>
        </w:tc>
      </w:tr>
    </w:tbl>
    <w:p>
      <w:pPr>
        <w:pStyle w:val="Heading5"/>
        <w:spacing w:line="240" w:lineRule="auto" w:before="79"/>
        <w:ind w:left="142" w:right="0"/>
        <w:jc w:val="left"/>
        <w:rPr>
          <w:b w:val="0"/>
          <w:bCs w:val="0"/>
        </w:rPr>
      </w:pPr>
      <w:r>
        <w:rPr/>
        <w:t>八、</w:t>
      </w:r>
      <w:r>
        <w:rPr>
          <w:spacing w:val="-1"/>
        </w:rPr>
        <w:t> </w:t>
      </w:r>
      <w:r>
        <w:rPr/>
        <w:t>或有事项</w:t>
      </w:r>
      <w:r>
        <w:rPr>
          <w:b w:val="0"/>
          <w:bCs w:val="0"/>
        </w:rPr>
      </w:r>
    </w:p>
    <w:p>
      <w:pPr>
        <w:pStyle w:val="BodyText"/>
        <w:spacing w:line="381" w:lineRule="auto" w:before="214"/>
        <w:ind w:left="142" w:right="608" w:firstLine="420"/>
        <w:jc w:val="left"/>
        <w:rPr>
          <w:rFonts w:ascii="宋体" w:hAnsi="宋体" w:cs="宋体" w:eastAsia="宋体" w:hint="default"/>
        </w:rPr>
      </w:pPr>
      <w:r>
        <w:rPr/>
        <w:t>截至</w:t>
      </w:r>
      <w:r>
        <w:rPr>
          <w:spacing w:val="-62"/>
        </w:rPr>
        <w:t> </w:t>
      </w:r>
      <w:r>
        <w:rPr>
          <w:rFonts w:ascii="Arial Narrow" w:hAnsi="Arial Narrow" w:cs="Arial Narrow" w:eastAsia="Arial Narrow" w:hint="default"/>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3"/>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日，本公司不存在应披露的未决诉讼、对外担保等或有事项。 </w:t>
      </w:r>
      <w:r>
        <w:rPr>
          <w:rFonts w:ascii="宋体" w:hAnsi="宋体" w:cs="宋体" w:eastAsia="宋体" w:hint="default"/>
          <w:b/>
          <w:bCs/>
        </w:rPr>
        <w:t>九、承诺事项</w:t>
      </w:r>
      <w:r>
        <w:rPr>
          <w:rFonts w:ascii="宋体" w:hAnsi="宋体" w:cs="宋体" w:eastAsia="宋体" w:hint="default"/>
        </w:rPr>
      </w:r>
    </w:p>
    <w:p>
      <w:pPr>
        <w:spacing w:line="384" w:lineRule="auto" w:before="72"/>
        <w:ind w:left="142" w:right="3008" w:firstLine="420"/>
        <w:jc w:val="left"/>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2"/>
          <w:sz w:val="24"/>
          <w:szCs w:val="24"/>
        </w:rPr>
        <w:t> </w:t>
      </w:r>
      <w:r>
        <w:rPr>
          <w:rFonts w:ascii="Arial Narrow" w:hAnsi="Arial Narrow" w:cs="Arial Narrow" w:eastAsia="Arial Narrow" w:hint="default"/>
          <w:sz w:val="24"/>
          <w:szCs w:val="24"/>
        </w:rPr>
        <w:t>2011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Narrow" w:hAnsi="Arial Narrow" w:cs="Arial Narrow" w:eastAsia="Arial Narrow" w:hint="default"/>
          <w:sz w:val="24"/>
          <w:szCs w:val="24"/>
        </w:rPr>
        <w:t>12</w:t>
      </w:r>
      <w:r>
        <w:rPr>
          <w:rFonts w:ascii="Arial Narrow" w:hAnsi="Arial Narrow" w:cs="Arial Narrow" w:eastAsia="Arial Narrow"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Narrow" w:hAnsi="Arial Narrow" w:cs="Arial Narrow" w:eastAsia="Arial Narrow" w:hint="default"/>
          <w:sz w:val="24"/>
          <w:szCs w:val="24"/>
        </w:rPr>
        <w:t>31</w:t>
      </w:r>
      <w:r>
        <w:rPr>
          <w:rFonts w:ascii="Arial Narrow" w:hAnsi="Arial Narrow" w:cs="Arial Narrow" w:eastAsia="Arial Narrow" w:hint="default"/>
          <w:spacing w:val="5"/>
          <w:sz w:val="24"/>
          <w:szCs w:val="24"/>
        </w:rPr>
        <w:t> </w:t>
      </w:r>
      <w:r>
        <w:rPr>
          <w:rFonts w:ascii="宋体" w:hAnsi="宋体" w:cs="宋体" w:eastAsia="宋体" w:hint="default"/>
          <w:sz w:val="24"/>
          <w:szCs w:val="24"/>
        </w:rPr>
        <w:t>日，本公司不存在应披露的承诺事项。 </w:t>
      </w:r>
      <w:r>
        <w:rPr>
          <w:rFonts w:ascii="宋体" w:hAnsi="宋体" w:cs="宋体" w:eastAsia="宋体" w:hint="default"/>
          <w:b/>
          <w:bCs/>
          <w:sz w:val="24"/>
          <w:szCs w:val="24"/>
        </w:rPr>
        <w:t>十、资产负债表日后事项</w:t>
      </w:r>
      <w:r>
        <w:rPr>
          <w:rFonts w:ascii="宋体" w:hAnsi="宋体" w:cs="宋体" w:eastAsia="宋体" w:hint="default"/>
          <w:sz w:val="24"/>
          <w:szCs w:val="24"/>
        </w:rPr>
      </w:r>
    </w:p>
    <w:p>
      <w:pPr>
        <w:pStyle w:val="BodyText"/>
        <w:spacing w:line="312" w:lineRule="exact" w:before="98"/>
        <w:ind w:left="502" w:right="103" w:hanging="360"/>
        <w:jc w:val="left"/>
      </w:pPr>
      <w:r>
        <w:rPr>
          <w:rFonts w:ascii="Arial Narrow" w:hAnsi="Arial Narrow" w:cs="Arial Narrow" w:eastAsia="Arial Narrow" w:hint="default"/>
          <w:spacing w:val="1"/>
        </w:rPr>
        <w:t>1</w:t>
      </w:r>
      <w:r>
        <w:rPr>
          <w:spacing w:val="1"/>
        </w:rPr>
        <w:t>、本公司</w:t>
      </w:r>
      <w:r>
        <w:rPr>
          <w:spacing w:val="-57"/>
        </w:rPr>
        <w:t> </w:t>
      </w:r>
      <w:r>
        <w:rPr>
          <w:rFonts w:ascii="Arial Narrow" w:hAnsi="Arial Narrow" w:cs="Arial Narrow" w:eastAsia="Arial Narrow" w:hint="default"/>
          <w:spacing w:val="-1"/>
        </w:rPr>
        <w:t>2012</w:t>
      </w:r>
      <w:r>
        <w:rPr>
          <w:rFonts w:ascii="Arial Narrow" w:hAnsi="Arial Narrow" w:cs="Arial Narrow" w:eastAsia="Arial Narrow" w:hint="default"/>
          <w:spacing w:val="10"/>
        </w:rPr>
        <w:t> </w:t>
      </w:r>
      <w:r>
        <w:rPr/>
        <w:t>年</w:t>
      </w:r>
      <w:r>
        <w:rPr>
          <w:spacing w:val="-56"/>
        </w:rPr>
        <w:t> </w:t>
      </w:r>
      <w:r>
        <w:rPr>
          <w:rFonts w:ascii="Arial Narrow" w:hAnsi="Arial Narrow" w:cs="Arial Narrow" w:eastAsia="Arial Narrow" w:hint="default"/>
        </w:rPr>
        <w:t>3</w:t>
      </w:r>
      <w:r>
        <w:rPr>
          <w:rFonts w:ascii="Arial Narrow" w:hAnsi="Arial Narrow" w:cs="Arial Narrow" w:eastAsia="Arial Narrow" w:hint="default"/>
          <w:spacing w:val="10"/>
        </w:rPr>
        <w:t> </w:t>
      </w:r>
      <w:r>
        <w:rPr/>
        <w:t>月</w:t>
      </w:r>
      <w:r>
        <w:rPr>
          <w:spacing w:val="-56"/>
        </w:rPr>
        <w:t> </w:t>
      </w:r>
      <w:r>
        <w:rPr>
          <w:rFonts w:ascii="Arial Narrow" w:hAnsi="Arial Narrow" w:cs="Arial Narrow" w:eastAsia="Arial Narrow" w:hint="default"/>
        </w:rPr>
        <w:t>9</w:t>
      </w:r>
      <w:r>
        <w:rPr>
          <w:rFonts w:ascii="Arial Narrow" w:hAnsi="Arial Narrow" w:cs="Arial Narrow" w:eastAsia="Arial Narrow" w:hint="default"/>
          <w:spacing w:val="7"/>
        </w:rPr>
        <w:t> </w:t>
      </w:r>
      <w:r>
        <w:rPr>
          <w:spacing w:val="-4"/>
        </w:rPr>
        <w:t>日召开第二届董事会第六次会议，批准了《</w:t>
      </w:r>
      <w:r>
        <w:rPr>
          <w:rFonts w:ascii="Arial Narrow" w:hAnsi="Arial Narrow" w:cs="Arial Narrow" w:eastAsia="Arial Narrow" w:hint="default"/>
          <w:spacing w:val="-4"/>
        </w:rPr>
        <w:t>2011</w:t>
      </w:r>
      <w:r>
        <w:rPr>
          <w:rFonts w:ascii="Arial Narrow" w:hAnsi="Arial Narrow" w:cs="Arial Narrow" w:eastAsia="Arial Narrow" w:hint="default"/>
          <w:spacing w:val="10"/>
        </w:rPr>
        <w:t> </w:t>
      </w:r>
      <w:r>
        <w:rPr>
          <w:spacing w:val="-14"/>
        </w:rPr>
        <w:t>年利润分配预案》：</w:t>
      </w:r>
      <w:r>
        <w:rPr/>
        <w:t> 根据公司生产经营情况和现金流状况，公司总部办公大楼建设、新产品研发及新业务模 式探索尚需较大流动资金的要求，结合在建项目建设资金需求及未来发展，公司董事会 决定暂不分红、不送股、不转增。</w:t>
      </w:r>
    </w:p>
    <w:p>
      <w:pPr>
        <w:spacing w:after="0" w:line="312" w:lineRule="exact"/>
        <w:jc w:val="left"/>
        <w:sectPr>
          <w:pgSz w:w="11900" w:h="16850"/>
          <w:pgMar w:header="0" w:footer="919" w:top="1640" w:bottom="1100" w:left="1140" w:right="90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77.95pt;height:.75pt;mso-position-horizontal-relative:char;mso-position-vertical-relative:line" coordorigin="0,0" coordsize="9559,15">
            <v:group style="position:absolute;left:7;top:7;width:9545;height:2" coordorigin="7,7" coordsize="9545,2">
              <v:shape style="position:absolute;left:7;top:7;width:9545;height:2" coordorigin="7,7" coordsize="9545,0" path="m7,7l9552,7e" filled="false" stroked="true" strokeweight=".72pt" strokecolor="#000000">
                <v:path arrowok="t"/>
              </v:shape>
            </v:group>
          </v:group>
        </w:pict>
      </w:r>
      <w:r>
        <w:rPr>
          <w:rFonts w:ascii="宋体" w:hAnsi="宋体" w:cs="宋体" w:eastAsia="宋体" w:hint="default"/>
          <w:sz w:val="2"/>
          <w:szCs w:val="2"/>
        </w:rPr>
      </w:r>
    </w:p>
    <w:p>
      <w:pPr>
        <w:pStyle w:val="BodyText"/>
        <w:spacing w:line="321" w:lineRule="exact" w:before="43"/>
        <w:ind w:left="142" w:right="0"/>
        <w:jc w:val="left"/>
      </w:pPr>
      <w:r>
        <w:rPr>
          <w:rFonts w:ascii="Arial Narrow" w:hAnsi="Arial Narrow" w:cs="Arial Narrow" w:eastAsia="Arial Narrow" w:hint="default"/>
        </w:rPr>
        <w:t>2</w:t>
      </w:r>
      <w:r>
        <w:rPr/>
        <w:t>、</w:t>
      </w:r>
      <w:r>
        <w:rPr>
          <w:rFonts w:ascii="Arial Narrow" w:hAnsi="Arial Narrow" w:cs="Arial Narrow" w:eastAsia="Arial Narrow" w:hint="default"/>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4</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15</w:t>
      </w:r>
      <w:r>
        <w:rPr>
          <w:rFonts w:ascii="Arial Narrow" w:hAnsi="Arial Narrow" w:cs="Arial Narrow" w:eastAsia="Arial Narrow" w:hint="default"/>
          <w:spacing w:val="5"/>
        </w:rPr>
        <w:t> </w:t>
      </w:r>
      <w:r>
        <w:rPr>
          <w:spacing w:val="-3"/>
        </w:rPr>
        <w:t>日，公司第一届董事会第十八次会议审议通过了《关于购置房产及超募资</w:t>
      </w:r>
    </w:p>
    <w:p>
      <w:pPr>
        <w:pStyle w:val="BodyText"/>
        <w:spacing w:line="311" w:lineRule="exact"/>
        <w:ind w:left="502" w:right="0"/>
        <w:jc w:val="left"/>
      </w:pPr>
      <w:r>
        <w:rPr/>
        <w:t>金使用计划的议案</w:t>
      </w:r>
      <w:r>
        <w:rPr>
          <w:spacing w:val="-120"/>
        </w:rPr>
        <w:t>》</w:t>
      </w:r>
      <w:r>
        <w:rPr>
          <w:spacing w:val="-3"/>
        </w:rPr>
        <w:t>，</w:t>
      </w:r>
      <w:r>
        <w:rPr/>
        <w:t>拟用</w:t>
      </w:r>
      <w:r>
        <w:rPr>
          <w:spacing w:val="-60"/>
        </w:rPr>
        <w:t> </w:t>
      </w:r>
      <w:r>
        <w:rPr>
          <w:rFonts w:ascii="Arial Narrow" w:hAnsi="Arial Narrow" w:cs="Arial Narrow" w:eastAsia="Arial Narrow" w:hint="default"/>
        </w:rPr>
        <w:t>8,</w:t>
      </w:r>
      <w:r>
        <w:rPr>
          <w:rFonts w:ascii="Arial Narrow" w:hAnsi="Arial Narrow" w:cs="Arial Narrow" w:eastAsia="Arial Narrow" w:hint="default"/>
          <w:spacing w:val="1"/>
        </w:rPr>
        <w:t>0</w:t>
      </w:r>
      <w:r>
        <w:rPr>
          <w:rFonts w:ascii="Arial Narrow" w:hAnsi="Arial Narrow" w:cs="Arial Narrow" w:eastAsia="Arial Narrow" w:hint="default"/>
          <w:spacing w:val="-2"/>
        </w:rPr>
        <w:t>0</w:t>
      </w:r>
      <w:r>
        <w:rPr>
          <w:rFonts w:ascii="Arial Narrow" w:hAnsi="Arial Narrow" w:cs="Arial Narrow" w:eastAsia="Arial Narrow" w:hint="default"/>
        </w:rPr>
        <w:t>0</w:t>
      </w:r>
      <w:r>
        <w:rPr>
          <w:rFonts w:ascii="Arial Narrow" w:hAnsi="Arial Narrow" w:cs="Arial Narrow" w:eastAsia="Arial Narrow" w:hint="default"/>
          <w:spacing w:val="6"/>
        </w:rPr>
        <w:t> </w:t>
      </w:r>
      <w:r>
        <w:rPr/>
        <w:t>万元超募</w:t>
      </w:r>
      <w:r>
        <w:rPr>
          <w:spacing w:val="-3"/>
        </w:rPr>
        <w:t>集</w:t>
      </w:r>
      <w:r>
        <w:rPr/>
        <w:t>资金结合自有资金的方式</w:t>
      </w:r>
      <w:r>
        <w:rPr>
          <w:spacing w:val="-5"/>
        </w:rPr>
        <w:t>，</w:t>
      </w:r>
      <w:r>
        <w:rPr/>
        <w:t>用于购置办公用</w:t>
      </w:r>
    </w:p>
    <w:p>
      <w:pPr>
        <w:pStyle w:val="BodyText"/>
        <w:spacing w:line="311" w:lineRule="exact"/>
        <w:ind w:left="502" w:right="0"/>
        <w:jc w:val="left"/>
        <w:rPr>
          <w:rFonts w:ascii="Arial Narrow" w:hAnsi="Arial Narrow" w:cs="Arial Narrow" w:eastAsia="Arial Narrow" w:hint="default"/>
        </w:rPr>
      </w:pPr>
      <w:r>
        <w:rPr>
          <w:spacing w:val="-3"/>
        </w:rPr>
        <w:t>房；同时，该项目于</w:t>
      </w:r>
      <w:r>
        <w:rPr>
          <w:spacing w:val="-63"/>
        </w:rPr>
        <w:t> </w:t>
      </w:r>
      <w:r>
        <w:rPr>
          <w:rFonts w:ascii="Arial Narrow" w:hAnsi="Arial Narrow" w:cs="Arial Narrow" w:eastAsia="Arial Narrow" w:hint="default"/>
          <w:spacing w:val="-4"/>
        </w:rPr>
        <w:t>2011</w:t>
      </w:r>
      <w:r>
        <w:rPr>
          <w:rFonts w:ascii="Arial Narrow" w:hAnsi="Arial Narrow" w:cs="Arial Narrow" w:eastAsia="Arial Narrow" w:hint="default"/>
          <w:spacing w:val="3"/>
        </w:rPr>
        <w:t> </w:t>
      </w:r>
      <w:r>
        <w:rPr/>
        <w:t>年</w:t>
      </w:r>
      <w:r>
        <w:rPr>
          <w:spacing w:val="-63"/>
        </w:rPr>
        <w:t> </w:t>
      </w:r>
      <w:r>
        <w:rPr>
          <w:rFonts w:ascii="Arial Narrow" w:hAnsi="Arial Narrow" w:cs="Arial Narrow" w:eastAsia="Arial Narrow" w:hint="default"/>
        </w:rPr>
        <w:t>5</w:t>
      </w:r>
      <w:r>
        <w:rPr>
          <w:rFonts w:ascii="Arial Narrow" w:hAnsi="Arial Narrow" w:cs="Arial Narrow" w:eastAsia="Arial Narrow" w:hint="default"/>
          <w:spacing w:val="3"/>
        </w:rPr>
        <w:t> </w:t>
      </w:r>
      <w:r>
        <w:rPr/>
        <w:t>月</w:t>
      </w:r>
      <w:r>
        <w:rPr>
          <w:spacing w:val="-66"/>
        </w:rPr>
        <w:t> </w:t>
      </w:r>
      <w:r>
        <w:rPr>
          <w:rFonts w:ascii="Arial Narrow" w:hAnsi="Arial Narrow" w:cs="Arial Narrow" w:eastAsia="Arial Narrow" w:hint="default"/>
        </w:rPr>
        <w:t>18</w:t>
      </w:r>
      <w:r>
        <w:rPr>
          <w:rFonts w:ascii="Arial Narrow" w:hAnsi="Arial Narrow" w:cs="Arial Narrow" w:eastAsia="Arial Narrow" w:hint="default"/>
          <w:spacing w:val="3"/>
        </w:rPr>
        <w:t> </w:t>
      </w:r>
      <w:r>
        <w:rPr/>
        <w:t>日提交公司</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3"/>
        </w:rPr>
        <w:t> </w:t>
      </w:r>
      <w:r>
        <w:rPr/>
        <w:t>年度股东大会审议通过。</w:t>
      </w:r>
      <w:r>
        <w:rPr>
          <w:rFonts w:ascii="Arial Narrow" w:hAnsi="Arial Narrow" w:cs="Arial Narrow" w:eastAsia="Arial Narrow" w:hint="default"/>
        </w:rPr>
        <w:t>2011</w:t>
      </w:r>
      <w:r>
        <w:rPr>
          <w:rFonts w:ascii="Arial Narrow" w:hAnsi="Arial Narrow" w:cs="Arial Narrow" w:eastAsia="Arial Narrow" w:hint="default"/>
          <w:spacing w:val="3"/>
        </w:rPr>
        <w:t> </w:t>
      </w:r>
      <w:r>
        <w:rPr/>
        <w:t>年</w:t>
      </w:r>
      <w:r>
        <w:rPr>
          <w:spacing w:val="-66"/>
        </w:rPr>
        <w:t> </w:t>
      </w:r>
      <w:r>
        <w:rPr>
          <w:rFonts w:ascii="Arial Narrow" w:hAnsi="Arial Narrow" w:cs="Arial Narrow" w:eastAsia="Arial Narrow" w:hint="default"/>
        </w:rPr>
        <w:t>12</w:t>
      </w:r>
    </w:p>
    <w:p>
      <w:pPr>
        <w:pStyle w:val="BodyText"/>
        <w:spacing w:line="312" w:lineRule="exact"/>
        <w:ind w:left="502" w:right="0"/>
        <w:jc w:val="left"/>
      </w:pPr>
      <w:r>
        <w:rPr/>
        <w:t>月</w:t>
      </w:r>
      <w:r>
        <w:rPr>
          <w:spacing w:val="-49"/>
        </w:rPr>
        <w:t> </w:t>
      </w:r>
      <w:r>
        <w:rPr>
          <w:rFonts w:ascii="Arial Narrow" w:hAnsi="Arial Narrow" w:cs="Arial Narrow" w:eastAsia="Arial Narrow" w:hint="default"/>
        </w:rPr>
        <w:t>23</w:t>
      </w:r>
      <w:r>
        <w:rPr>
          <w:rFonts w:ascii="Arial Narrow" w:hAnsi="Arial Narrow" w:cs="Arial Narrow" w:eastAsia="Arial Narrow" w:hint="default"/>
          <w:spacing w:val="17"/>
        </w:rPr>
        <w:t> </w:t>
      </w:r>
      <w:r>
        <w:rPr/>
        <w:t>日签署了本项目所涉及的购房协议，根据该协议，公司应在</w:t>
      </w:r>
      <w:r>
        <w:rPr>
          <w:spacing w:val="-48"/>
        </w:rPr>
        <w:t> </w:t>
      </w:r>
      <w:r>
        <w:rPr>
          <w:rFonts w:ascii="Arial Narrow" w:hAnsi="Arial Narrow" w:cs="Arial Narrow" w:eastAsia="Arial Narrow" w:hint="default"/>
        </w:rPr>
        <w:t>2012</w:t>
      </w:r>
      <w:r>
        <w:rPr>
          <w:rFonts w:ascii="Arial Narrow" w:hAnsi="Arial Narrow" w:cs="Arial Narrow" w:eastAsia="Arial Narrow" w:hint="default"/>
          <w:spacing w:val="17"/>
        </w:rPr>
        <w:t> </w:t>
      </w:r>
      <w:r>
        <w:rPr/>
        <w:t>年</w:t>
      </w:r>
      <w:r>
        <w:rPr>
          <w:spacing w:val="-52"/>
        </w:rPr>
        <w:t> </w:t>
      </w:r>
      <w:r>
        <w:rPr>
          <w:rFonts w:ascii="Arial Narrow" w:hAnsi="Arial Narrow" w:cs="Arial Narrow" w:eastAsia="Arial Narrow" w:hint="default"/>
        </w:rPr>
        <w:t>2</w:t>
      </w:r>
      <w:r>
        <w:rPr>
          <w:rFonts w:ascii="Arial Narrow" w:hAnsi="Arial Narrow" w:cs="Arial Narrow" w:eastAsia="Arial Narrow" w:hint="default"/>
          <w:spacing w:val="14"/>
        </w:rPr>
        <w:t> </w:t>
      </w:r>
      <w:r>
        <w:rPr/>
        <w:t>月</w:t>
      </w:r>
      <w:r>
        <w:rPr>
          <w:spacing w:val="-49"/>
        </w:rPr>
        <w:t> </w:t>
      </w:r>
      <w:r>
        <w:rPr>
          <w:rFonts w:ascii="Arial Narrow" w:hAnsi="Arial Narrow" w:cs="Arial Narrow" w:eastAsia="Arial Narrow" w:hint="default"/>
        </w:rPr>
        <w:t>9</w:t>
      </w:r>
      <w:r>
        <w:rPr>
          <w:rFonts w:ascii="Arial Narrow" w:hAnsi="Arial Narrow" w:cs="Arial Narrow" w:eastAsia="Arial Narrow" w:hint="default"/>
          <w:spacing w:val="17"/>
        </w:rPr>
        <w:t> </w:t>
      </w:r>
      <w:r>
        <w:rPr/>
        <w:t>日前支</w:t>
      </w:r>
    </w:p>
    <w:p>
      <w:pPr>
        <w:pStyle w:val="BodyText"/>
        <w:spacing w:line="311" w:lineRule="exact"/>
        <w:ind w:left="502" w:right="0"/>
        <w:jc w:val="left"/>
      </w:pPr>
      <w:r>
        <w:rPr/>
        <w:t>付首次房款</w:t>
      </w:r>
      <w:r>
        <w:rPr>
          <w:spacing w:val="-63"/>
        </w:rPr>
        <w:t> </w:t>
      </w:r>
      <w:r>
        <w:rPr>
          <w:rFonts w:ascii="Arial Narrow" w:hAnsi="Arial Narrow" w:cs="Arial Narrow" w:eastAsia="Arial Narrow" w:hint="default"/>
        </w:rPr>
        <w:t>135,975,165.20</w:t>
      </w:r>
      <w:r>
        <w:rPr>
          <w:rFonts w:ascii="Arial Narrow" w:hAnsi="Arial Narrow" w:cs="Arial Narrow" w:eastAsia="Arial Narrow" w:hint="default"/>
          <w:spacing w:val="6"/>
        </w:rPr>
        <w:t> </w:t>
      </w:r>
      <w:r>
        <w:rPr/>
        <w:t>元，其中从超募资金帐户中支付</w:t>
      </w:r>
      <w:r>
        <w:rPr>
          <w:spacing w:val="-62"/>
        </w:rPr>
        <w:t> </w:t>
      </w:r>
      <w:r>
        <w:rPr>
          <w:rFonts w:ascii="Arial Narrow" w:hAnsi="Arial Narrow" w:cs="Arial Narrow" w:eastAsia="Arial Narrow" w:hint="default"/>
        </w:rPr>
        <w:t>8000</w:t>
      </w:r>
      <w:r>
        <w:rPr>
          <w:rFonts w:ascii="Arial Narrow" w:hAnsi="Arial Narrow" w:cs="Arial Narrow" w:eastAsia="Arial Narrow" w:hint="default"/>
          <w:spacing w:val="4"/>
        </w:rPr>
        <w:t> </w:t>
      </w:r>
      <w:r>
        <w:rPr/>
        <w:t>万元。</w:t>
      </w:r>
      <w:r>
        <w:rPr>
          <w:rFonts w:ascii="Arial Narrow" w:hAnsi="Arial Narrow" w:cs="Arial Narrow" w:eastAsia="Arial Narrow" w:hint="default"/>
        </w:rPr>
        <w:t>2012</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2</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8</w:t>
      </w:r>
      <w:r>
        <w:rPr>
          <w:rFonts w:ascii="Arial Narrow" w:hAnsi="Arial Narrow" w:cs="Arial Narrow" w:eastAsia="Arial Narrow" w:hint="default"/>
          <w:spacing w:val="4"/>
        </w:rPr>
        <w:t> </w:t>
      </w:r>
      <w:r>
        <w:rPr/>
        <w:t>日，</w:t>
      </w:r>
    </w:p>
    <w:p>
      <w:pPr>
        <w:pStyle w:val="BodyText"/>
        <w:spacing w:line="320" w:lineRule="exact"/>
        <w:ind w:left="502" w:right="0"/>
        <w:jc w:val="left"/>
      </w:pPr>
      <w:r>
        <w:rPr/>
        <w:t>公司支付了首次房款</w:t>
      </w:r>
      <w:r>
        <w:rPr>
          <w:spacing w:val="-63"/>
        </w:rPr>
        <w:t> </w:t>
      </w:r>
      <w:r>
        <w:rPr>
          <w:rFonts w:ascii="Arial Narrow" w:hAnsi="Arial Narrow" w:cs="Arial Narrow" w:eastAsia="Arial Narrow" w:hint="default"/>
        </w:rPr>
        <w:t>135,975,165.20</w:t>
      </w:r>
      <w:r>
        <w:rPr>
          <w:rFonts w:ascii="Arial Narrow" w:hAnsi="Arial Narrow" w:cs="Arial Narrow" w:eastAsia="Arial Narrow" w:hint="default"/>
          <w:spacing w:val="4"/>
        </w:rPr>
        <w:t> </w:t>
      </w:r>
      <w:r>
        <w:rPr/>
        <w:t>元，其中从超募资金帐户中支付</w:t>
      </w:r>
      <w:r>
        <w:rPr>
          <w:spacing w:val="-62"/>
        </w:rPr>
        <w:t> </w:t>
      </w:r>
      <w:r>
        <w:rPr>
          <w:rFonts w:ascii="Arial Narrow" w:hAnsi="Arial Narrow" w:cs="Arial Narrow" w:eastAsia="Arial Narrow" w:hint="default"/>
        </w:rPr>
        <w:t>8000</w:t>
      </w:r>
      <w:r>
        <w:rPr>
          <w:rFonts w:ascii="Arial Narrow" w:hAnsi="Arial Narrow" w:cs="Arial Narrow" w:eastAsia="Arial Narrow" w:hint="default"/>
          <w:spacing w:val="3"/>
        </w:rPr>
        <w:t> </w:t>
      </w:r>
      <w:r>
        <w:rPr/>
        <w:t>万元。</w:t>
      </w:r>
    </w:p>
    <w:p>
      <w:pPr>
        <w:pStyle w:val="BodyText"/>
        <w:spacing w:line="321" w:lineRule="exact" w:before="197"/>
        <w:ind w:left="142" w:right="0"/>
        <w:jc w:val="left"/>
      </w:pPr>
      <w:r>
        <w:rPr>
          <w:rFonts w:ascii="Arial Narrow" w:hAnsi="Arial Narrow" w:cs="Arial Narrow" w:eastAsia="Arial Narrow" w:hint="default"/>
        </w:rPr>
        <w:t>3</w:t>
      </w:r>
      <w:r>
        <w:rPr/>
        <w:t>、</w:t>
      </w:r>
      <w:r>
        <w:rPr>
          <w:rFonts w:ascii="Arial Narrow" w:hAnsi="Arial Narrow" w:cs="Arial Narrow" w:eastAsia="Arial Narrow" w:hint="default"/>
        </w:rPr>
        <w:t>2011</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9</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23</w:t>
      </w:r>
      <w:r>
        <w:rPr>
          <w:rFonts w:ascii="Arial Narrow" w:hAnsi="Arial Narrow" w:cs="Arial Narrow" w:eastAsia="Arial Narrow" w:hint="default"/>
          <w:spacing w:val="5"/>
        </w:rPr>
        <w:t> </w:t>
      </w:r>
      <w:r>
        <w:rPr>
          <w:spacing w:val="-3"/>
        </w:rPr>
        <w:t>日，公司第二届董事会第三次会议审议通过了《关于使用超募资金建设成</w:t>
      </w:r>
    </w:p>
    <w:p>
      <w:pPr>
        <w:pStyle w:val="BodyText"/>
        <w:spacing w:line="311" w:lineRule="exact"/>
        <w:ind w:left="502" w:right="0"/>
        <w:jc w:val="left"/>
      </w:pPr>
      <w:r>
        <w:rPr/>
        <w:t>都技术中心的议案</w:t>
      </w:r>
      <w:r>
        <w:rPr>
          <w:spacing w:val="-120"/>
        </w:rPr>
        <w:t>》</w:t>
      </w:r>
      <w:r>
        <w:rPr/>
        <w:t>，拟使用</w:t>
      </w:r>
      <w:r>
        <w:rPr>
          <w:spacing w:val="-27"/>
        </w:rPr>
        <w:t> </w:t>
      </w:r>
      <w:r>
        <w:rPr>
          <w:rFonts w:ascii="Arial Narrow" w:hAnsi="Arial Narrow" w:cs="Arial Narrow" w:eastAsia="Arial Narrow" w:hint="default"/>
        </w:rPr>
        <w:t>4,</w:t>
      </w:r>
      <w:r>
        <w:rPr>
          <w:rFonts w:ascii="Arial Narrow" w:hAnsi="Arial Narrow" w:cs="Arial Narrow" w:eastAsia="Arial Narrow" w:hint="default"/>
          <w:spacing w:val="1"/>
        </w:rPr>
        <w:t>1</w:t>
      </w:r>
      <w:r>
        <w:rPr>
          <w:rFonts w:ascii="Arial Narrow" w:hAnsi="Arial Narrow" w:cs="Arial Narrow" w:eastAsia="Arial Narrow" w:hint="default"/>
          <w:spacing w:val="-2"/>
        </w:rPr>
        <w:t>5</w:t>
      </w:r>
      <w:r>
        <w:rPr>
          <w:rFonts w:ascii="Arial Narrow" w:hAnsi="Arial Narrow" w:cs="Arial Narrow" w:eastAsia="Arial Narrow" w:hint="default"/>
        </w:rPr>
        <w:t>2</w:t>
      </w:r>
      <w:r>
        <w:rPr>
          <w:rFonts w:ascii="Arial Narrow" w:hAnsi="Arial Narrow" w:cs="Arial Narrow" w:eastAsia="Arial Narrow" w:hint="default"/>
          <w:spacing w:val="1"/>
        </w:rPr>
        <w:t>.</w:t>
      </w:r>
      <w:r>
        <w:rPr>
          <w:rFonts w:ascii="Arial Narrow" w:hAnsi="Arial Narrow" w:cs="Arial Narrow" w:eastAsia="Arial Narrow" w:hint="default"/>
        </w:rPr>
        <w:t>5 </w:t>
      </w:r>
      <w:r>
        <w:rPr>
          <w:rFonts w:ascii="Arial Narrow" w:hAnsi="Arial Narrow" w:cs="Arial Narrow" w:eastAsia="Arial Narrow" w:hint="default"/>
          <w:spacing w:val="-15"/>
        </w:rPr>
        <w:t> </w:t>
      </w:r>
      <w:r>
        <w:rPr/>
        <w:t>万元</w:t>
      </w:r>
      <w:r>
        <w:rPr>
          <w:spacing w:val="-3"/>
        </w:rPr>
        <w:t>超</w:t>
      </w:r>
      <w:r>
        <w:rPr/>
        <w:t>募资金建设成都技术中心。成都技术中心建</w:t>
      </w:r>
    </w:p>
    <w:p>
      <w:pPr>
        <w:pStyle w:val="BodyText"/>
        <w:spacing w:line="311" w:lineRule="exact"/>
        <w:ind w:left="502" w:right="0"/>
        <w:jc w:val="left"/>
        <w:rPr>
          <w:rFonts w:ascii="Arial Narrow" w:hAnsi="Arial Narrow" w:cs="Arial Narrow" w:eastAsia="Arial Narrow" w:hint="default"/>
        </w:rPr>
      </w:pPr>
      <w:r>
        <w:rPr/>
        <w:t>设项目已经签署相关办公房购置协议。</w:t>
      </w:r>
      <w:r>
        <w:rPr>
          <w:rFonts w:ascii="Arial Narrow" w:hAnsi="Arial Narrow" w:cs="Arial Narrow" w:eastAsia="Arial Narrow" w:hint="default"/>
        </w:rPr>
        <w:t>2012</w:t>
      </w:r>
      <w:r>
        <w:rPr>
          <w:rFonts w:ascii="Arial Narrow" w:hAnsi="Arial Narrow" w:cs="Arial Narrow" w:eastAsia="Arial Narrow" w:hint="default"/>
          <w:spacing w:val="8"/>
        </w:rPr>
        <w:t> </w:t>
      </w:r>
      <w:r>
        <w:rPr/>
        <w:t>年</w:t>
      </w:r>
      <w:r>
        <w:rPr>
          <w:spacing w:val="-57"/>
        </w:rPr>
        <w:t> </w:t>
      </w:r>
      <w:r>
        <w:rPr>
          <w:rFonts w:ascii="Arial Narrow" w:hAnsi="Arial Narrow" w:cs="Arial Narrow" w:eastAsia="Arial Narrow" w:hint="default"/>
        </w:rPr>
        <w:t>1</w:t>
      </w:r>
      <w:r>
        <w:rPr>
          <w:rFonts w:ascii="Arial Narrow" w:hAnsi="Arial Narrow" w:cs="Arial Narrow" w:eastAsia="Arial Narrow" w:hint="default"/>
          <w:spacing w:val="10"/>
        </w:rPr>
        <w:t> </w:t>
      </w:r>
      <w:r>
        <w:rPr/>
        <w:t>月</w:t>
      </w:r>
      <w:r>
        <w:rPr>
          <w:spacing w:val="-57"/>
        </w:rPr>
        <w:t> </w:t>
      </w:r>
      <w:r>
        <w:rPr>
          <w:rFonts w:ascii="Arial Narrow" w:hAnsi="Arial Narrow" w:cs="Arial Narrow" w:eastAsia="Arial Narrow" w:hint="default"/>
          <w:spacing w:val="-7"/>
        </w:rPr>
        <w:t>11</w:t>
      </w:r>
      <w:r>
        <w:rPr>
          <w:rFonts w:ascii="Arial Narrow" w:hAnsi="Arial Narrow" w:cs="Arial Narrow" w:eastAsia="Arial Narrow" w:hint="default"/>
          <w:spacing w:val="10"/>
        </w:rPr>
        <w:t> </w:t>
      </w:r>
      <w:r>
        <w:rPr/>
        <w:t>日，公司支付了房款</w:t>
      </w:r>
      <w:r>
        <w:rPr>
          <w:spacing w:val="-56"/>
        </w:rPr>
        <w:t> </w:t>
      </w:r>
      <w:r>
        <w:rPr>
          <w:rFonts w:ascii="Arial Narrow" w:hAnsi="Arial Narrow" w:cs="Arial Narrow" w:eastAsia="Arial Narrow" w:hint="default"/>
        </w:rPr>
        <w:t>14,952,665.60</w:t>
      </w:r>
    </w:p>
    <w:p>
      <w:pPr>
        <w:pStyle w:val="BodyText"/>
        <w:spacing w:line="305" w:lineRule="exact"/>
        <w:ind w:left="502" w:right="0"/>
        <w:jc w:val="left"/>
      </w:pPr>
      <w:r>
        <w:rPr/>
        <w:t>元。</w:t>
      </w:r>
    </w:p>
    <w:p>
      <w:pPr>
        <w:pStyle w:val="BodyText"/>
        <w:spacing w:line="381" w:lineRule="auto" w:before="214"/>
        <w:ind w:left="142" w:right="1620"/>
        <w:jc w:val="left"/>
        <w:rPr>
          <w:rFonts w:ascii="宋体" w:hAnsi="宋体" w:cs="宋体" w:eastAsia="宋体" w:hint="default"/>
        </w:rPr>
      </w:pPr>
      <w:r>
        <w:rPr>
          <w:rFonts w:ascii="Arial Narrow" w:hAnsi="Arial Narrow" w:cs="Arial Narrow" w:eastAsia="Arial Narrow" w:hint="default"/>
        </w:rPr>
        <w:t>4</w:t>
      </w:r>
      <w:r>
        <w:rPr/>
        <w:t>、截至</w:t>
      </w:r>
      <w:r>
        <w:rPr>
          <w:spacing w:val="-62"/>
        </w:rPr>
        <w:t> </w:t>
      </w:r>
      <w:r>
        <w:rPr>
          <w:rFonts w:ascii="Arial Narrow" w:hAnsi="Arial Narrow" w:cs="Arial Narrow" w:eastAsia="Arial Narrow" w:hint="default"/>
        </w:rPr>
        <w:t>2012</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9</w:t>
      </w:r>
      <w:r>
        <w:rPr>
          <w:rFonts w:ascii="Arial Narrow" w:hAnsi="Arial Narrow" w:cs="Arial Narrow" w:eastAsia="Arial Narrow" w:hint="default"/>
          <w:spacing w:val="3"/>
        </w:rPr>
        <w:t> </w:t>
      </w:r>
      <w:r>
        <w:rPr/>
        <w:t>日，本公司不存在其他应披露的资产负债表日后事项。 </w:t>
      </w:r>
      <w:r>
        <w:rPr>
          <w:rFonts w:ascii="宋体" w:hAnsi="宋体" w:cs="宋体" w:eastAsia="宋体" w:hint="default"/>
          <w:b/>
          <w:bCs/>
        </w:rPr>
        <w:t>十一、其他重要事项</w:t>
      </w:r>
      <w:r>
        <w:rPr>
          <w:rFonts w:ascii="宋体" w:hAnsi="宋体" w:cs="宋体" w:eastAsia="宋体" w:hint="default"/>
        </w:rPr>
      </w:r>
    </w:p>
    <w:p>
      <w:pPr>
        <w:spacing w:line="384" w:lineRule="auto" w:before="72"/>
        <w:ind w:left="142" w:right="2544" w:firstLine="420"/>
        <w:jc w:val="left"/>
        <w:rPr>
          <w:rFonts w:ascii="宋体" w:hAnsi="宋体" w:cs="宋体" w:eastAsia="宋体" w:hint="default"/>
          <w:sz w:val="24"/>
          <w:szCs w:val="24"/>
        </w:rPr>
      </w:pPr>
      <w:r>
        <w:rPr>
          <w:rFonts w:ascii="宋体" w:hAnsi="宋体" w:cs="宋体" w:eastAsia="宋体" w:hint="default"/>
          <w:sz w:val="24"/>
          <w:szCs w:val="24"/>
        </w:rPr>
        <w:t>截至</w:t>
      </w:r>
      <w:r>
        <w:rPr>
          <w:rFonts w:ascii="宋体" w:hAnsi="宋体" w:cs="宋体" w:eastAsia="宋体" w:hint="default"/>
          <w:spacing w:val="-62"/>
          <w:sz w:val="24"/>
          <w:szCs w:val="24"/>
        </w:rPr>
        <w:t> </w:t>
      </w:r>
      <w:r>
        <w:rPr>
          <w:rFonts w:ascii="Arial Narrow" w:hAnsi="Arial Narrow" w:cs="Arial Narrow" w:eastAsia="Arial Narrow" w:hint="default"/>
          <w:spacing w:val="-4"/>
          <w:sz w:val="24"/>
          <w:szCs w:val="24"/>
        </w:rPr>
        <w:t>2011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Narrow" w:hAnsi="Arial Narrow" w:cs="Arial Narrow" w:eastAsia="Arial Narrow" w:hint="default"/>
          <w:sz w:val="24"/>
          <w:szCs w:val="24"/>
        </w:rPr>
        <w:t>12</w:t>
      </w:r>
      <w:r>
        <w:rPr>
          <w:rFonts w:ascii="Arial Narrow" w:hAnsi="Arial Narrow" w:cs="Arial Narrow" w:eastAsia="Arial Narrow"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Narrow" w:hAnsi="Arial Narrow" w:cs="Arial Narrow" w:eastAsia="Arial Narrow" w:hint="default"/>
          <w:sz w:val="24"/>
          <w:szCs w:val="24"/>
        </w:rPr>
        <w:t>31</w:t>
      </w:r>
      <w:r>
        <w:rPr>
          <w:rFonts w:ascii="Arial Narrow" w:hAnsi="Arial Narrow" w:cs="Arial Narrow" w:eastAsia="Arial Narrow" w:hint="default"/>
          <w:spacing w:val="5"/>
          <w:sz w:val="24"/>
          <w:szCs w:val="24"/>
        </w:rPr>
        <w:t> </w:t>
      </w:r>
      <w:r>
        <w:rPr>
          <w:rFonts w:ascii="宋体" w:hAnsi="宋体" w:cs="宋体" w:eastAsia="宋体" w:hint="default"/>
          <w:sz w:val="24"/>
          <w:szCs w:val="24"/>
        </w:rPr>
        <w:t>日，本公司不存在应披露的其他重要事项。 </w:t>
      </w:r>
      <w:r>
        <w:rPr>
          <w:rFonts w:ascii="宋体" w:hAnsi="宋体" w:cs="宋体" w:eastAsia="宋体" w:hint="default"/>
          <w:b/>
          <w:bCs/>
          <w:sz w:val="24"/>
          <w:szCs w:val="24"/>
        </w:rPr>
        <w:t>十二、母公司财务报表主要项目注释</w:t>
      </w:r>
      <w:r>
        <w:rPr>
          <w:rFonts w:ascii="宋体" w:hAnsi="宋体" w:cs="宋体" w:eastAsia="宋体" w:hint="default"/>
          <w:sz w:val="24"/>
          <w:szCs w:val="24"/>
        </w:rPr>
      </w:r>
    </w:p>
    <w:p>
      <w:pPr>
        <w:pStyle w:val="BodyText"/>
        <w:spacing w:line="240" w:lineRule="auto" w:before="67"/>
        <w:ind w:left="142" w:right="0"/>
        <w:jc w:val="left"/>
      </w:pPr>
      <w:r>
        <w:rPr>
          <w:rFonts w:ascii="Arial Narrow" w:hAnsi="Arial Narrow" w:cs="Arial Narrow" w:eastAsia="Arial Narrow" w:hint="default"/>
        </w:rPr>
        <w:t>1</w:t>
      </w:r>
      <w:r>
        <w:rPr/>
        <w:t>、应收账款</w:t>
      </w:r>
    </w:p>
    <w:p>
      <w:pPr>
        <w:pStyle w:val="BodyText"/>
        <w:spacing w:line="240" w:lineRule="auto" w:before="197"/>
        <w:ind w:left="559" w:right="0"/>
        <w:jc w:val="left"/>
      </w:pPr>
      <w:r>
        <w:rPr/>
        <w:t>（</w:t>
      </w:r>
      <w:r>
        <w:rPr>
          <w:rFonts w:ascii="Arial Narrow" w:hAnsi="Arial Narrow" w:cs="Arial Narrow" w:eastAsia="Arial Narrow" w:hint="default"/>
        </w:rPr>
        <w:t>1</w:t>
      </w:r>
      <w:r>
        <w:rPr/>
        <w:t>）应收账款按种类披露</w:t>
      </w:r>
    </w:p>
    <w:p>
      <w:pPr>
        <w:spacing w:line="240" w:lineRule="auto" w:before="2"/>
        <w:rPr>
          <w:rFonts w:ascii="宋体" w:hAnsi="宋体" w:cs="宋体" w:eastAsia="宋体" w:hint="default"/>
          <w:sz w:val="18"/>
          <w:szCs w:val="18"/>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59.7pt;height:1pt;mso-position-horizontal-relative:char;mso-position-vertical-relative:line" coordorigin="0,0" coordsize="9194,20">
            <v:group style="position:absolute;left:10;top:10;width:2581;height:2" coordorigin="10,10" coordsize="2581,2">
              <v:shape style="position:absolute;left:10;top:10;width:2581;height:2" coordorigin="10,10" coordsize="2581,0" path="m10,10l2590,10e" filled="false" stroked="true" strokeweight=".95999pt" strokecolor="#000000">
                <v:path arrowok="t"/>
              </v:shape>
            </v:group>
            <v:group style="position:absolute;left:2590;top:10;width:20;height:2" coordorigin="2590,10" coordsize="20,2">
              <v:shape style="position:absolute;left:2590;top:10;width:20;height:2" coordorigin="2590,10" coordsize="20,0" path="m2590,10l2609,10e" filled="false" stroked="true" strokeweight=".95999pt" strokecolor="#000000">
                <v:path arrowok="t"/>
              </v:shape>
            </v:group>
            <v:group style="position:absolute;left:2609;top:10;width:6575;height:2" coordorigin="2609,10" coordsize="6575,2">
              <v:shape style="position:absolute;left:2609;top:10;width:6575;height:2" coordorigin="2609,10" coordsize="6575,0" path="m2609,10l9184,10e" filled="false" stroked="true" strokeweight=".95999pt" strokecolor="#000000">
                <v:path arrowok="t"/>
              </v:shape>
            </v:group>
          </v:group>
        </w:pict>
      </w:r>
      <w:r>
        <w:rPr>
          <w:rFonts w:ascii="宋体" w:hAnsi="宋体" w:cs="宋体" w:eastAsia="宋体" w:hint="default"/>
          <w:sz w:val="2"/>
          <w:szCs w:val="2"/>
        </w:rPr>
      </w:r>
    </w:p>
    <w:p>
      <w:pPr>
        <w:spacing w:line="237" w:lineRule="exact" w:before="18"/>
        <w:ind w:left="6013" w:right="0" w:firstLine="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tabs>
          <w:tab w:pos="984" w:val="left" w:leader="none"/>
        </w:tabs>
        <w:spacing w:line="237" w:lineRule="exact" w:before="0"/>
        <w:ind w:left="562" w:right="0" w:firstLine="0"/>
        <w:jc w:val="left"/>
        <w:rPr>
          <w:rFonts w:ascii="宋体" w:hAnsi="宋体" w:cs="宋体" w:eastAsia="宋体" w:hint="default"/>
          <w:sz w:val="21"/>
          <w:szCs w:val="21"/>
        </w:rPr>
      </w:pPr>
      <w:r>
        <w:rPr/>
        <w:pict>
          <v:shape style="position:absolute;margin-left:79.704002pt;margin-top:10.658562pt;width:458.75pt;height:148.3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59"/>
                    <w:gridCol w:w="1384"/>
                    <w:gridCol w:w="1913"/>
                    <w:gridCol w:w="1219"/>
                  </w:tblGrid>
                  <w:tr>
                    <w:trPr>
                      <w:trHeight w:val="311" w:hRule="exact"/>
                    </w:trPr>
                    <w:tc>
                      <w:tcPr>
                        <w:tcW w:w="4659" w:type="dxa"/>
                        <w:tcBorders>
                          <w:top w:val="nil" w:sz="6" w:space="0" w:color="auto"/>
                          <w:left w:val="nil" w:sz="6" w:space="0" w:color="auto"/>
                          <w:bottom w:val="single" w:sz="4" w:space="0" w:color="000000"/>
                          <w:right w:val="nil" w:sz="6" w:space="0" w:color="auto"/>
                        </w:tcBorders>
                      </w:tcPr>
                      <w:p>
                        <w:pPr>
                          <w:pStyle w:val="TableParagraph"/>
                          <w:spacing w:line="211" w:lineRule="exact"/>
                          <w:ind w:right="535"/>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226" w:lineRule="exact"/>
                          <w:ind w:right="270"/>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13" w:type="dxa"/>
                        <w:tcBorders>
                          <w:top w:val="nil" w:sz="6" w:space="0" w:color="auto"/>
                          <w:left w:val="nil" w:sz="6" w:space="0" w:color="auto"/>
                          <w:bottom w:val="single" w:sz="4" w:space="0" w:color="000000"/>
                          <w:right w:val="nil" w:sz="6" w:space="0" w:color="auto"/>
                        </w:tcBorders>
                      </w:tcPr>
                      <w:p>
                        <w:pPr>
                          <w:pStyle w:val="TableParagraph"/>
                          <w:spacing w:line="211" w:lineRule="exact"/>
                          <w:ind w:right="53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19" w:type="dxa"/>
                        <w:tcBorders>
                          <w:top w:val="nil" w:sz="6" w:space="0" w:color="auto"/>
                          <w:left w:val="nil" w:sz="6" w:space="0" w:color="auto"/>
                          <w:bottom w:val="single" w:sz="4" w:space="0" w:color="000000"/>
                          <w:right w:val="nil" w:sz="6" w:space="0" w:color="auto"/>
                        </w:tcBorders>
                      </w:tcPr>
                      <w:p>
                        <w:pPr>
                          <w:pStyle w:val="TableParagraph"/>
                          <w:spacing w:line="226" w:lineRule="exact"/>
                          <w:ind w:right="103"/>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621" w:hRule="exact"/>
                    </w:trPr>
                    <w:tc>
                      <w:tcPr>
                        <w:tcW w:w="4659" w:type="dxa"/>
                        <w:tcBorders>
                          <w:top w:val="single" w:sz="4" w:space="0" w:color="000000"/>
                          <w:left w:val="nil" w:sz="6" w:space="0" w:color="auto"/>
                          <w:bottom w:val="nil" w:sz="6" w:space="0" w:color="auto"/>
                          <w:right w:val="nil" w:sz="6" w:space="0" w:color="auto"/>
                        </w:tcBorders>
                      </w:tcPr>
                      <w:p>
                        <w:pPr>
                          <w:pStyle w:val="TableParagraph"/>
                          <w:tabs>
                            <w:tab w:pos="4056" w:val="left" w:leader="none"/>
                          </w:tabs>
                          <w:spacing w:line="141" w:lineRule="auto" w:before="95"/>
                          <w:ind w:left="108" w:right="534"/>
                          <w:jc w:val="left"/>
                          <w:rPr>
                            <w:rFonts w:ascii="Arial Narrow" w:hAnsi="Arial Narrow" w:cs="Arial Narrow" w:eastAsia="Arial Narrow" w:hint="default"/>
                            <w:sz w:val="24"/>
                            <w:szCs w:val="24"/>
                          </w:rPr>
                        </w:pPr>
                        <w:r>
                          <w:rPr>
                            <w:rFonts w:ascii="宋体" w:hAnsi="宋体" w:cs="宋体" w:eastAsia="宋体" w:hint="default"/>
                            <w:spacing w:val="2"/>
                            <w:sz w:val="21"/>
                            <w:szCs w:val="21"/>
                          </w:rPr>
                          <w:t>单项金额重大并单项计提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坏账准备的应收账款</w:t>
                          <w:tab/>
                        </w:r>
                        <w:r>
                          <w:rPr>
                            <w:rFonts w:ascii="Arial Narrow" w:hAnsi="Arial Narrow" w:cs="Arial Narrow" w:eastAsia="Arial Narrow" w:hint="default"/>
                            <w:position w:val="13"/>
                            <w:sz w:val="24"/>
                            <w:szCs w:val="24"/>
                          </w:rPr>
                          <w:t>-</w:t>
                        </w:r>
                        <w:r>
                          <w:rPr>
                            <w:rFonts w:ascii="Arial Narrow" w:hAnsi="Arial Narrow" w:cs="Arial Narrow" w:eastAsia="Arial Narrow" w:hint="default"/>
                            <w:sz w:val="24"/>
                            <w:szCs w:val="24"/>
                          </w:rPr>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272"/>
                          <w:jc w:val="right"/>
                          <w:rPr>
                            <w:rFonts w:ascii="Arial Narrow" w:hAnsi="Arial Narrow" w:cs="Arial Narrow" w:eastAsia="Arial Narrow" w:hint="default"/>
                            <w:sz w:val="24"/>
                            <w:szCs w:val="24"/>
                          </w:rPr>
                        </w:pPr>
                        <w:r>
                          <w:rPr>
                            <w:rFonts w:ascii="Arial Narrow"/>
                            <w:sz w:val="24"/>
                          </w:rPr>
                          <w:t>-</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535"/>
                          <w:jc w:val="right"/>
                          <w:rPr>
                            <w:rFonts w:ascii="Arial Narrow" w:hAnsi="Arial Narrow" w:cs="Arial Narrow" w:eastAsia="Arial Narrow" w:hint="default"/>
                            <w:sz w:val="24"/>
                            <w:szCs w:val="24"/>
                          </w:rPr>
                        </w:pPr>
                        <w:r>
                          <w:rPr>
                            <w:rFonts w:ascii="Arial Narrow"/>
                            <w:sz w:val="24"/>
                          </w:rPr>
                          <w:t>-</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156"/>
                          <w:ind w:right="105"/>
                          <w:jc w:val="right"/>
                          <w:rPr>
                            <w:rFonts w:ascii="Arial Narrow" w:hAnsi="Arial Narrow" w:cs="Arial Narrow" w:eastAsia="Arial Narrow" w:hint="default"/>
                            <w:sz w:val="24"/>
                            <w:szCs w:val="24"/>
                          </w:rPr>
                        </w:pPr>
                        <w:r>
                          <w:rPr>
                            <w:rFonts w:ascii="Arial Narrow"/>
                            <w:sz w:val="24"/>
                          </w:rPr>
                          <w:t>-</w:t>
                        </w:r>
                      </w:p>
                    </w:tc>
                  </w:tr>
                  <w:tr>
                    <w:trPr>
                      <w:trHeight w:val="548" w:hRule="exact"/>
                    </w:trPr>
                    <w:tc>
                      <w:tcPr>
                        <w:tcW w:w="4659" w:type="dxa"/>
                        <w:tcBorders>
                          <w:top w:val="nil" w:sz="6" w:space="0" w:color="auto"/>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按组合计提坏账准备的应</w:t>
                        </w:r>
                      </w:p>
                      <w:p>
                        <w:pPr>
                          <w:pStyle w:val="TableParagraph"/>
                          <w:tabs>
                            <w:tab w:pos="2923" w:val="left" w:leader="none"/>
                          </w:tabs>
                          <w:spacing w:line="319"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收账款</w:t>
                          <w:tab/>
                        </w:r>
                        <w:r>
                          <w:rPr>
                            <w:rFonts w:ascii="Arial Narrow" w:hAnsi="Arial Narrow" w:cs="Arial Narrow" w:eastAsia="Arial Narrow" w:hint="default"/>
                            <w:sz w:val="21"/>
                            <w:szCs w:val="21"/>
                          </w:rPr>
                          <w:t>148,137,372.00</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270"/>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535"/>
                          <w:jc w:val="right"/>
                          <w:rPr>
                            <w:rFonts w:ascii="Arial Narrow" w:hAnsi="Arial Narrow" w:cs="Arial Narrow" w:eastAsia="Arial Narrow" w:hint="default"/>
                            <w:sz w:val="21"/>
                            <w:szCs w:val="21"/>
                          </w:rPr>
                        </w:pPr>
                        <w:r>
                          <w:rPr>
                            <w:rFonts w:ascii="Arial Narrow"/>
                            <w:spacing w:val="-1"/>
                            <w:sz w:val="21"/>
                          </w:rPr>
                          <w:t>27,298,816.87</w:t>
                        </w:r>
                        <w:r>
                          <w:rPr>
                            <w:rFonts w:ascii="Arial Narrow"/>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06"/>
                          <w:jc w:val="right"/>
                          <w:rPr>
                            <w:rFonts w:ascii="Arial Narrow" w:hAnsi="Arial Narrow" w:cs="Arial Narrow" w:eastAsia="Arial Narrow" w:hint="default"/>
                            <w:sz w:val="21"/>
                            <w:szCs w:val="21"/>
                          </w:rPr>
                        </w:pPr>
                        <w:r>
                          <w:rPr>
                            <w:rFonts w:ascii="Arial Narrow"/>
                            <w:spacing w:val="-1"/>
                            <w:sz w:val="21"/>
                          </w:rPr>
                          <w:t>18.43</w:t>
                        </w:r>
                        <w:r>
                          <w:rPr>
                            <w:rFonts w:ascii="Arial Narrow"/>
                            <w:sz w:val="21"/>
                          </w:rPr>
                        </w:r>
                      </w:p>
                    </w:tc>
                  </w:tr>
                  <w:tr>
                    <w:trPr>
                      <w:trHeight w:val="504" w:hRule="exact"/>
                    </w:trPr>
                    <w:tc>
                      <w:tcPr>
                        <w:tcW w:w="4659" w:type="dxa"/>
                        <w:tcBorders>
                          <w:top w:val="nil" w:sz="6" w:space="0" w:color="auto"/>
                          <w:left w:val="nil" w:sz="6" w:space="0" w:color="auto"/>
                          <w:bottom w:val="nil" w:sz="6" w:space="0" w:color="auto"/>
                          <w:right w:val="nil" w:sz="6" w:space="0" w:color="auto"/>
                        </w:tcBorders>
                      </w:tcPr>
                      <w:p>
                        <w:pPr>
                          <w:pStyle w:val="TableParagraph"/>
                          <w:tabs>
                            <w:tab w:pos="2815" w:val="left" w:leader="none"/>
                          </w:tabs>
                          <w:spacing w:line="240" w:lineRule="auto" w:before="78"/>
                          <w:ind w:right="533"/>
                          <w:jc w:val="right"/>
                          <w:rPr>
                            <w:rFonts w:ascii="Arial Narrow" w:hAnsi="Arial Narrow" w:cs="Arial Narrow" w:eastAsia="Arial Narrow" w:hint="default"/>
                            <w:sz w:val="21"/>
                            <w:szCs w:val="21"/>
                          </w:rPr>
                        </w:pPr>
                        <w:r>
                          <w:rPr>
                            <w:rFonts w:ascii="宋体" w:hAnsi="宋体" w:cs="宋体" w:eastAsia="宋体" w:hint="default"/>
                            <w:spacing w:val="-1"/>
                            <w:sz w:val="21"/>
                            <w:szCs w:val="21"/>
                          </w:rPr>
                          <w:t>其中：账龄组合</w:t>
                          <w:tab/>
                        </w:r>
                        <w:r>
                          <w:rPr>
                            <w:rFonts w:ascii="Arial Narrow" w:hAnsi="Arial Narrow" w:cs="Arial Narrow" w:eastAsia="Arial Narrow" w:hint="default"/>
                            <w:spacing w:val="-1"/>
                            <w:sz w:val="21"/>
                            <w:szCs w:val="21"/>
                          </w:rPr>
                          <w:t>148,137,372.00</w:t>
                        </w:r>
                        <w:r>
                          <w:rPr>
                            <w:rFonts w:ascii="Arial Narrow" w:hAnsi="Arial Narrow" w:cs="Arial Narrow" w:eastAsia="Arial Narrow" w:hint="default"/>
                            <w:sz w:val="21"/>
                            <w:szCs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70"/>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35"/>
                          <w:jc w:val="right"/>
                          <w:rPr>
                            <w:rFonts w:ascii="Arial Narrow" w:hAnsi="Arial Narrow" w:cs="Arial Narrow" w:eastAsia="Arial Narrow" w:hint="default"/>
                            <w:sz w:val="21"/>
                            <w:szCs w:val="21"/>
                          </w:rPr>
                        </w:pPr>
                        <w:r>
                          <w:rPr>
                            <w:rFonts w:ascii="Arial Narrow"/>
                            <w:spacing w:val="-1"/>
                            <w:sz w:val="21"/>
                          </w:rPr>
                          <w:t>27,298,816.87</w:t>
                        </w:r>
                        <w:r>
                          <w:rPr>
                            <w:rFonts w:ascii="Arial Narrow"/>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spacing w:val="-1"/>
                            <w:sz w:val="21"/>
                          </w:rPr>
                          <w:t>18.43</w:t>
                        </w:r>
                        <w:r>
                          <w:rPr>
                            <w:rFonts w:ascii="Arial Narrow"/>
                            <w:sz w:val="21"/>
                          </w:rPr>
                        </w:r>
                      </w:p>
                    </w:tc>
                  </w:tr>
                  <w:tr>
                    <w:trPr>
                      <w:trHeight w:val="559" w:hRule="exact"/>
                    </w:trPr>
                    <w:tc>
                      <w:tcPr>
                        <w:tcW w:w="4659" w:type="dxa"/>
                        <w:tcBorders>
                          <w:top w:val="nil" w:sz="6" w:space="0" w:color="auto"/>
                          <w:left w:val="nil" w:sz="6" w:space="0" w:color="auto"/>
                          <w:bottom w:val="single" w:sz="4" w:space="0" w:color="000000"/>
                          <w:right w:val="nil" w:sz="6" w:space="0" w:color="auto"/>
                        </w:tcBorders>
                      </w:tcPr>
                      <w:p>
                        <w:pPr>
                          <w:pStyle w:val="TableParagraph"/>
                          <w:tabs>
                            <w:tab w:pos="4063" w:val="left" w:leader="none"/>
                          </w:tabs>
                          <w:spacing w:line="158" w:lineRule="auto" w:before="25"/>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单项金额虽不重大但单项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计提坏账准备的应收账款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272"/>
                          <w:jc w:val="right"/>
                          <w:rPr>
                            <w:rFonts w:ascii="Arial Narrow" w:hAnsi="Arial Narrow" w:cs="Arial Narrow" w:eastAsia="Arial Narrow" w:hint="default"/>
                            <w:sz w:val="21"/>
                            <w:szCs w:val="21"/>
                          </w:rPr>
                        </w:pPr>
                        <w:r>
                          <w:rPr>
                            <w:rFonts w:ascii="Arial Narrow"/>
                            <w:w w:val="100"/>
                            <w:sz w:val="21"/>
                          </w:rPr>
                          <w:t>-</w:t>
                        </w: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536"/>
                          <w:jc w:val="right"/>
                          <w:rPr>
                            <w:rFonts w:ascii="Arial Narrow" w:hAnsi="Arial Narrow" w:cs="Arial Narrow" w:eastAsia="Arial Narrow" w:hint="default"/>
                            <w:sz w:val="21"/>
                            <w:szCs w:val="21"/>
                          </w:rPr>
                        </w:pPr>
                        <w:r>
                          <w:rPr>
                            <w:rFonts w:ascii="Arial Narrow"/>
                            <w:w w:val="100"/>
                            <w:sz w:val="21"/>
                          </w:rPr>
                          <w:t>-</w:t>
                        </w: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w w:val="100"/>
                            <w:sz w:val="21"/>
                          </w:rPr>
                          <w:t>-</w:t>
                        </w:r>
                      </w:p>
                    </w:tc>
                  </w:tr>
                  <w:tr>
                    <w:trPr>
                      <w:trHeight w:val="403" w:hRule="exact"/>
                    </w:trPr>
                    <w:tc>
                      <w:tcPr>
                        <w:tcW w:w="4659"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2815" w:val="left" w:leader="none"/>
                          </w:tabs>
                          <w:spacing w:line="240" w:lineRule="auto" w:before="23"/>
                          <w:ind w:right="533"/>
                          <w:jc w:val="right"/>
                          <w:rPr>
                            <w:rFonts w:ascii="Arial Narrow" w:hAnsi="Arial Narrow" w:cs="Arial Narrow" w:eastAsia="Arial Narrow" w:hint="default"/>
                            <w:sz w:val="21"/>
                            <w:szCs w:val="21"/>
                          </w:rPr>
                        </w:pPr>
                        <w:r>
                          <w:rPr>
                            <w:rFonts w:ascii="宋体" w:hAnsi="宋体" w:cs="宋体" w:eastAsia="宋体" w:hint="default"/>
                            <w:b/>
                            <w:bCs/>
                            <w:sz w:val="21"/>
                            <w:szCs w:val="21"/>
                          </w:rPr>
                          <w:t>合</w:t>
                          <w:tab/>
                          <w:t>计</w:t>
                          <w:tab/>
                        </w:r>
                        <w:r>
                          <w:rPr>
                            <w:rFonts w:ascii="Arial Narrow" w:hAnsi="Arial Narrow" w:cs="Arial Narrow" w:eastAsia="Arial Narrow" w:hint="default"/>
                            <w:b/>
                            <w:bCs/>
                            <w:spacing w:val="-1"/>
                            <w:sz w:val="21"/>
                            <w:szCs w:val="21"/>
                          </w:rPr>
                          <w:t>148,137,372.00</w:t>
                        </w:r>
                        <w:r>
                          <w:rPr>
                            <w:rFonts w:ascii="Arial Narrow" w:hAnsi="Arial Narrow" w:cs="Arial Narrow" w:eastAsia="Arial Narrow" w:hint="default"/>
                            <w:sz w:val="21"/>
                            <w:szCs w:val="21"/>
                          </w:rPr>
                        </w:r>
                      </w:p>
                    </w:tc>
                    <w:tc>
                      <w:tcPr>
                        <w:tcW w:w="1384"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270"/>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913"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535"/>
                          <w:jc w:val="right"/>
                          <w:rPr>
                            <w:rFonts w:ascii="Arial Narrow" w:hAnsi="Arial Narrow" w:cs="Arial Narrow" w:eastAsia="Arial Narrow" w:hint="default"/>
                            <w:sz w:val="21"/>
                            <w:szCs w:val="21"/>
                          </w:rPr>
                        </w:pPr>
                        <w:r>
                          <w:rPr>
                            <w:rFonts w:ascii="Arial Narrow"/>
                            <w:b/>
                            <w:spacing w:val="-1"/>
                            <w:sz w:val="21"/>
                          </w:rPr>
                          <w:t>27,298,816.87</w:t>
                        </w:r>
                        <w:r>
                          <w:rPr>
                            <w:rFonts w:ascii="Arial Narrow"/>
                            <w:sz w:val="21"/>
                          </w:rPr>
                        </w:r>
                      </w:p>
                    </w:tc>
                    <w:tc>
                      <w:tcPr>
                        <w:tcW w:w="1219"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06"/>
                          <w:jc w:val="right"/>
                          <w:rPr>
                            <w:rFonts w:ascii="Arial Narrow" w:hAnsi="Arial Narrow" w:cs="Arial Narrow" w:eastAsia="Arial Narrow" w:hint="default"/>
                            <w:sz w:val="21"/>
                            <w:szCs w:val="21"/>
                          </w:rPr>
                        </w:pPr>
                        <w:r>
                          <w:rPr>
                            <w:rFonts w:ascii="Arial Narrow"/>
                            <w:b/>
                            <w:spacing w:val="-1"/>
                            <w:sz w:val="21"/>
                          </w:rPr>
                          <w:t>18.43</w:t>
                        </w:r>
                        <w:r>
                          <w:rPr>
                            <w:rFonts w:ascii="Arial Narrow"/>
                            <w:sz w:val="21"/>
                          </w:rPr>
                        </w:r>
                      </w:p>
                    </w:tc>
                  </w:tr>
                </w:tbl>
                <w:p>
                  <w:pPr/>
                </w:p>
              </w:txbxContent>
            </v:textbox>
            <w10:wrap type="none"/>
          </v:shape>
        </w:pict>
      </w:r>
      <w:r>
        <w:rPr>
          <w:rFonts w:ascii="宋体" w:hAnsi="宋体" w:cs="宋体" w:eastAsia="宋体" w:hint="default"/>
          <w:b/>
          <w:bCs/>
          <w:sz w:val="21"/>
          <w:szCs w:val="21"/>
        </w:rPr>
        <w:t>种</w:t>
        <w:tab/>
        <w:t>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BodyText"/>
        <w:spacing w:line="240" w:lineRule="auto" w:before="26"/>
        <w:ind w:left="562" w:right="0"/>
        <w:jc w:val="left"/>
      </w:pPr>
      <w:r>
        <w:rPr/>
        <w:t>应收账款按种类披露（续）</w:t>
      </w:r>
    </w:p>
    <w:p>
      <w:pPr>
        <w:spacing w:line="240" w:lineRule="auto" w:before="6"/>
        <w:rPr>
          <w:rFonts w:ascii="宋体" w:hAnsi="宋体" w:cs="宋体" w:eastAsia="宋体" w:hint="default"/>
          <w:sz w:val="19"/>
          <w:szCs w:val="19"/>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59.7pt;height:1pt;mso-position-horizontal-relative:char;mso-position-vertical-relative:line" coordorigin="0,0" coordsize="9194,20">
            <v:group style="position:absolute;left:10;top:10;width:2581;height:2" coordorigin="10,10" coordsize="2581,2">
              <v:shape style="position:absolute;left:10;top:10;width:2581;height:2" coordorigin="10,10" coordsize="2581,0" path="m10,10l2590,10e" filled="false" stroked="true" strokeweight=".96002pt" strokecolor="#000000">
                <v:path arrowok="t"/>
              </v:shape>
            </v:group>
            <v:group style="position:absolute;left:2590;top:10;width:20;height:2" coordorigin="2590,10" coordsize="20,2">
              <v:shape style="position:absolute;left:2590;top:10;width:20;height:2" coordorigin="2590,10" coordsize="20,0" path="m2590,10l2609,10e" filled="false" stroked="true" strokeweight=".96002pt" strokecolor="#000000">
                <v:path arrowok="t"/>
              </v:shape>
            </v:group>
            <v:group style="position:absolute;left:2609;top:10;width:6575;height:2" coordorigin="2609,10" coordsize="6575,2">
              <v:shape style="position:absolute;left:2609;top:10;width:6575;height:2" coordorigin="2609,10" coordsize="6575,0" path="m2609,10l9184,10e" filled="false" stroked="true" strokeweight=".96002pt" strokecolor="#000000">
                <v:path arrowok="t"/>
              </v:shape>
            </v:group>
          </v:group>
        </w:pict>
      </w:r>
      <w:r>
        <w:rPr>
          <w:rFonts w:ascii="宋体" w:hAnsi="宋体" w:cs="宋体" w:eastAsia="宋体" w:hint="default"/>
          <w:sz w:val="2"/>
          <w:szCs w:val="2"/>
        </w:rPr>
      </w:r>
    </w:p>
    <w:p>
      <w:pPr>
        <w:spacing w:line="236" w:lineRule="exact" w:before="18"/>
        <w:ind w:left="6013" w:right="0" w:firstLine="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p>
      <w:pPr>
        <w:tabs>
          <w:tab w:pos="984" w:val="left" w:leader="none"/>
        </w:tabs>
        <w:spacing w:line="236" w:lineRule="exact" w:before="0"/>
        <w:ind w:left="562" w:right="0" w:firstLine="0"/>
        <w:jc w:val="left"/>
        <w:rPr>
          <w:rFonts w:ascii="宋体" w:hAnsi="宋体" w:cs="宋体" w:eastAsia="宋体" w:hint="default"/>
          <w:sz w:val="21"/>
          <w:szCs w:val="21"/>
        </w:rPr>
      </w:pPr>
      <w:r>
        <w:rPr/>
        <w:pict>
          <v:shape style="position:absolute;margin-left:79.704002pt;margin-top:10.718554pt;width:458.75pt;height:117.15pt;mso-position-horizontal-relative:page;mso-position-vertical-relative:paragraph;z-index:27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59"/>
                    <w:gridCol w:w="1384"/>
                    <w:gridCol w:w="1913"/>
                    <w:gridCol w:w="1219"/>
                  </w:tblGrid>
                  <w:tr>
                    <w:trPr>
                      <w:trHeight w:val="309" w:hRule="exact"/>
                    </w:trPr>
                    <w:tc>
                      <w:tcPr>
                        <w:tcW w:w="4659" w:type="dxa"/>
                        <w:tcBorders>
                          <w:top w:val="nil" w:sz="6" w:space="0" w:color="auto"/>
                          <w:left w:val="nil" w:sz="6" w:space="0" w:color="auto"/>
                          <w:bottom w:val="single" w:sz="4" w:space="0" w:color="000000"/>
                          <w:right w:val="nil" w:sz="6" w:space="0" w:color="auto"/>
                        </w:tcBorders>
                      </w:tcPr>
                      <w:p>
                        <w:pPr>
                          <w:pStyle w:val="TableParagraph"/>
                          <w:spacing w:line="211" w:lineRule="exact"/>
                          <w:ind w:right="535"/>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384" w:type="dxa"/>
                        <w:tcBorders>
                          <w:top w:val="nil" w:sz="6" w:space="0" w:color="auto"/>
                          <w:left w:val="nil" w:sz="6" w:space="0" w:color="auto"/>
                          <w:bottom w:val="single" w:sz="4" w:space="0" w:color="000000"/>
                          <w:right w:val="nil" w:sz="6" w:space="0" w:color="auto"/>
                        </w:tcBorders>
                      </w:tcPr>
                      <w:p>
                        <w:pPr>
                          <w:pStyle w:val="TableParagraph"/>
                          <w:spacing w:line="226" w:lineRule="exact"/>
                          <w:ind w:right="270"/>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13" w:type="dxa"/>
                        <w:tcBorders>
                          <w:top w:val="nil" w:sz="6" w:space="0" w:color="auto"/>
                          <w:left w:val="nil" w:sz="6" w:space="0" w:color="auto"/>
                          <w:bottom w:val="single" w:sz="4" w:space="0" w:color="000000"/>
                          <w:right w:val="nil" w:sz="6" w:space="0" w:color="auto"/>
                        </w:tcBorders>
                      </w:tcPr>
                      <w:p>
                        <w:pPr>
                          <w:pStyle w:val="TableParagraph"/>
                          <w:spacing w:line="211" w:lineRule="exact"/>
                          <w:ind w:right="53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219" w:type="dxa"/>
                        <w:tcBorders>
                          <w:top w:val="nil" w:sz="6" w:space="0" w:color="auto"/>
                          <w:left w:val="nil" w:sz="6" w:space="0" w:color="auto"/>
                          <w:bottom w:val="single" w:sz="4" w:space="0" w:color="000000"/>
                          <w:right w:val="nil" w:sz="6" w:space="0" w:color="auto"/>
                        </w:tcBorders>
                      </w:tcPr>
                      <w:p>
                        <w:pPr>
                          <w:pStyle w:val="TableParagraph"/>
                          <w:spacing w:line="226" w:lineRule="exact"/>
                          <w:ind w:right="103"/>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616" w:hRule="exact"/>
                    </w:trPr>
                    <w:tc>
                      <w:tcPr>
                        <w:tcW w:w="4659" w:type="dxa"/>
                        <w:tcBorders>
                          <w:top w:val="single" w:sz="4" w:space="0" w:color="000000"/>
                          <w:left w:val="nil" w:sz="6" w:space="0" w:color="auto"/>
                          <w:bottom w:val="nil" w:sz="6" w:space="0" w:color="auto"/>
                          <w:right w:val="nil" w:sz="6" w:space="0" w:color="auto"/>
                        </w:tcBorders>
                      </w:tcPr>
                      <w:p>
                        <w:pPr>
                          <w:pStyle w:val="TableParagraph"/>
                          <w:tabs>
                            <w:tab w:pos="4063" w:val="left" w:leader="none"/>
                          </w:tabs>
                          <w:spacing w:line="158" w:lineRule="auto" w:before="78"/>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单项金额重大并单项计提</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sz w:val="21"/>
                            <w:szCs w:val="21"/>
                          </w:rPr>
                          <w:t>坏账准备的应收账款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384"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272"/>
                          <w:jc w:val="right"/>
                          <w:rPr>
                            <w:rFonts w:ascii="Arial Narrow" w:hAnsi="Arial Narrow" w:cs="Arial Narrow" w:eastAsia="Arial Narrow" w:hint="default"/>
                            <w:sz w:val="21"/>
                            <w:szCs w:val="21"/>
                          </w:rPr>
                        </w:pPr>
                        <w:r>
                          <w:rPr>
                            <w:rFonts w:ascii="Arial Narrow"/>
                            <w:w w:val="100"/>
                            <w:sz w:val="21"/>
                          </w:rPr>
                          <w:t>-</w:t>
                        </w: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536"/>
                          <w:jc w:val="right"/>
                          <w:rPr>
                            <w:rFonts w:ascii="Arial Narrow" w:hAnsi="Arial Narrow" w:cs="Arial Narrow" w:eastAsia="Arial Narrow" w:hint="default"/>
                            <w:sz w:val="21"/>
                            <w:szCs w:val="21"/>
                          </w:rPr>
                        </w:pPr>
                        <w:r>
                          <w:rPr>
                            <w:rFonts w:ascii="Arial Narrow"/>
                            <w:w w:val="100"/>
                            <w:sz w:val="21"/>
                          </w:rPr>
                          <w:t>-</w:t>
                        </w: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177"/>
                          <w:ind w:right="106"/>
                          <w:jc w:val="right"/>
                          <w:rPr>
                            <w:rFonts w:ascii="Arial Narrow" w:hAnsi="Arial Narrow" w:cs="Arial Narrow" w:eastAsia="Arial Narrow" w:hint="default"/>
                            <w:sz w:val="21"/>
                            <w:szCs w:val="21"/>
                          </w:rPr>
                        </w:pPr>
                        <w:r>
                          <w:rPr>
                            <w:rFonts w:ascii="Arial Narrow"/>
                            <w:w w:val="100"/>
                            <w:sz w:val="21"/>
                          </w:rPr>
                          <w:t>-</w:t>
                        </w:r>
                      </w:p>
                    </w:tc>
                  </w:tr>
                  <w:tr>
                    <w:trPr>
                      <w:trHeight w:val="556" w:hRule="exact"/>
                    </w:trPr>
                    <w:tc>
                      <w:tcPr>
                        <w:tcW w:w="4659"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按组合计提坏账准备的应</w:t>
                        </w:r>
                      </w:p>
                      <w:p>
                        <w:pPr>
                          <w:pStyle w:val="TableParagraph"/>
                          <w:tabs>
                            <w:tab w:pos="2923" w:val="left" w:leader="none"/>
                          </w:tabs>
                          <w:spacing w:line="320"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收账款</w:t>
                          <w:tab/>
                        </w:r>
                        <w:r>
                          <w:rPr>
                            <w:rFonts w:ascii="Arial Narrow" w:hAnsi="Arial Narrow" w:cs="Arial Narrow" w:eastAsia="Arial Narrow" w:hint="default"/>
                            <w:sz w:val="21"/>
                            <w:szCs w:val="21"/>
                          </w:rPr>
                          <w:t>105,572,934.86</w:t>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270"/>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535"/>
                          <w:jc w:val="right"/>
                          <w:rPr>
                            <w:rFonts w:ascii="Arial Narrow" w:hAnsi="Arial Narrow" w:cs="Arial Narrow" w:eastAsia="Arial Narrow" w:hint="default"/>
                            <w:sz w:val="21"/>
                            <w:szCs w:val="21"/>
                          </w:rPr>
                        </w:pPr>
                        <w:r>
                          <w:rPr>
                            <w:rFonts w:ascii="Arial Narrow"/>
                            <w:spacing w:val="-1"/>
                            <w:sz w:val="21"/>
                          </w:rPr>
                          <w:t>20,098,242.87</w:t>
                        </w:r>
                        <w:r>
                          <w:rPr>
                            <w:rFonts w:ascii="Arial Narrow"/>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6"/>
                          <w:jc w:val="right"/>
                          <w:rPr>
                            <w:rFonts w:ascii="Arial Narrow" w:hAnsi="Arial Narrow" w:cs="Arial Narrow" w:eastAsia="Arial Narrow" w:hint="default"/>
                            <w:sz w:val="21"/>
                            <w:szCs w:val="21"/>
                          </w:rPr>
                        </w:pPr>
                        <w:r>
                          <w:rPr>
                            <w:rFonts w:ascii="Arial Narrow"/>
                            <w:spacing w:val="-1"/>
                            <w:sz w:val="21"/>
                          </w:rPr>
                          <w:t>19.04</w:t>
                        </w:r>
                        <w:r>
                          <w:rPr>
                            <w:rFonts w:ascii="Arial Narrow"/>
                            <w:sz w:val="21"/>
                          </w:rPr>
                        </w:r>
                      </w:p>
                    </w:tc>
                  </w:tr>
                  <w:tr>
                    <w:trPr>
                      <w:trHeight w:val="504" w:hRule="exact"/>
                    </w:trPr>
                    <w:tc>
                      <w:tcPr>
                        <w:tcW w:w="4659" w:type="dxa"/>
                        <w:tcBorders>
                          <w:top w:val="nil" w:sz="6" w:space="0" w:color="auto"/>
                          <w:left w:val="nil" w:sz="6" w:space="0" w:color="auto"/>
                          <w:bottom w:val="nil" w:sz="6" w:space="0" w:color="auto"/>
                          <w:right w:val="nil" w:sz="6" w:space="0" w:color="auto"/>
                        </w:tcBorders>
                      </w:tcPr>
                      <w:p>
                        <w:pPr>
                          <w:pStyle w:val="TableParagraph"/>
                          <w:tabs>
                            <w:tab w:pos="2815" w:val="left" w:leader="none"/>
                          </w:tabs>
                          <w:spacing w:line="240" w:lineRule="auto" w:before="75"/>
                          <w:ind w:right="533"/>
                          <w:jc w:val="right"/>
                          <w:rPr>
                            <w:rFonts w:ascii="Arial Narrow" w:hAnsi="Arial Narrow" w:cs="Arial Narrow" w:eastAsia="Arial Narrow" w:hint="default"/>
                            <w:sz w:val="21"/>
                            <w:szCs w:val="21"/>
                          </w:rPr>
                        </w:pPr>
                        <w:r>
                          <w:rPr>
                            <w:rFonts w:ascii="宋体" w:hAnsi="宋体" w:cs="宋体" w:eastAsia="宋体" w:hint="default"/>
                            <w:spacing w:val="-1"/>
                            <w:sz w:val="21"/>
                            <w:szCs w:val="21"/>
                          </w:rPr>
                          <w:t>其中：账龄组合</w:t>
                          <w:tab/>
                        </w:r>
                        <w:r>
                          <w:rPr>
                            <w:rFonts w:ascii="Arial Narrow" w:hAnsi="Arial Narrow" w:cs="Arial Narrow" w:eastAsia="Arial Narrow" w:hint="default"/>
                            <w:spacing w:val="-1"/>
                            <w:sz w:val="21"/>
                            <w:szCs w:val="21"/>
                          </w:rPr>
                          <w:t>105,572,934.86</w:t>
                        </w:r>
                        <w:r>
                          <w:rPr>
                            <w:rFonts w:ascii="Arial Narrow" w:hAnsi="Arial Narrow" w:cs="Arial Narrow" w:eastAsia="Arial Narrow" w:hint="default"/>
                            <w:sz w:val="21"/>
                            <w:szCs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70"/>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35"/>
                          <w:jc w:val="right"/>
                          <w:rPr>
                            <w:rFonts w:ascii="Arial Narrow" w:hAnsi="Arial Narrow" w:cs="Arial Narrow" w:eastAsia="Arial Narrow" w:hint="default"/>
                            <w:sz w:val="21"/>
                            <w:szCs w:val="21"/>
                          </w:rPr>
                        </w:pPr>
                        <w:r>
                          <w:rPr>
                            <w:rFonts w:ascii="Arial Narrow"/>
                            <w:spacing w:val="-1"/>
                            <w:sz w:val="21"/>
                          </w:rPr>
                          <w:t>20,098,242.87</w:t>
                        </w:r>
                        <w:r>
                          <w:rPr>
                            <w:rFonts w:ascii="Arial Narrow"/>
                            <w:sz w:val="21"/>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spacing w:val="-1"/>
                            <w:sz w:val="21"/>
                          </w:rPr>
                          <w:t>19.04</w:t>
                        </w:r>
                        <w:r>
                          <w:rPr>
                            <w:rFonts w:ascii="Arial Narrow"/>
                            <w:sz w:val="21"/>
                          </w:rPr>
                        </w:r>
                      </w:p>
                    </w:tc>
                  </w:tr>
                  <w:tr>
                    <w:trPr>
                      <w:trHeight w:val="358" w:hRule="exact"/>
                    </w:trPr>
                    <w:tc>
                      <w:tcPr>
                        <w:tcW w:w="4659" w:type="dxa"/>
                        <w:tcBorders>
                          <w:top w:val="nil" w:sz="6" w:space="0" w:color="auto"/>
                          <w:left w:val="nil" w:sz="6" w:space="0" w:color="auto"/>
                          <w:bottom w:val="nil" w:sz="6" w:space="0" w:color="auto"/>
                          <w:right w:val="nil" w:sz="6" w:space="0" w:color="auto"/>
                        </w:tcBorders>
                      </w:tcPr>
                      <w:p>
                        <w:pPr>
                          <w:pStyle w:val="TableParagraph"/>
                          <w:tabs>
                            <w:tab w:pos="4063" w:val="left" w:leader="none"/>
                          </w:tabs>
                          <w:spacing w:line="156" w:lineRule="auto" w:before="27"/>
                          <w:ind w:left="108" w:right="535"/>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单项金额虽不重大但单项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计提坏账准备的应收账款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72"/>
                          <w:jc w:val="right"/>
                          <w:rPr>
                            <w:rFonts w:ascii="Arial Narrow" w:hAnsi="Arial Narrow" w:cs="Arial Narrow" w:eastAsia="Arial Narrow" w:hint="default"/>
                            <w:sz w:val="21"/>
                            <w:szCs w:val="21"/>
                          </w:rPr>
                        </w:pPr>
                        <w:r>
                          <w:rPr>
                            <w:rFonts w:ascii="Arial Narrow"/>
                            <w:w w:val="100"/>
                            <w:sz w:val="21"/>
                          </w:rPr>
                          <w:t>-</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36"/>
                          <w:jc w:val="right"/>
                          <w:rPr>
                            <w:rFonts w:ascii="Arial Narrow" w:hAnsi="Arial Narrow" w:cs="Arial Narrow" w:eastAsia="Arial Narrow" w:hint="default"/>
                            <w:sz w:val="21"/>
                            <w:szCs w:val="21"/>
                          </w:rPr>
                        </w:pPr>
                        <w:r>
                          <w:rPr>
                            <w:rFonts w:ascii="Arial Narrow"/>
                            <w:w w:val="100"/>
                            <w:sz w:val="21"/>
                          </w:rPr>
                          <w:t>-</w:t>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w w:val="100"/>
                            <w:sz w:val="21"/>
                          </w:rPr>
                          <w:t>-</w:t>
                        </w:r>
                      </w:p>
                    </w:tc>
                  </w:tr>
                </w:tbl>
                <w:p>
                  <w:pPr/>
                </w:p>
              </w:txbxContent>
            </v:textbox>
            <w10:wrap type="none"/>
          </v:shape>
        </w:pict>
      </w:r>
      <w:r>
        <w:rPr>
          <w:rFonts w:ascii="宋体" w:hAnsi="宋体" w:cs="宋体" w:eastAsia="宋体" w:hint="default"/>
          <w:b/>
          <w:bCs/>
          <w:sz w:val="21"/>
          <w:szCs w:val="21"/>
        </w:rPr>
        <w:t>种</w:t>
        <w:tab/>
        <w:t>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p>
      <w:pPr>
        <w:spacing w:line="20" w:lineRule="exact"/>
        <w:ind w:left="434" w:right="0" w:firstLine="0"/>
        <w:rPr>
          <w:rFonts w:ascii="宋体" w:hAnsi="宋体" w:cs="宋体" w:eastAsia="宋体" w:hint="default"/>
          <w:sz w:val="2"/>
          <w:szCs w:val="2"/>
        </w:rPr>
      </w:pPr>
      <w:r>
        <w:rPr>
          <w:rFonts w:ascii="宋体" w:hAnsi="宋体" w:cs="宋体" w:eastAsia="宋体" w:hint="default"/>
          <w:sz w:val="2"/>
          <w:szCs w:val="2"/>
        </w:rPr>
        <w:pict>
          <v:group style="width:459.95pt;height:.5pt;mso-position-horizontal-relative:char;mso-position-vertical-relative:line" coordorigin="0,0" coordsize="9199,10">
            <v:group style="position:absolute;left:5;top:5;width:2595;height:2" coordorigin="5,5" coordsize="2595,2">
              <v:shape style="position:absolute;left:5;top:5;width:2595;height:2" coordorigin="5,5" coordsize="2595,0" path="m5,5l2600,5e" filled="false" stroked="true" strokeweight=".47998pt" strokecolor="#000000">
                <v:path arrowok="t"/>
              </v:shape>
            </v:group>
            <v:group style="position:absolute;left:2585;top:5;width:10;height:2" coordorigin="2585,5" coordsize="10,2">
              <v:shape style="position:absolute;left:2585;top:5;width:10;height:2" coordorigin="2585,5" coordsize="10,0" path="m2585,5l2595,5e" filled="false" stroked="true" strokeweight=".47998pt" strokecolor="#000000">
                <v:path arrowok="t"/>
              </v:shape>
            </v:group>
            <v:group style="position:absolute;left:2595;top:5;width:1654;height:2" coordorigin="2595,5" coordsize="1654,2">
              <v:shape style="position:absolute;left:2595;top:5;width:1654;height:2" coordorigin="2595,5" coordsize="1654,0" path="m2595,5l4249,5e" filled="false" stroked="true" strokeweight=".47998pt" strokecolor="#000000">
                <v:path arrowok="t"/>
              </v:shape>
            </v:group>
            <v:group style="position:absolute;left:4234;top:5;width:10;height:2" coordorigin="4234,5" coordsize="10,2">
              <v:shape style="position:absolute;left:4234;top:5;width:10;height:2" coordorigin="4234,5" coordsize="10,0" path="m4234,5l4244,5e" filled="false" stroked="true" strokeweight=".47998pt" strokecolor="#000000">
                <v:path arrowok="t"/>
              </v:shape>
            </v:group>
            <v:group style="position:absolute;left:4244;top:5;width:1652;height:2" coordorigin="4244,5" coordsize="1652,2">
              <v:shape style="position:absolute;left:4244;top:5;width:1652;height:2" coordorigin="4244,5" coordsize="1652,0" path="m4244,5l5895,5e" filled="false" stroked="true" strokeweight=".47998pt" strokecolor="#000000">
                <v:path arrowok="t"/>
              </v:shape>
            </v:group>
            <v:group style="position:absolute;left:5881;top:5;width:10;height:2" coordorigin="5881,5" coordsize="10,2">
              <v:shape style="position:absolute;left:5881;top:5;width:10;height:2" coordorigin="5881,5" coordsize="10,0" path="m5881,5l5891,5e" filled="false" stroked="true" strokeweight=".47998pt" strokecolor="#000000">
                <v:path arrowok="t"/>
              </v:shape>
            </v:group>
            <v:group style="position:absolute;left:5891;top:5;width:1655;height:2" coordorigin="5891,5" coordsize="1655,2">
              <v:shape style="position:absolute;left:5891;top:5;width:1655;height:2" coordorigin="5891,5" coordsize="1655,0" path="m5891,5l7545,5e" filled="false" stroked="true" strokeweight=".47998pt" strokecolor="#000000">
                <v:path arrowok="t"/>
              </v:shape>
            </v:group>
            <v:group style="position:absolute;left:7530;top:5;width:10;height:2" coordorigin="7530,5" coordsize="10,2">
              <v:shape style="position:absolute;left:7530;top:5;width:10;height:2" coordorigin="7530,5" coordsize="10,0" path="m7530,5l7540,5e" filled="false" stroked="true" strokeweight=".47998pt" strokecolor="#000000">
                <v:path arrowok="t"/>
              </v:shape>
            </v:group>
            <v:group style="position:absolute;left:7540;top:5;width:1655;height:2" coordorigin="7540,5" coordsize="1655,2">
              <v:shape style="position:absolute;left:7540;top:5;width:1655;height:2" coordorigin="7540,5" coordsize="1655,0" path="m7540,5l9194,5e" filled="false" stroked="true" strokeweight=".4799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50"/>
          <w:pgMar w:header="0" w:footer="919" w:top="1640" w:bottom="1100" w:left="1140" w:right="900"/>
        </w:sectPr>
      </w:pPr>
    </w:p>
    <w:p>
      <w:pPr>
        <w:spacing w:line="240" w:lineRule="auto" w:before="3"/>
        <w:rPr>
          <w:rFonts w:ascii="宋体" w:hAnsi="宋体" w:cs="宋体" w:eastAsia="宋体" w:hint="default"/>
          <w:b/>
          <w:bCs/>
          <w:sz w:val="5"/>
          <w:szCs w:val="5"/>
        </w:rPr>
      </w:pPr>
    </w:p>
    <w:tbl>
      <w:tblPr>
        <w:tblW w:w="0" w:type="auto"/>
        <w:jc w:val="left"/>
        <w:tblInd w:w="454" w:type="dxa"/>
        <w:tblLayout w:type="fixed"/>
        <w:tblCellMar>
          <w:top w:w="0" w:type="dxa"/>
          <w:left w:w="0" w:type="dxa"/>
          <w:bottom w:w="0" w:type="dxa"/>
          <w:right w:w="0" w:type="dxa"/>
        </w:tblCellMar>
        <w:tblLook w:val="01E0"/>
      </w:tblPr>
      <w:tblGrid>
        <w:gridCol w:w="1833"/>
        <w:gridCol w:w="2850"/>
        <w:gridCol w:w="1360"/>
        <w:gridCol w:w="1984"/>
        <w:gridCol w:w="1148"/>
      </w:tblGrid>
      <w:tr>
        <w:trPr>
          <w:trHeight w:val="504" w:hRule="exact"/>
        </w:trPr>
        <w:tc>
          <w:tcPr>
            <w:tcW w:w="1833"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23"/>
              <w:ind w:left="10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850"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left="1091" w:right="0"/>
              <w:jc w:val="left"/>
              <w:rPr>
                <w:rFonts w:ascii="Arial Narrow" w:hAnsi="Arial Narrow" w:cs="Arial Narrow" w:eastAsia="Arial Narrow" w:hint="default"/>
                <w:sz w:val="21"/>
                <w:szCs w:val="21"/>
              </w:rPr>
            </w:pPr>
            <w:r>
              <w:rPr>
                <w:rFonts w:ascii="Arial Narrow"/>
                <w:b/>
                <w:sz w:val="21"/>
              </w:rPr>
              <w:t>105,572,934.86</w:t>
            </w:r>
            <w:r>
              <w:rPr>
                <w:rFonts w:ascii="Arial Narrow"/>
                <w:sz w:val="21"/>
              </w:rPr>
            </w:r>
          </w:p>
        </w:tc>
        <w:tc>
          <w:tcPr>
            <w:tcW w:w="1360"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left="559" w:right="0"/>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984"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left="272" w:right="0"/>
              <w:jc w:val="left"/>
              <w:rPr>
                <w:rFonts w:ascii="Arial Narrow" w:hAnsi="Arial Narrow" w:cs="Arial Narrow" w:eastAsia="Arial Narrow" w:hint="default"/>
                <w:sz w:val="21"/>
                <w:szCs w:val="21"/>
              </w:rPr>
            </w:pPr>
            <w:r>
              <w:rPr>
                <w:rFonts w:ascii="Arial Narrow"/>
                <w:b/>
                <w:sz w:val="21"/>
              </w:rPr>
              <w:t>20,098,242.87</w:t>
            </w:r>
            <w:r>
              <w:rPr>
                <w:rFonts w:ascii="Arial Narrow"/>
                <w:sz w:val="21"/>
              </w:rPr>
            </w:r>
          </w:p>
        </w:tc>
        <w:tc>
          <w:tcPr>
            <w:tcW w:w="1148"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left="607" w:right="0"/>
              <w:jc w:val="left"/>
              <w:rPr>
                <w:rFonts w:ascii="Arial Narrow" w:hAnsi="Arial Narrow" w:cs="Arial Narrow" w:eastAsia="Arial Narrow" w:hint="default"/>
                <w:sz w:val="21"/>
                <w:szCs w:val="21"/>
              </w:rPr>
            </w:pPr>
            <w:r>
              <w:rPr>
                <w:rFonts w:ascii="Arial Narrow"/>
                <w:b/>
                <w:sz w:val="21"/>
              </w:rPr>
              <w:t>19.04</w:t>
            </w:r>
            <w:r>
              <w:rPr>
                <w:rFonts w:ascii="Arial Narrow"/>
                <w:sz w:val="21"/>
              </w:rPr>
            </w:r>
          </w:p>
        </w:tc>
      </w:tr>
    </w:tbl>
    <w:p>
      <w:pPr>
        <w:pStyle w:val="BodyText"/>
        <w:spacing w:line="240" w:lineRule="auto" w:before="79"/>
        <w:ind w:left="562" w:right="0"/>
        <w:jc w:val="left"/>
      </w:pPr>
      <w:r>
        <w:rPr/>
        <w:pict>
          <v:group style="position:absolute;margin-left:62.664001pt;margin-top:-25.714392pt;width:477.25pt;height:.1pt;mso-position-horizontal-relative:page;mso-position-vertical-relative:paragraph;z-index:-764080" coordorigin="1253,-514" coordsize="9545,2">
            <v:shape style="position:absolute;left:1253;top:-514;width:9545;height:2" coordorigin="1253,-514" coordsize="9545,0" path="m1253,-514l10798,-514e" filled="false" stroked="true" strokeweight=".72pt" strokecolor="#000000">
              <v:path arrowok="t"/>
            </v:shape>
            <w10:wrap type="none"/>
          </v:group>
        </w:pict>
      </w:r>
      <w:r>
        <w:rPr/>
        <w:t>账龄组合，按账龄分析法计提坏账准备的应收账款：</w:t>
      </w:r>
    </w:p>
    <w:p>
      <w:pPr>
        <w:spacing w:line="240" w:lineRule="auto" w:before="3"/>
        <w:rPr>
          <w:rFonts w:ascii="宋体" w:hAnsi="宋体" w:cs="宋体" w:eastAsia="宋体" w:hint="default"/>
          <w:sz w:val="19"/>
          <w:szCs w:val="19"/>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5.1pt;height:1pt;mso-position-horizontal-relative:char;mso-position-vertical-relative:line" coordorigin="0,0" coordsize="9302,20">
            <v:group style="position:absolute;left:10;top:10;width:1006;height:2" coordorigin="10,10" coordsize="1006,2">
              <v:shape style="position:absolute;left:10;top:10;width:1006;height:2" coordorigin="10,10" coordsize="1006,0" path="m10,10l1015,10e" filled="false" stroked="true" strokeweight=".95999pt" strokecolor="#000000">
                <v:path arrowok="t"/>
              </v:shape>
            </v:group>
            <v:group style="position:absolute;left:1015;top:10;width:20;height:2" coordorigin="1015,10" coordsize="20,2">
              <v:shape style="position:absolute;left:1015;top:10;width:20;height:2" coordorigin="1015,10" coordsize="20,0" path="m1015,10l1034,10e" filled="false" stroked="true" strokeweight=".95999pt" strokecolor="#000000">
                <v:path arrowok="t"/>
              </v:shape>
            </v:group>
            <v:group style="position:absolute;left:1034;top:10;width:4125;height:2" coordorigin="1034,10" coordsize="4125,2">
              <v:shape style="position:absolute;left:1034;top:10;width:4125;height:2" coordorigin="1034,10" coordsize="4125,0" path="m1034,10l5159,10e" filled="false" stroked="true" strokeweight=".95999pt" strokecolor="#000000">
                <v:path arrowok="t"/>
              </v:shape>
            </v:group>
            <v:group style="position:absolute;left:5159;top:10;width:20;height:2" coordorigin="5159,10" coordsize="20,2">
              <v:shape style="position:absolute;left:5159;top:10;width:20;height:2" coordorigin="5159,10" coordsize="20,0" path="m5159,10l5178,10e" filled="false" stroked="true" strokeweight=".95999pt" strokecolor="#000000">
                <v:path arrowok="t"/>
              </v:shape>
            </v:group>
            <v:group style="position:absolute;left:5178;top:10;width:4115;height:2" coordorigin="5178,10" coordsize="4115,2">
              <v:shape style="position:absolute;left:5178;top:10;width:4115;height:2" coordorigin="5178,10" coordsize="4115,0" path="m5178,10l9292,10e" filled="false" stroked="true" strokeweight=".95999pt" strokecolor="#000000">
                <v:path arrowok="t"/>
              </v:shape>
            </v:group>
          </v:group>
        </w:pict>
      </w:r>
      <w:r>
        <w:rPr>
          <w:rFonts w:ascii="宋体" w:hAnsi="宋体" w:cs="宋体" w:eastAsia="宋体" w:hint="default"/>
          <w:sz w:val="2"/>
          <w:szCs w:val="2"/>
        </w:rPr>
      </w:r>
    </w:p>
    <w:p>
      <w:pPr>
        <w:tabs>
          <w:tab w:pos="7350" w:val="left" w:leader="none"/>
        </w:tabs>
        <w:spacing w:before="30"/>
        <w:ind w:left="3212" w:right="0" w:firstLine="0"/>
        <w:jc w:val="left"/>
        <w:rPr>
          <w:rFonts w:ascii="宋体" w:hAnsi="宋体" w:cs="宋体" w:eastAsia="宋体" w:hint="default"/>
          <w:sz w:val="21"/>
          <w:szCs w:val="21"/>
        </w:rPr>
      </w:pPr>
      <w:r>
        <w:rPr>
          <w:rFonts w:ascii="宋体" w:hAnsi="宋体" w:cs="宋体" w:eastAsia="宋体" w:hint="default"/>
          <w:b/>
          <w:bCs/>
          <w:sz w:val="21"/>
          <w:szCs w:val="21"/>
        </w:rPr>
        <w:t>期末数</w:t>
        <w:tab/>
        <w:t>期初数</w:t>
      </w:r>
      <w:r>
        <w:rPr>
          <w:rFonts w:ascii="宋体" w:hAnsi="宋体" w:cs="宋体" w:eastAsia="宋体" w:hint="default"/>
          <w:sz w:val="21"/>
          <w:szCs w:val="21"/>
        </w:rPr>
      </w:r>
    </w:p>
    <w:tbl>
      <w:tblPr>
        <w:tblW w:w="0" w:type="auto"/>
        <w:jc w:val="left"/>
        <w:tblInd w:w="454" w:type="dxa"/>
        <w:tblLayout w:type="fixed"/>
        <w:tblCellMar>
          <w:top w:w="0" w:type="dxa"/>
          <w:left w:w="0" w:type="dxa"/>
          <w:bottom w:w="0" w:type="dxa"/>
          <w:right w:w="0" w:type="dxa"/>
        </w:tblCellMar>
        <w:tblLook w:val="01E0"/>
      </w:tblPr>
      <w:tblGrid>
        <w:gridCol w:w="1001"/>
        <w:gridCol w:w="1707"/>
        <w:gridCol w:w="1100"/>
        <w:gridCol w:w="1340"/>
        <w:gridCol w:w="1701"/>
        <w:gridCol w:w="1097"/>
        <w:gridCol w:w="1337"/>
      </w:tblGrid>
      <w:tr>
        <w:trPr>
          <w:trHeight w:val="508" w:hRule="exact"/>
        </w:trPr>
        <w:tc>
          <w:tcPr>
            <w:tcW w:w="1001"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197"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账</w:t>
              <w:tab/>
              <w:t>龄</w:t>
            </w:r>
            <w:r>
              <w:rPr>
                <w:rFonts w:ascii="宋体" w:hAnsi="宋体" w:cs="宋体" w:eastAsia="宋体" w:hint="default"/>
                <w:sz w:val="21"/>
                <w:szCs w:val="21"/>
              </w:rPr>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393"/>
              <w:jc w:val="right"/>
              <w:rPr>
                <w:rFonts w:ascii="宋体" w:hAnsi="宋体" w:cs="宋体" w:eastAsia="宋体" w:hint="default"/>
                <w:sz w:val="21"/>
                <w:szCs w:val="21"/>
              </w:rPr>
            </w:pPr>
            <w:r>
              <w:rPr>
                <w:rFonts w:ascii="宋体" w:hAnsi="宋体" w:cs="宋体" w:eastAsia="宋体" w:hint="default"/>
                <w:b/>
                <w:bCs/>
                <w:sz w:val="21"/>
                <w:szCs w:val="21"/>
              </w:rPr>
              <w:t>金 额</w:t>
            </w:r>
            <w:r>
              <w:rPr>
                <w:rFonts w:ascii="宋体" w:hAnsi="宋体" w:cs="宋体" w:eastAsia="宋体" w:hint="default"/>
                <w:sz w:val="21"/>
                <w:szCs w:val="21"/>
              </w:rPr>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27"/>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06"/>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394"/>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25"/>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121"/>
              <w:ind w:right="10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08" w:hRule="exact"/>
        </w:trPr>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10"/>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92"/>
              <w:jc w:val="right"/>
              <w:rPr>
                <w:rFonts w:ascii="Arial Narrow" w:hAnsi="Arial Narrow" w:cs="Arial Narrow" w:eastAsia="Arial Narrow" w:hint="default"/>
                <w:sz w:val="21"/>
                <w:szCs w:val="21"/>
              </w:rPr>
            </w:pPr>
            <w:r>
              <w:rPr>
                <w:rFonts w:ascii="Arial Narrow"/>
                <w:spacing w:val="-1"/>
                <w:sz w:val="21"/>
              </w:rPr>
              <w:t>98,069,364.74</w:t>
            </w:r>
            <w:r>
              <w:rPr>
                <w:rFonts w:ascii="Arial Narrow"/>
                <w:sz w:val="21"/>
              </w:rPr>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30"/>
              <w:jc w:val="right"/>
              <w:rPr>
                <w:rFonts w:ascii="Arial Narrow" w:hAnsi="Arial Narrow" w:cs="Arial Narrow" w:eastAsia="Arial Narrow" w:hint="default"/>
                <w:sz w:val="21"/>
                <w:szCs w:val="21"/>
              </w:rPr>
            </w:pPr>
            <w:r>
              <w:rPr>
                <w:rFonts w:ascii="Arial Narrow"/>
                <w:spacing w:val="-1"/>
                <w:sz w:val="21"/>
              </w:rPr>
              <w:t>66.20</w:t>
            </w:r>
            <w:r>
              <w:rPr>
                <w:rFonts w:ascii="Arial Narrow"/>
                <w:sz w:val="21"/>
              </w:rPr>
            </w:r>
          </w:p>
        </w:tc>
        <w:tc>
          <w:tcPr>
            <w:tcW w:w="134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5"/>
              <w:jc w:val="right"/>
              <w:rPr>
                <w:rFonts w:ascii="Arial Narrow" w:hAnsi="Arial Narrow" w:cs="Arial Narrow" w:eastAsia="Arial Narrow" w:hint="default"/>
                <w:sz w:val="21"/>
                <w:szCs w:val="21"/>
              </w:rPr>
            </w:pPr>
            <w:r>
              <w:rPr>
                <w:rFonts w:ascii="Arial Narrow"/>
                <w:spacing w:val="-1"/>
                <w:sz w:val="21"/>
              </w:rPr>
              <w:t>4,903,468.23</w:t>
            </w:r>
            <w:r>
              <w:rPr>
                <w:rFonts w:ascii="Arial Narrow"/>
                <w:sz w:val="21"/>
              </w:rPr>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392"/>
              <w:jc w:val="right"/>
              <w:rPr>
                <w:rFonts w:ascii="Arial Narrow" w:hAnsi="Arial Narrow" w:cs="Arial Narrow" w:eastAsia="Arial Narrow" w:hint="default"/>
                <w:sz w:val="21"/>
                <w:szCs w:val="21"/>
              </w:rPr>
            </w:pPr>
            <w:r>
              <w:rPr>
                <w:rFonts w:ascii="Arial Narrow"/>
                <w:spacing w:val="-1"/>
                <w:sz w:val="21"/>
              </w:rPr>
              <w:t>64,890,863.56</w:t>
            </w:r>
            <w:r>
              <w:rPr>
                <w:rFonts w:ascii="Arial Narrow"/>
                <w:sz w:val="21"/>
              </w:rPr>
            </w: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27"/>
              <w:jc w:val="right"/>
              <w:rPr>
                <w:rFonts w:ascii="Arial Narrow" w:hAnsi="Arial Narrow" w:cs="Arial Narrow" w:eastAsia="Arial Narrow" w:hint="default"/>
                <w:sz w:val="21"/>
                <w:szCs w:val="21"/>
              </w:rPr>
            </w:pPr>
            <w:r>
              <w:rPr>
                <w:rFonts w:ascii="Arial Narrow"/>
                <w:spacing w:val="-1"/>
                <w:sz w:val="21"/>
              </w:rPr>
              <w:t>61.47</w:t>
            </w:r>
            <w:r>
              <w:rPr>
                <w:rFonts w:ascii="Arial Narrow"/>
                <w:sz w:val="21"/>
              </w:rPr>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4"/>
              <w:jc w:val="right"/>
              <w:rPr>
                <w:rFonts w:ascii="Arial Narrow" w:hAnsi="Arial Narrow" w:cs="Arial Narrow" w:eastAsia="Arial Narrow" w:hint="default"/>
                <w:sz w:val="21"/>
                <w:szCs w:val="21"/>
              </w:rPr>
            </w:pPr>
            <w:r>
              <w:rPr>
                <w:rFonts w:ascii="Arial Narrow"/>
                <w:spacing w:val="-1"/>
                <w:sz w:val="21"/>
              </w:rPr>
              <w:t>3,244,543.17</w:t>
            </w:r>
            <w:r>
              <w:rPr>
                <w:rFonts w:ascii="Arial Narrow"/>
                <w:sz w:val="21"/>
              </w:rPr>
            </w:r>
          </w:p>
        </w:tc>
      </w:tr>
      <w:tr>
        <w:trPr>
          <w:trHeight w:val="396"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1"/>
              <w:jc w:val="right"/>
              <w:rPr>
                <w:rFonts w:ascii="Arial Narrow" w:hAnsi="Arial Narrow" w:cs="Arial Narrow" w:eastAsia="Arial Narrow" w:hint="default"/>
                <w:sz w:val="21"/>
                <w:szCs w:val="21"/>
              </w:rPr>
            </w:pPr>
            <w:r>
              <w:rPr>
                <w:rFonts w:ascii="Arial Narrow"/>
                <w:spacing w:val="-2"/>
                <w:sz w:val="21"/>
              </w:rPr>
              <w:t>26,619,884.11</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0"/>
              <w:jc w:val="right"/>
              <w:rPr>
                <w:rFonts w:ascii="Arial Narrow" w:hAnsi="Arial Narrow" w:cs="Arial Narrow" w:eastAsia="Arial Narrow" w:hint="default"/>
                <w:sz w:val="21"/>
                <w:szCs w:val="21"/>
              </w:rPr>
            </w:pPr>
            <w:r>
              <w:rPr>
                <w:rFonts w:ascii="Arial Narrow"/>
                <w:spacing w:val="-1"/>
                <w:sz w:val="21"/>
              </w:rPr>
              <w:t>17.97</w:t>
            </w:r>
            <w:r>
              <w:rPr>
                <w:rFonts w:ascii="Arial Narrow"/>
                <w:sz w:val="21"/>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5,323,976.82</w:t>
            </w:r>
            <w:r>
              <w:rPr>
                <w:rFonts w:ascii="Arial Narrow"/>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2"/>
              <w:jc w:val="right"/>
              <w:rPr>
                <w:rFonts w:ascii="Arial Narrow" w:hAnsi="Arial Narrow" w:cs="Arial Narrow" w:eastAsia="Arial Narrow" w:hint="default"/>
                <w:sz w:val="21"/>
                <w:szCs w:val="21"/>
              </w:rPr>
            </w:pPr>
            <w:r>
              <w:rPr>
                <w:rFonts w:ascii="Arial Narrow"/>
                <w:spacing w:val="-1"/>
                <w:sz w:val="21"/>
              </w:rPr>
              <w:t>21,899,304.00</w:t>
            </w:r>
            <w:r>
              <w:rPr>
                <w:rFonts w:ascii="Arial Narrow"/>
                <w:sz w:val="21"/>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7"/>
              <w:jc w:val="right"/>
              <w:rPr>
                <w:rFonts w:ascii="Arial Narrow" w:hAnsi="Arial Narrow" w:cs="Arial Narrow" w:eastAsia="Arial Narrow" w:hint="default"/>
                <w:sz w:val="21"/>
                <w:szCs w:val="21"/>
              </w:rPr>
            </w:pPr>
            <w:r>
              <w:rPr>
                <w:rFonts w:ascii="Arial Narrow"/>
                <w:spacing w:val="-1"/>
                <w:sz w:val="21"/>
              </w:rPr>
              <w:t>20.74</w:t>
            </w:r>
            <w:r>
              <w:rPr>
                <w:rFonts w:ascii="Arial Narrow"/>
                <w:sz w:val="21"/>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4,379,860.80</w:t>
            </w:r>
            <w:r>
              <w:rPr>
                <w:rFonts w:ascii="Arial Narrow"/>
                <w:sz w:val="21"/>
              </w:rPr>
            </w:r>
          </w:p>
        </w:tc>
      </w:tr>
      <w:tr>
        <w:trPr>
          <w:trHeight w:val="398" w:hRule="exact"/>
        </w:trPr>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2"/>
              <w:jc w:val="right"/>
              <w:rPr>
                <w:rFonts w:ascii="Arial Narrow" w:hAnsi="Arial Narrow" w:cs="Arial Narrow" w:eastAsia="Arial Narrow" w:hint="default"/>
                <w:sz w:val="21"/>
                <w:szCs w:val="21"/>
              </w:rPr>
            </w:pPr>
            <w:r>
              <w:rPr>
                <w:rFonts w:ascii="Arial Narrow"/>
                <w:spacing w:val="-1"/>
                <w:sz w:val="21"/>
              </w:rPr>
              <w:t>12,753,502.65</w:t>
            </w:r>
            <w:r>
              <w:rPr>
                <w:rFonts w:ascii="Arial Narrow"/>
                <w:sz w:val="21"/>
              </w:rPr>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0"/>
              <w:jc w:val="right"/>
              <w:rPr>
                <w:rFonts w:ascii="Arial Narrow" w:hAnsi="Arial Narrow" w:cs="Arial Narrow" w:eastAsia="Arial Narrow" w:hint="default"/>
                <w:sz w:val="21"/>
                <w:szCs w:val="21"/>
              </w:rPr>
            </w:pPr>
            <w:r>
              <w:rPr>
                <w:rFonts w:ascii="Arial Narrow"/>
                <w:spacing w:val="-1"/>
                <w:sz w:val="21"/>
              </w:rPr>
              <w:t>8.61</w:t>
            </w:r>
            <w:r>
              <w:rPr>
                <w:rFonts w:ascii="Arial Narrow"/>
                <w:sz w:val="21"/>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6,376,751.32</w:t>
            </w:r>
            <w:r>
              <w:rPr>
                <w:rFonts w:ascii="Arial Narrow"/>
                <w:sz w:val="21"/>
              </w:rPr>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92"/>
              <w:jc w:val="right"/>
              <w:rPr>
                <w:rFonts w:ascii="Arial Narrow" w:hAnsi="Arial Narrow" w:cs="Arial Narrow" w:eastAsia="Arial Narrow" w:hint="default"/>
                <w:sz w:val="21"/>
                <w:szCs w:val="21"/>
              </w:rPr>
            </w:pPr>
            <w:r>
              <w:rPr>
                <w:rFonts w:ascii="Arial Narrow"/>
                <w:spacing w:val="-1"/>
                <w:sz w:val="21"/>
              </w:rPr>
              <w:t>12,617,856.80</w:t>
            </w:r>
            <w:r>
              <w:rPr>
                <w:rFonts w:ascii="Arial Narrow"/>
                <w:sz w:val="21"/>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25"/>
              <w:jc w:val="right"/>
              <w:rPr>
                <w:rFonts w:ascii="Arial Narrow" w:hAnsi="Arial Narrow" w:cs="Arial Narrow" w:eastAsia="Arial Narrow" w:hint="default"/>
                <w:sz w:val="21"/>
                <w:szCs w:val="21"/>
              </w:rPr>
            </w:pPr>
            <w:r>
              <w:rPr>
                <w:rFonts w:ascii="Arial Narrow"/>
                <w:spacing w:val="-3"/>
                <w:sz w:val="21"/>
              </w:rPr>
              <w:t>11.95</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Arial Narrow" w:hAnsi="Arial Narrow" w:cs="Arial Narrow" w:eastAsia="Arial Narrow" w:hint="default"/>
                <w:sz w:val="21"/>
                <w:szCs w:val="21"/>
              </w:rPr>
            </w:pPr>
            <w:r>
              <w:rPr>
                <w:rFonts w:ascii="Arial Narrow"/>
                <w:spacing w:val="-1"/>
                <w:sz w:val="21"/>
              </w:rPr>
              <w:t>6,308,928.40</w:t>
            </w:r>
            <w:r>
              <w:rPr>
                <w:rFonts w:ascii="Arial Narrow"/>
                <w:sz w:val="21"/>
              </w:rPr>
            </w:r>
          </w:p>
        </w:tc>
      </w:tr>
      <w:tr>
        <w:trPr>
          <w:trHeight w:val="398" w:hRule="exact"/>
        </w:trPr>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392"/>
              <w:jc w:val="right"/>
              <w:rPr>
                <w:rFonts w:ascii="Arial Narrow" w:hAnsi="Arial Narrow" w:cs="Arial Narrow" w:eastAsia="Arial Narrow" w:hint="default"/>
                <w:sz w:val="21"/>
                <w:szCs w:val="21"/>
              </w:rPr>
            </w:pPr>
            <w:r>
              <w:rPr>
                <w:rFonts w:ascii="Arial Narrow"/>
                <w:spacing w:val="-1"/>
                <w:sz w:val="21"/>
              </w:rPr>
              <w:t>10,694,620.50</w:t>
            </w:r>
            <w:r>
              <w:rPr>
                <w:rFonts w:ascii="Arial Narrow"/>
                <w:sz w:val="21"/>
              </w:rPr>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30"/>
              <w:jc w:val="right"/>
              <w:rPr>
                <w:rFonts w:ascii="Arial Narrow" w:hAnsi="Arial Narrow" w:cs="Arial Narrow" w:eastAsia="Arial Narrow" w:hint="default"/>
                <w:sz w:val="21"/>
                <w:szCs w:val="21"/>
              </w:rPr>
            </w:pPr>
            <w:r>
              <w:rPr>
                <w:rFonts w:ascii="Arial Narrow"/>
                <w:spacing w:val="-1"/>
                <w:sz w:val="21"/>
              </w:rPr>
              <w:t>7.22</w:t>
            </w:r>
            <w:r>
              <w:rPr>
                <w:rFonts w:ascii="Arial Narrow"/>
                <w:sz w:val="21"/>
              </w:rPr>
            </w:r>
          </w:p>
        </w:tc>
        <w:tc>
          <w:tcPr>
            <w:tcW w:w="134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5"/>
              <w:jc w:val="right"/>
              <w:rPr>
                <w:rFonts w:ascii="Arial Narrow" w:hAnsi="Arial Narrow" w:cs="Arial Narrow" w:eastAsia="Arial Narrow" w:hint="default"/>
                <w:sz w:val="21"/>
                <w:szCs w:val="21"/>
              </w:rPr>
            </w:pPr>
            <w:r>
              <w:rPr>
                <w:rFonts w:ascii="Arial Narrow"/>
                <w:spacing w:val="-1"/>
                <w:sz w:val="21"/>
              </w:rPr>
              <w:t>10,694,620.50</w:t>
            </w:r>
            <w:r>
              <w:rPr>
                <w:rFonts w:ascii="Arial Narrow"/>
                <w:sz w:val="21"/>
              </w:rPr>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391"/>
              <w:jc w:val="right"/>
              <w:rPr>
                <w:rFonts w:ascii="Arial Narrow" w:hAnsi="Arial Narrow" w:cs="Arial Narrow" w:eastAsia="Arial Narrow" w:hint="default"/>
                <w:sz w:val="21"/>
                <w:szCs w:val="21"/>
              </w:rPr>
            </w:pPr>
            <w:r>
              <w:rPr>
                <w:rFonts w:ascii="Arial Narrow"/>
                <w:spacing w:val="-1"/>
                <w:sz w:val="21"/>
              </w:rPr>
              <w:t>6,164,910.50</w:t>
            </w:r>
            <w:r>
              <w:rPr>
                <w:rFonts w:ascii="Arial Narrow"/>
                <w:sz w:val="21"/>
              </w:rPr>
            </w: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27"/>
              <w:jc w:val="right"/>
              <w:rPr>
                <w:rFonts w:ascii="Arial Narrow" w:hAnsi="Arial Narrow" w:cs="Arial Narrow" w:eastAsia="Arial Narrow" w:hint="default"/>
                <w:sz w:val="21"/>
                <w:szCs w:val="21"/>
              </w:rPr>
            </w:pPr>
            <w:r>
              <w:rPr>
                <w:rFonts w:ascii="Arial Narrow"/>
                <w:spacing w:val="-1"/>
                <w:sz w:val="21"/>
              </w:rPr>
              <w:t>5.84</w:t>
            </w:r>
            <w:r>
              <w:rPr>
                <w:rFonts w:ascii="Arial Narrow"/>
                <w:sz w:val="21"/>
              </w:rPr>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4"/>
              <w:jc w:val="right"/>
              <w:rPr>
                <w:rFonts w:ascii="Arial Narrow" w:hAnsi="Arial Narrow" w:cs="Arial Narrow" w:eastAsia="Arial Narrow" w:hint="default"/>
                <w:sz w:val="21"/>
                <w:szCs w:val="21"/>
              </w:rPr>
            </w:pPr>
            <w:r>
              <w:rPr>
                <w:rFonts w:ascii="Arial Narrow"/>
                <w:spacing w:val="-1"/>
                <w:sz w:val="21"/>
              </w:rPr>
              <w:t>6,164,910.50</w:t>
            </w:r>
            <w:r>
              <w:rPr>
                <w:rFonts w:ascii="Arial Narrow"/>
                <w:sz w:val="21"/>
              </w:rPr>
            </w:r>
          </w:p>
        </w:tc>
      </w:tr>
      <w:tr>
        <w:trPr>
          <w:trHeight w:val="413" w:hRule="exact"/>
        </w:trPr>
        <w:tc>
          <w:tcPr>
            <w:tcW w:w="1001"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14"/>
              <w:ind w:left="10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70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392"/>
              <w:jc w:val="right"/>
              <w:rPr>
                <w:rFonts w:ascii="Arial Narrow" w:hAnsi="Arial Narrow" w:cs="Arial Narrow" w:eastAsia="Arial Narrow" w:hint="default"/>
                <w:sz w:val="21"/>
                <w:szCs w:val="21"/>
              </w:rPr>
            </w:pPr>
            <w:r>
              <w:rPr>
                <w:rFonts w:ascii="Arial Narrow"/>
                <w:b/>
                <w:spacing w:val="-1"/>
                <w:sz w:val="21"/>
              </w:rPr>
              <w:t>148,137,372.00</w:t>
            </w:r>
            <w:r>
              <w:rPr>
                <w:rFonts w:ascii="Arial Narrow"/>
                <w:sz w:val="21"/>
              </w:rPr>
            </w:r>
          </w:p>
        </w:tc>
        <w:tc>
          <w:tcPr>
            <w:tcW w:w="110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27"/>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340"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5"/>
              <w:jc w:val="right"/>
              <w:rPr>
                <w:rFonts w:ascii="Arial Narrow" w:hAnsi="Arial Narrow" w:cs="Arial Narrow" w:eastAsia="Arial Narrow" w:hint="default"/>
                <w:sz w:val="21"/>
                <w:szCs w:val="21"/>
              </w:rPr>
            </w:pPr>
            <w:r>
              <w:rPr>
                <w:rFonts w:ascii="Arial Narrow"/>
                <w:b/>
                <w:spacing w:val="-1"/>
                <w:sz w:val="21"/>
              </w:rPr>
              <w:t>27,298,816.87</w:t>
            </w:r>
            <w:r>
              <w:rPr>
                <w:rFonts w:ascii="Arial Narrow"/>
                <w:sz w:val="21"/>
              </w:rPr>
            </w:r>
          </w:p>
        </w:tc>
        <w:tc>
          <w:tcPr>
            <w:tcW w:w="1701"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392"/>
              <w:jc w:val="right"/>
              <w:rPr>
                <w:rFonts w:ascii="Arial Narrow" w:hAnsi="Arial Narrow" w:cs="Arial Narrow" w:eastAsia="Arial Narrow" w:hint="default"/>
                <w:sz w:val="21"/>
                <w:szCs w:val="21"/>
              </w:rPr>
            </w:pPr>
            <w:r>
              <w:rPr>
                <w:rFonts w:ascii="Arial Narrow"/>
                <w:b/>
                <w:spacing w:val="-1"/>
                <w:sz w:val="21"/>
              </w:rPr>
              <w:t>105,572,934.86</w:t>
            </w:r>
            <w:r>
              <w:rPr>
                <w:rFonts w:ascii="Arial Narrow"/>
                <w:sz w:val="21"/>
              </w:rPr>
            </w:r>
          </w:p>
        </w:tc>
        <w:tc>
          <w:tcPr>
            <w:tcW w:w="109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25"/>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337" w:type="dxa"/>
            <w:tcBorders>
              <w:top w:val="single" w:sz="4" w:space="0" w:color="000000"/>
              <w:left w:val="nil" w:sz="6" w:space="0" w:color="auto"/>
              <w:bottom w:val="single" w:sz="8" w:space="0" w:color="000000"/>
              <w:right w:val="nil" w:sz="6" w:space="0" w:color="auto"/>
            </w:tcBorders>
          </w:tcPr>
          <w:p>
            <w:pPr>
              <w:pStyle w:val="TableParagraph"/>
              <w:spacing w:line="240" w:lineRule="auto" w:before="60"/>
              <w:ind w:right="104"/>
              <w:jc w:val="right"/>
              <w:rPr>
                <w:rFonts w:ascii="Arial Narrow" w:hAnsi="Arial Narrow" w:cs="Arial Narrow" w:eastAsia="Arial Narrow" w:hint="default"/>
                <w:sz w:val="21"/>
                <w:szCs w:val="21"/>
              </w:rPr>
            </w:pPr>
            <w:r>
              <w:rPr>
                <w:rFonts w:ascii="Arial Narrow"/>
                <w:b/>
                <w:spacing w:val="-1"/>
                <w:sz w:val="21"/>
              </w:rPr>
              <w:t>20,098,242.87</w:t>
            </w:r>
            <w:r>
              <w:rPr>
                <w:rFonts w:ascii="Arial Narrow"/>
                <w:sz w:val="21"/>
              </w:rPr>
            </w:r>
          </w:p>
        </w:tc>
      </w:tr>
    </w:tbl>
    <w:p>
      <w:pPr>
        <w:pStyle w:val="BodyText"/>
        <w:spacing w:line="240" w:lineRule="auto" w:before="56"/>
        <w:ind w:left="559" w:right="0"/>
        <w:jc w:val="left"/>
      </w:pPr>
      <w:r>
        <w:rPr/>
        <w:t>（</w:t>
      </w:r>
      <w:r>
        <w:rPr>
          <w:rFonts w:ascii="Arial Narrow" w:hAnsi="Arial Narrow" w:cs="Arial Narrow" w:eastAsia="Arial Narrow" w:hint="default"/>
        </w:rPr>
        <w:t>2</w:t>
      </w:r>
      <w:r>
        <w:rPr/>
        <w:t>）本期应收账款中持本公司</w:t>
      </w:r>
      <w:r>
        <w:rPr>
          <w:spacing w:val="-62"/>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）以上表决权股份的股东单位情况</w:t>
      </w:r>
    </w:p>
    <w:p>
      <w:pPr>
        <w:spacing w:line="240" w:lineRule="auto" w:before="2"/>
        <w:rPr>
          <w:rFonts w:ascii="宋体" w:hAnsi="宋体" w:cs="宋体" w:eastAsia="宋体" w:hint="default"/>
          <w:sz w:val="18"/>
          <w:szCs w:val="18"/>
        </w:rPr>
      </w:pPr>
    </w:p>
    <w:p>
      <w:pPr>
        <w:spacing w:line="20" w:lineRule="exact"/>
        <w:ind w:left="410" w:right="0" w:firstLine="0"/>
        <w:rPr>
          <w:rFonts w:ascii="宋体" w:hAnsi="宋体" w:cs="宋体" w:eastAsia="宋体" w:hint="default"/>
          <w:sz w:val="2"/>
          <w:szCs w:val="2"/>
        </w:rPr>
      </w:pPr>
      <w:r>
        <w:rPr>
          <w:rFonts w:ascii="宋体" w:hAnsi="宋体" w:cs="宋体" w:eastAsia="宋体" w:hint="default"/>
          <w:sz w:val="2"/>
          <w:szCs w:val="2"/>
        </w:rPr>
        <w:pict>
          <v:group style="width:461.75pt;height:1pt;mso-position-horizontal-relative:char;mso-position-vertical-relative:line" coordorigin="0,0" coordsize="9235,20">
            <v:group style="position:absolute;left:10;top:10;width:1997;height:2" coordorigin="10,10" coordsize="1997,2">
              <v:shape style="position:absolute;left:10;top:10;width:1997;height:2" coordorigin="10,10" coordsize="1997,0" path="m10,10l2006,10e" filled="false" stroked="true" strokeweight=".96002pt" strokecolor="#000000">
                <v:path arrowok="t"/>
              </v:shape>
            </v:group>
            <v:group style="position:absolute;left:2006;top:10;width:20;height:2" coordorigin="2006,10" coordsize="20,2">
              <v:shape style="position:absolute;left:2006;top:10;width:20;height:2" coordorigin="2006,10" coordsize="20,0" path="m2006,10l2026,10e" filled="false" stroked="true" strokeweight=".96002pt" strokecolor="#000000">
                <v:path arrowok="t"/>
              </v:shape>
            </v:group>
            <v:group style="position:absolute;left:2026;top:10;width:3466;height:2" coordorigin="2026,10" coordsize="3466,2">
              <v:shape style="position:absolute;left:2026;top:10;width:3466;height:2" coordorigin="2026,10" coordsize="3466,0" path="m2026,10l5492,10e" filled="false" stroked="true" strokeweight=".96002pt" strokecolor="#000000">
                <v:path arrowok="t"/>
              </v:shape>
            </v:group>
            <v:group style="position:absolute;left:5492;top:10;width:20;height:2" coordorigin="5492,10" coordsize="20,2">
              <v:shape style="position:absolute;left:5492;top:10;width:20;height:2" coordorigin="5492,10" coordsize="20,0" path="m5492,10l5511,10e" filled="false" stroked="true" strokeweight=".96002pt" strokecolor="#000000">
                <v:path arrowok="t"/>
              </v:shape>
            </v:group>
            <v:group style="position:absolute;left:5511;top:10;width:3714;height:2" coordorigin="5511,10" coordsize="3714,2">
              <v:shape style="position:absolute;left:5511;top:10;width:3714;height:2" coordorigin="5511,10" coordsize="3714,0" path="m5511,10l9225,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50"/>
          <w:pgMar w:header="0" w:footer="919" w:top="1640" w:bottom="1100" w:left="1140" w:right="900"/>
        </w:sectPr>
      </w:pPr>
    </w:p>
    <w:p>
      <w:pPr>
        <w:spacing w:line="240" w:lineRule="auto" w:before="6"/>
        <w:rPr>
          <w:rFonts w:ascii="宋体" w:hAnsi="宋体" w:cs="宋体" w:eastAsia="宋体" w:hint="default"/>
          <w:sz w:val="18"/>
          <w:szCs w:val="18"/>
        </w:rPr>
      </w:pPr>
    </w:p>
    <w:p>
      <w:pPr>
        <w:spacing w:before="0"/>
        <w:ind w:left="528" w:right="0" w:firstLine="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207" w:lineRule="exact" w:before="0"/>
        <w:ind w:left="528" w:right="0" w:firstLine="0"/>
        <w:jc w:val="left"/>
        <w:rPr>
          <w:rFonts w:ascii="宋体" w:hAnsi="宋体" w:cs="宋体" w:eastAsia="宋体" w:hint="default"/>
          <w:sz w:val="21"/>
          <w:szCs w:val="21"/>
        </w:rPr>
      </w:pPr>
      <w:r>
        <w:rPr/>
        <w:pict>
          <v:group style="position:absolute;margin-left:77.784012pt;margin-top:-.096314pt;width:461.3pt;height:.5pt;mso-position-horizontal-relative:page;mso-position-vertical-relative:paragraph;z-index:-764056" coordorigin="1556,-2" coordsize="9226,10">
            <v:group style="position:absolute;left:1560;top:3;width:1997;height:2" coordorigin="1560,3" coordsize="1997,2">
              <v:shape style="position:absolute;left:1560;top:3;width:1997;height:2" coordorigin="1560,3" coordsize="1997,0" path="m1560,3l3557,3e" filled="false" stroked="true" strokeweight=".47998pt" strokecolor="#000000">
                <v:path arrowok="t"/>
              </v:shape>
            </v:group>
            <v:group style="position:absolute;left:3557;top:3;width:11;height:2" coordorigin="3557,3" coordsize="11,2">
              <v:shape style="position:absolute;left:3557;top:3;width:11;height:2" coordorigin="3557,3" coordsize="11,0" path="m3557,3l3567,3e" filled="false" stroked="true" strokeweight=".47998pt" strokecolor="#000000">
                <v:path arrowok="t"/>
              </v:shape>
            </v:group>
            <v:group style="position:absolute;left:3567;top:3;width:1647;height:2" coordorigin="3567,3" coordsize="1647,2">
              <v:shape style="position:absolute;left:3567;top:3;width:1647;height:2" coordorigin="3567,3" coordsize="1647,0" path="m3567,3l5214,3e" filled="false" stroked="true" strokeweight=".47998pt" strokecolor="#000000">
                <v:path arrowok="t"/>
              </v:shape>
            </v:group>
            <v:group style="position:absolute;left:5214;top:3;width:10;height:2" coordorigin="5214,3" coordsize="10,2">
              <v:shape style="position:absolute;left:5214;top:3;width:10;height:2" coordorigin="5214,3" coordsize="10,0" path="m5214,3l5223,3e" filled="false" stroked="true" strokeweight=".47998pt" strokecolor="#000000">
                <v:path arrowok="t"/>
              </v:shape>
            </v:group>
            <v:group style="position:absolute;left:5223;top:3;width:1820;height:2" coordorigin="5223,3" coordsize="1820,2">
              <v:shape style="position:absolute;left:5223;top:3;width:1820;height:2" coordorigin="5223,3" coordsize="1820,0" path="m5223,3l7043,3e" filled="false" stroked="true" strokeweight=".47998pt" strokecolor="#000000">
                <v:path arrowok="t"/>
              </v:shape>
            </v:group>
            <v:group style="position:absolute;left:7043;top:3;width:10;height:2" coordorigin="7043,3" coordsize="10,2">
              <v:shape style="position:absolute;left:7043;top:3;width:10;height:2" coordorigin="7043,3" coordsize="10,0" path="m7043,3l7053,3e" filled="false" stroked="true" strokeweight=".47998pt" strokecolor="#000000">
                <v:path arrowok="t"/>
              </v:shape>
            </v:group>
            <v:group style="position:absolute;left:7053;top:3;width:1818;height:2" coordorigin="7053,3" coordsize="1818,2">
              <v:shape style="position:absolute;left:7053;top:3;width:1818;height:2" coordorigin="7053,3" coordsize="1818,0" path="m7053,3l8870,3e" filled="false" stroked="true" strokeweight=".47998pt" strokecolor="#000000">
                <v:path arrowok="t"/>
              </v:shape>
            </v:group>
            <v:group style="position:absolute;left:8870;top:3;width:10;height:2" coordorigin="8870,3" coordsize="10,2">
              <v:shape style="position:absolute;left:8870;top:3;width:10;height:2" coordorigin="8870,3" coordsize="10,0" path="m8870,3l8880,3e" filled="false" stroked="true" strokeweight=".47998pt" strokecolor="#000000">
                <v:path arrowok="t"/>
              </v:shape>
            </v:group>
            <v:group style="position:absolute;left:8880;top:3;width:1897;height:2" coordorigin="8880,3" coordsize="1897,2">
              <v:shape style="position:absolute;left:8880;top:3;width:1897;height:2" coordorigin="8880,3" coordsize="1897,0" path="m8880,3l10776,3e" filled="false" stroked="true" strokeweight=".47998pt" strokecolor="#000000">
                <v:path arrowok="t"/>
              </v:shape>
            </v:group>
            <w10:wrap type="none"/>
          </v:group>
        </w:pict>
      </w:r>
      <w:r>
        <w:rPr>
          <w:rFonts w:ascii="宋体" w:hAnsi="宋体" w:cs="宋体" w:eastAsia="宋体" w:hint="default"/>
          <w:spacing w:val="10"/>
          <w:sz w:val="21"/>
          <w:szCs w:val="21"/>
        </w:rPr>
        <w:t>中国科学院地理科</w:t>
      </w:r>
    </w:p>
    <w:p>
      <w:pPr>
        <w:tabs>
          <w:tab w:pos="4571" w:val="left" w:leader="none"/>
        </w:tabs>
        <w:spacing w:before="42"/>
        <w:ind w:left="962"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期末数</w:t>
        <w:tab/>
        <w:t>期初数</w:t>
      </w:r>
      <w:r>
        <w:rPr>
          <w:rFonts w:ascii="宋体" w:hAnsi="宋体" w:cs="宋体" w:eastAsia="宋体" w:hint="default"/>
          <w:sz w:val="21"/>
          <w:szCs w:val="21"/>
        </w:rPr>
      </w:r>
    </w:p>
    <w:p>
      <w:pPr>
        <w:tabs>
          <w:tab w:pos="1649" w:val="left" w:leader="none"/>
          <w:tab w:pos="4319" w:val="left" w:leader="none"/>
          <w:tab w:pos="5384" w:val="left" w:leader="none"/>
        </w:tabs>
        <w:spacing w:before="138"/>
        <w:ind w:left="528" w:right="0" w:firstLine="0"/>
        <w:jc w:val="left"/>
        <w:rPr>
          <w:rFonts w:ascii="宋体" w:hAnsi="宋体" w:cs="宋体" w:eastAsia="宋体" w:hint="default"/>
          <w:sz w:val="21"/>
          <w:szCs w:val="21"/>
        </w:rPr>
      </w:pPr>
      <w:r>
        <w:rPr>
          <w:rFonts w:ascii="宋体" w:hAnsi="宋体" w:cs="宋体" w:eastAsia="宋体" w:hint="default"/>
          <w:b/>
          <w:bCs/>
          <w:sz w:val="21"/>
          <w:szCs w:val="21"/>
        </w:rPr>
        <w:t>金额</w:t>
        <w:tab/>
        <w:t>计提坏账金额</w:t>
        <w:tab/>
        <w:t>金额</w:t>
        <w:tab/>
        <w:t>计提坏账金额</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00" w:h="16850"/>
          <w:pgMar w:top="440" w:bottom="280" w:left="1140" w:right="900"/>
          <w:cols w:num="2" w:equalWidth="0">
            <w:col w:w="2311" w:space="567"/>
            <w:col w:w="6982"/>
          </w:cols>
        </w:sectPr>
      </w:pPr>
    </w:p>
    <w:p>
      <w:pPr>
        <w:tabs>
          <w:tab w:pos="2823" w:val="left" w:leader="none"/>
          <w:tab w:pos="4786" w:val="left" w:leader="none"/>
          <w:tab w:pos="6478" w:val="left" w:leader="none"/>
          <w:tab w:pos="8665" w:val="left" w:leader="none"/>
        </w:tabs>
        <w:spacing w:line="342" w:lineRule="exact" w:before="0"/>
        <w:ind w:left="528" w:right="0" w:firstLine="0"/>
        <w:jc w:val="left"/>
        <w:rPr>
          <w:rFonts w:ascii="Arial Narrow" w:hAnsi="Arial Narrow" w:cs="Arial Narrow" w:eastAsia="Arial Narrow" w:hint="default"/>
          <w:sz w:val="21"/>
          <w:szCs w:val="21"/>
        </w:rPr>
      </w:pPr>
      <w:r>
        <w:rPr>
          <w:rFonts w:ascii="宋体" w:hAnsi="宋体" w:cs="宋体" w:eastAsia="宋体" w:hint="default"/>
          <w:spacing w:val="-1"/>
          <w:position w:val="-13"/>
          <w:sz w:val="21"/>
          <w:szCs w:val="21"/>
        </w:rPr>
        <w:t>学与资源研究所</w:t>
        <w:tab/>
      </w:r>
      <w:r>
        <w:rPr>
          <w:rFonts w:ascii="Arial Narrow" w:hAnsi="Arial Narrow" w:cs="Arial Narrow" w:eastAsia="Arial Narrow" w:hint="default"/>
          <w:spacing w:val="-1"/>
          <w:sz w:val="21"/>
          <w:szCs w:val="21"/>
        </w:rPr>
        <w:t>1,791,253.15</w:t>
        <w:tab/>
        <w:t>1,167,041.35</w:t>
        <w:tab/>
        <w:t>1,864,103.00</w:t>
        <w:tab/>
        <w:t>601,140.45</w:t>
      </w:r>
      <w:r>
        <w:rPr>
          <w:rFonts w:ascii="Arial Narrow" w:hAnsi="Arial Narrow" w:cs="Arial Narrow" w:eastAsia="Arial Narrow" w:hint="default"/>
          <w:sz w:val="21"/>
          <w:szCs w:val="21"/>
        </w:rPr>
      </w:r>
    </w:p>
    <w:p>
      <w:pPr>
        <w:spacing w:line="240" w:lineRule="auto" w:before="1"/>
        <w:rPr>
          <w:rFonts w:ascii="Arial Narrow" w:hAnsi="Arial Narrow" w:cs="Arial Narrow" w:eastAsia="Arial Narrow" w:hint="default"/>
          <w:sz w:val="5"/>
          <w:szCs w:val="5"/>
        </w:rPr>
      </w:pPr>
    </w:p>
    <w:p>
      <w:pPr>
        <w:spacing w:line="20" w:lineRule="exact"/>
        <w:ind w:left="396"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62.5pt;height:1pt;mso-position-horizontal-relative:char;mso-position-vertical-relative:line" coordorigin="0,0" coordsize="9250,20">
            <v:group style="position:absolute;left:10;top:10;width:2012;height:2" coordorigin="10,10" coordsize="2012,2">
              <v:shape style="position:absolute;left:10;top:10;width:2012;height:2" coordorigin="10,10" coordsize="2012,0" path="m10,10l2021,10e" filled="false" stroked="true" strokeweight=".95999pt" strokecolor="#000000">
                <v:path arrowok="t"/>
              </v:shape>
            </v:group>
            <v:group style="position:absolute;left:2006;top:10;width:20;height:2" coordorigin="2006,10" coordsize="20,2">
              <v:shape style="position:absolute;left:2006;top:10;width:20;height:2" coordorigin="2006,10" coordsize="20,0" path="m2006,10l2026,10e" filled="false" stroked="true" strokeweight=".95999pt" strokecolor="#000000">
                <v:path arrowok="t"/>
              </v:shape>
            </v:group>
            <v:group style="position:absolute;left:2026;top:10;width:1652;height:2" coordorigin="2026,10" coordsize="1652,2">
              <v:shape style="position:absolute;left:2026;top:10;width:1652;height:2" coordorigin="2026,10" coordsize="1652,0" path="m2026,10l3677,10e" filled="false" stroked="true" strokeweight=".95999pt" strokecolor="#000000">
                <v:path arrowok="t"/>
              </v:shape>
            </v:group>
            <v:group style="position:absolute;left:3663;top:10;width:20;height:2" coordorigin="3663,10" coordsize="20,2">
              <v:shape style="position:absolute;left:3663;top:10;width:20;height:2" coordorigin="3663,10" coordsize="20,0" path="m3663,10l3682,10e" filled="false" stroked="true" strokeweight=".95999pt" strokecolor="#000000">
                <v:path arrowok="t"/>
              </v:shape>
            </v:group>
            <v:group style="position:absolute;left:3682;top:10;width:1825;height:2" coordorigin="3682,10" coordsize="1825,2">
              <v:shape style="position:absolute;left:3682;top:10;width:1825;height:2" coordorigin="3682,10" coordsize="1825,0" path="m3682,10l5507,10e" filled="false" stroked="true" strokeweight=".95999pt" strokecolor="#000000">
                <v:path arrowok="t"/>
              </v:shape>
            </v:group>
            <v:group style="position:absolute;left:5492;top:10;width:20;height:2" coordorigin="5492,10" coordsize="20,2">
              <v:shape style="position:absolute;left:5492;top:10;width:20;height:2" coordorigin="5492,10" coordsize="20,0" path="m5492,10l5511,10e" filled="false" stroked="true" strokeweight=".95999pt" strokecolor="#000000">
                <v:path arrowok="t"/>
              </v:shape>
            </v:group>
            <v:group style="position:absolute;left:5511;top:10;width:1823;height:2" coordorigin="5511,10" coordsize="1823,2">
              <v:shape style="position:absolute;left:5511;top:10;width:1823;height:2" coordorigin="5511,10" coordsize="1823,0" path="m5511,10l7333,10e" filled="false" stroked="true" strokeweight=".95999pt" strokecolor="#000000">
                <v:path arrowok="t"/>
              </v:shape>
            </v:group>
            <v:group style="position:absolute;left:7319;top:10;width:20;height:2" coordorigin="7319,10" coordsize="20,2">
              <v:shape style="position:absolute;left:7319;top:10;width:20;height:2" coordorigin="7319,10" coordsize="20,0" path="m7319,10l7338,10e" filled="false" stroked="true" strokeweight=".95999pt" strokecolor="#000000">
                <v:path arrowok="t"/>
              </v:shape>
            </v:group>
            <v:group style="position:absolute;left:7338;top:10;width:1902;height:2" coordorigin="7338,10" coordsize="1902,2">
              <v:shape style="position:absolute;left:7338;top:10;width:1902;height:2" coordorigin="7338,10" coordsize="1902,0" path="m7338,10l9240,10e" filled="false" stroked="true" strokeweight=".95999pt" strokecolor="#000000">
                <v:path arrowok="t"/>
              </v:shape>
            </v:group>
          </v:group>
        </w:pict>
      </w:r>
      <w:r>
        <w:rPr>
          <w:rFonts w:ascii="Arial Narrow" w:hAnsi="Arial Narrow" w:cs="Arial Narrow" w:eastAsia="Arial Narrow" w:hint="default"/>
          <w:sz w:val="2"/>
          <w:szCs w:val="2"/>
        </w:rPr>
      </w:r>
    </w:p>
    <w:p>
      <w:pPr>
        <w:pStyle w:val="BodyText"/>
        <w:spacing w:line="240" w:lineRule="auto" w:before="79"/>
        <w:ind w:left="559" w:right="0"/>
        <w:jc w:val="left"/>
      </w:pPr>
      <w:r>
        <w:rPr/>
        <w:t>（</w:t>
      </w:r>
      <w:r>
        <w:rPr>
          <w:rFonts w:ascii="Arial Narrow" w:hAnsi="Arial Narrow" w:cs="Arial Narrow" w:eastAsia="Arial Narrow" w:hint="default"/>
        </w:rPr>
        <w:t>3</w:t>
      </w:r>
      <w:r>
        <w:rPr/>
        <w:t>）应收账款金额前五名单位情况</w:t>
      </w:r>
    </w:p>
    <w:p>
      <w:pPr>
        <w:spacing w:line="240" w:lineRule="auto" w:before="2"/>
        <w:rPr>
          <w:rFonts w:ascii="宋体" w:hAnsi="宋体" w:cs="宋体" w:eastAsia="宋体" w:hint="default"/>
          <w:sz w:val="18"/>
          <w:szCs w:val="18"/>
        </w:rPr>
      </w:pPr>
    </w:p>
    <w:tbl>
      <w:tblPr>
        <w:tblW w:w="0" w:type="auto"/>
        <w:jc w:val="left"/>
        <w:tblInd w:w="439" w:type="dxa"/>
        <w:tblLayout w:type="fixed"/>
        <w:tblCellMar>
          <w:top w:w="0" w:type="dxa"/>
          <w:left w:w="0" w:type="dxa"/>
          <w:bottom w:w="0" w:type="dxa"/>
          <w:right w:w="0" w:type="dxa"/>
        </w:tblCellMar>
        <w:tblLook w:val="01E0"/>
      </w:tblPr>
      <w:tblGrid>
        <w:gridCol w:w="3235"/>
        <w:gridCol w:w="1338"/>
        <w:gridCol w:w="1434"/>
        <w:gridCol w:w="1133"/>
        <w:gridCol w:w="2156"/>
      </w:tblGrid>
      <w:tr>
        <w:trPr>
          <w:trHeight w:val="605" w:hRule="exact"/>
        </w:trPr>
        <w:tc>
          <w:tcPr>
            <w:tcW w:w="3235" w:type="dxa"/>
            <w:tcBorders>
              <w:top w:val="single" w:sz="8" w:space="0" w:color="000000"/>
              <w:left w:val="nil" w:sz="6" w:space="0" w:color="auto"/>
              <w:bottom w:val="single" w:sz="4" w:space="0" w:color="000000"/>
              <w:right w:val="nil" w:sz="6" w:space="0" w:color="auto"/>
            </w:tcBorders>
          </w:tcPr>
          <w:p>
            <w:pPr>
              <w:pStyle w:val="TableParagraph"/>
              <w:spacing w:line="240" w:lineRule="auto" w:before="99"/>
              <w:ind w:left="122" w:right="0"/>
              <w:jc w:val="left"/>
              <w:rPr>
                <w:rFonts w:ascii="宋体" w:hAnsi="宋体" w:cs="宋体" w:eastAsia="宋体" w:hint="default"/>
                <w:sz w:val="24"/>
                <w:szCs w:val="24"/>
              </w:rPr>
            </w:pPr>
            <w:r>
              <w:rPr>
                <w:rFonts w:ascii="宋体" w:hAnsi="宋体" w:cs="宋体" w:eastAsia="宋体" w:hint="default"/>
                <w:b/>
                <w:bCs/>
                <w:sz w:val="24"/>
                <w:szCs w:val="24"/>
              </w:rPr>
              <w:t>单位名称</w:t>
            </w:r>
            <w:r>
              <w:rPr>
                <w:rFonts w:ascii="宋体" w:hAnsi="宋体" w:cs="宋体" w:eastAsia="宋体" w:hint="default"/>
                <w:sz w:val="24"/>
                <w:szCs w:val="24"/>
              </w:rPr>
            </w:r>
          </w:p>
        </w:tc>
        <w:tc>
          <w:tcPr>
            <w:tcW w:w="1338" w:type="dxa"/>
            <w:tcBorders>
              <w:top w:val="single" w:sz="8" w:space="0" w:color="000000"/>
              <w:left w:val="nil" w:sz="6" w:space="0" w:color="auto"/>
              <w:bottom w:val="single" w:sz="4" w:space="0" w:color="000000"/>
              <w:right w:val="nil" w:sz="6" w:space="0" w:color="auto"/>
            </w:tcBorders>
          </w:tcPr>
          <w:p>
            <w:pPr>
              <w:pStyle w:val="TableParagraph"/>
              <w:spacing w:line="273" w:lineRule="exact"/>
              <w:ind w:left="209" w:right="0"/>
              <w:jc w:val="left"/>
              <w:rPr>
                <w:rFonts w:ascii="宋体" w:hAnsi="宋体" w:cs="宋体" w:eastAsia="宋体" w:hint="default"/>
                <w:sz w:val="24"/>
                <w:szCs w:val="24"/>
              </w:rPr>
            </w:pPr>
            <w:r>
              <w:rPr>
                <w:rFonts w:ascii="宋体" w:hAnsi="宋体" w:cs="宋体" w:eastAsia="宋体" w:hint="default"/>
                <w:b/>
                <w:bCs/>
                <w:sz w:val="24"/>
                <w:szCs w:val="24"/>
              </w:rPr>
              <w:t>与本公司</w:t>
            </w:r>
            <w:r>
              <w:rPr>
                <w:rFonts w:ascii="宋体" w:hAnsi="宋体" w:cs="宋体" w:eastAsia="宋体" w:hint="default"/>
                <w:sz w:val="24"/>
                <w:szCs w:val="24"/>
              </w:rPr>
            </w:r>
          </w:p>
          <w:p>
            <w:pPr>
              <w:pStyle w:val="TableParagraph"/>
              <w:spacing w:line="313" w:lineRule="exact"/>
              <w:ind w:left="691" w:right="0"/>
              <w:jc w:val="left"/>
              <w:rPr>
                <w:rFonts w:ascii="宋体" w:hAnsi="宋体" w:cs="宋体" w:eastAsia="宋体" w:hint="default"/>
                <w:sz w:val="24"/>
                <w:szCs w:val="24"/>
              </w:rPr>
            </w:pPr>
            <w:r>
              <w:rPr>
                <w:rFonts w:ascii="宋体" w:hAnsi="宋体" w:cs="宋体" w:eastAsia="宋体" w:hint="default"/>
                <w:b/>
                <w:bCs/>
                <w:sz w:val="24"/>
                <w:szCs w:val="24"/>
              </w:rPr>
              <w:t>关系</w:t>
            </w:r>
            <w:r>
              <w:rPr>
                <w:rFonts w:ascii="宋体" w:hAnsi="宋体" w:cs="宋体" w:eastAsia="宋体" w:hint="default"/>
                <w:sz w:val="24"/>
                <w:szCs w:val="24"/>
              </w:rPr>
            </w:r>
          </w:p>
        </w:tc>
        <w:tc>
          <w:tcPr>
            <w:tcW w:w="1434" w:type="dxa"/>
            <w:tcBorders>
              <w:top w:val="single" w:sz="8" w:space="0" w:color="000000"/>
              <w:left w:val="nil" w:sz="6" w:space="0" w:color="auto"/>
              <w:bottom w:val="single" w:sz="4" w:space="0" w:color="000000"/>
              <w:right w:val="nil" w:sz="6" w:space="0" w:color="auto"/>
            </w:tcBorders>
          </w:tcPr>
          <w:p>
            <w:pPr>
              <w:pStyle w:val="TableParagraph"/>
              <w:spacing w:line="240" w:lineRule="auto" w:before="99"/>
              <w:ind w:right="119"/>
              <w:jc w:val="right"/>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133" w:type="dxa"/>
            <w:tcBorders>
              <w:top w:val="single" w:sz="8" w:space="0" w:color="000000"/>
              <w:left w:val="nil" w:sz="6" w:space="0" w:color="auto"/>
              <w:bottom w:val="single" w:sz="4" w:space="0" w:color="000000"/>
              <w:right w:val="nil" w:sz="6" w:space="0" w:color="auto"/>
            </w:tcBorders>
          </w:tcPr>
          <w:p>
            <w:pPr>
              <w:pStyle w:val="TableParagraph"/>
              <w:spacing w:line="240" w:lineRule="auto" w:before="99"/>
              <w:ind w:right="118"/>
              <w:jc w:val="right"/>
              <w:rPr>
                <w:rFonts w:ascii="宋体" w:hAnsi="宋体" w:cs="宋体" w:eastAsia="宋体" w:hint="default"/>
                <w:sz w:val="24"/>
                <w:szCs w:val="24"/>
              </w:rPr>
            </w:pPr>
            <w:r>
              <w:rPr>
                <w:rFonts w:ascii="宋体" w:hAnsi="宋体" w:cs="宋体" w:eastAsia="宋体" w:hint="default"/>
                <w:b/>
                <w:bCs/>
                <w:sz w:val="24"/>
                <w:szCs w:val="24"/>
              </w:rPr>
              <w:t>年限</w:t>
            </w:r>
            <w:r>
              <w:rPr>
                <w:rFonts w:ascii="宋体" w:hAnsi="宋体" w:cs="宋体" w:eastAsia="宋体" w:hint="default"/>
                <w:sz w:val="24"/>
                <w:szCs w:val="24"/>
              </w:rPr>
            </w:r>
          </w:p>
        </w:tc>
        <w:tc>
          <w:tcPr>
            <w:tcW w:w="2156" w:type="dxa"/>
            <w:tcBorders>
              <w:top w:val="single" w:sz="8" w:space="0" w:color="000000"/>
              <w:left w:val="nil" w:sz="6" w:space="0" w:color="auto"/>
              <w:bottom w:val="single" w:sz="4" w:space="0" w:color="000000"/>
              <w:right w:val="nil" w:sz="6" w:space="0" w:color="auto"/>
            </w:tcBorders>
          </w:tcPr>
          <w:p>
            <w:pPr>
              <w:pStyle w:val="TableParagraph"/>
              <w:spacing w:line="273" w:lineRule="exact"/>
              <w:ind w:left="120" w:right="0"/>
              <w:jc w:val="left"/>
              <w:rPr>
                <w:rFonts w:ascii="宋体" w:hAnsi="宋体" w:cs="宋体" w:eastAsia="宋体" w:hint="default"/>
                <w:sz w:val="24"/>
                <w:szCs w:val="24"/>
              </w:rPr>
            </w:pPr>
            <w:r>
              <w:rPr>
                <w:rFonts w:ascii="宋体" w:hAnsi="宋体" w:cs="宋体" w:eastAsia="宋体" w:hint="default"/>
                <w:b/>
                <w:bCs/>
                <w:sz w:val="24"/>
                <w:szCs w:val="24"/>
              </w:rPr>
              <w:t>占应收账款总额的</w:t>
            </w:r>
            <w:r>
              <w:rPr>
                <w:rFonts w:ascii="宋体" w:hAnsi="宋体" w:cs="宋体" w:eastAsia="宋体" w:hint="default"/>
                <w:sz w:val="24"/>
                <w:szCs w:val="24"/>
              </w:rPr>
            </w:r>
          </w:p>
          <w:p>
            <w:pPr>
              <w:pStyle w:val="TableParagraph"/>
              <w:spacing w:line="330" w:lineRule="exact"/>
              <w:ind w:left="1389" w:right="0"/>
              <w:jc w:val="left"/>
              <w:rPr>
                <w:rFonts w:ascii="Arial Narrow" w:hAnsi="Arial Narrow" w:cs="Arial Narrow" w:eastAsia="Arial Narrow" w:hint="default"/>
                <w:sz w:val="24"/>
                <w:szCs w:val="24"/>
              </w:rPr>
            </w:pPr>
            <w:r>
              <w:rPr>
                <w:rFonts w:ascii="宋体" w:hAnsi="宋体" w:cs="宋体" w:eastAsia="宋体"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652" w:hRule="exact"/>
        </w:trPr>
        <w:tc>
          <w:tcPr>
            <w:tcW w:w="3235" w:type="dxa"/>
            <w:tcBorders>
              <w:top w:val="single" w:sz="4" w:space="0" w:color="000000"/>
              <w:left w:val="nil" w:sz="6" w:space="0" w:color="auto"/>
              <w:bottom w:val="nil" w:sz="6" w:space="0" w:color="auto"/>
              <w:right w:val="nil" w:sz="6" w:space="0" w:color="auto"/>
            </w:tcBorders>
          </w:tcPr>
          <w:p>
            <w:pPr>
              <w:pStyle w:val="TableParagraph"/>
              <w:spacing w:line="312" w:lineRule="exact" w:before="7"/>
              <w:ind w:left="122" w:right="207"/>
              <w:jc w:val="left"/>
              <w:rPr>
                <w:rFonts w:ascii="宋体" w:hAnsi="宋体" w:cs="宋体" w:eastAsia="宋体" w:hint="default"/>
                <w:sz w:val="24"/>
                <w:szCs w:val="24"/>
              </w:rPr>
            </w:pPr>
            <w:r>
              <w:rPr>
                <w:rFonts w:ascii="宋体" w:hAnsi="宋体" w:cs="宋体" w:eastAsia="宋体" w:hint="default"/>
                <w:spacing w:val="21"/>
                <w:sz w:val="24"/>
                <w:szCs w:val="24"/>
              </w:rPr>
              <w:t>西安浐灞生态区管理委员</w:t>
            </w:r>
            <w:r>
              <w:rPr>
                <w:rFonts w:ascii="宋体" w:hAnsi="宋体" w:cs="宋体" w:eastAsia="宋体" w:hint="default"/>
                <w:spacing w:val="-112"/>
                <w:sz w:val="24"/>
                <w:szCs w:val="24"/>
              </w:rPr>
              <w:t> </w:t>
            </w:r>
            <w:r>
              <w:rPr>
                <w:rFonts w:ascii="宋体" w:hAnsi="宋体" w:cs="宋体" w:eastAsia="宋体" w:hint="default"/>
                <w:sz w:val="24"/>
                <w:szCs w:val="24"/>
              </w:rPr>
              <w:t>会</w:t>
            </w:r>
          </w:p>
        </w:tc>
        <w:tc>
          <w:tcPr>
            <w:tcW w:w="1338"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162"/>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34" w:type="dxa"/>
            <w:tcBorders>
              <w:top w:val="single" w:sz="4" w:space="0" w:color="000000"/>
              <w:left w:val="nil" w:sz="6" w:space="0" w:color="auto"/>
              <w:bottom w:val="nil" w:sz="6" w:space="0" w:color="auto"/>
              <w:right w:val="nil" w:sz="6" w:space="0" w:color="auto"/>
            </w:tcBorders>
          </w:tcPr>
          <w:p>
            <w:pPr>
              <w:pStyle w:val="TableParagraph"/>
              <w:spacing w:line="240" w:lineRule="auto" w:before="185"/>
              <w:ind w:right="120"/>
              <w:jc w:val="right"/>
              <w:rPr>
                <w:rFonts w:ascii="Arial Narrow" w:hAnsi="Arial Narrow" w:cs="Arial Narrow" w:eastAsia="Arial Narrow" w:hint="default"/>
                <w:sz w:val="24"/>
                <w:szCs w:val="24"/>
              </w:rPr>
            </w:pPr>
            <w:r>
              <w:rPr>
                <w:rFonts w:ascii="Arial Narrow"/>
                <w:spacing w:val="-1"/>
                <w:sz w:val="24"/>
              </w:rPr>
              <w:t>8,993,600.00</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right="120"/>
              <w:jc w:val="righ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2156" w:type="dxa"/>
            <w:tcBorders>
              <w:top w:val="single" w:sz="4" w:space="0" w:color="000000"/>
              <w:left w:val="nil" w:sz="6" w:space="0" w:color="auto"/>
              <w:bottom w:val="nil" w:sz="6" w:space="0" w:color="auto"/>
              <w:right w:val="nil" w:sz="6" w:space="0" w:color="auto"/>
            </w:tcBorders>
          </w:tcPr>
          <w:p>
            <w:pPr>
              <w:pStyle w:val="TableParagraph"/>
              <w:spacing w:line="240" w:lineRule="auto" w:before="185"/>
              <w:ind w:right="105"/>
              <w:jc w:val="right"/>
              <w:rPr>
                <w:rFonts w:ascii="Arial Narrow" w:hAnsi="Arial Narrow" w:cs="Arial Narrow" w:eastAsia="Arial Narrow" w:hint="default"/>
                <w:sz w:val="24"/>
                <w:szCs w:val="24"/>
              </w:rPr>
            </w:pPr>
            <w:r>
              <w:rPr>
                <w:rFonts w:ascii="Arial Narrow"/>
                <w:sz w:val="24"/>
              </w:rPr>
              <w:t>6.07</w:t>
            </w:r>
          </w:p>
        </w:tc>
      </w:tr>
      <w:tr>
        <w:trPr>
          <w:trHeight w:val="631" w:hRule="exact"/>
        </w:trPr>
        <w:tc>
          <w:tcPr>
            <w:tcW w:w="3235" w:type="dxa"/>
            <w:tcBorders>
              <w:top w:val="nil" w:sz="6" w:space="0" w:color="auto"/>
              <w:left w:val="nil" w:sz="6" w:space="0" w:color="auto"/>
              <w:bottom w:val="nil" w:sz="6" w:space="0" w:color="auto"/>
              <w:right w:val="nil" w:sz="6" w:space="0" w:color="auto"/>
            </w:tcBorders>
          </w:tcPr>
          <w:p>
            <w:pPr>
              <w:pStyle w:val="TableParagraph"/>
              <w:spacing w:line="312" w:lineRule="exact" w:before="1"/>
              <w:ind w:left="122" w:right="207"/>
              <w:jc w:val="left"/>
              <w:rPr>
                <w:rFonts w:ascii="宋体" w:hAnsi="宋体" w:cs="宋体" w:eastAsia="宋体" w:hint="default"/>
                <w:sz w:val="24"/>
                <w:szCs w:val="24"/>
              </w:rPr>
            </w:pPr>
            <w:r>
              <w:rPr>
                <w:rFonts w:ascii="宋体" w:hAnsi="宋体" w:cs="宋体" w:eastAsia="宋体" w:hint="default"/>
                <w:spacing w:val="21"/>
                <w:sz w:val="24"/>
                <w:szCs w:val="24"/>
              </w:rPr>
              <w:t>西安曲江新区土地储备中</w:t>
            </w:r>
            <w:r>
              <w:rPr>
                <w:rFonts w:ascii="宋体" w:hAnsi="宋体" w:cs="宋体" w:eastAsia="宋体" w:hint="default"/>
                <w:spacing w:val="-112"/>
                <w:sz w:val="24"/>
                <w:szCs w:val="24"/>
              </w:rPr>
              <w:t> </w:t>
            </w:r>
            <w:r>
              <w:rPr>
                <w:rFonts w:ascii="宋体" w:hAnsi="宋体" w:cs="宋体" w:eastAsia="宋体" w:hint="default"/>
                <w:sz w:val="24"/>
                <w:szCs w:val="24"/>
              </w:rPr>
              <w:t>心</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62"/>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20"/>
              <w:jc w:val="right"/>
              <w:rPr>
                <w:rFonts w:ascii="Arial Narrow" w:hAnsi="Arial Narrow" w:cs="Arial Narrow" w:eastAsia="Arial Narrow" w:hint="default"/>
                <w:sz w:val="24"/>
                <w:szCs w:val="24"/>
              </w:rPr>
            </w:pPr>
            <w:r>
              <w:rPr>
                <w:rFonts w:ascii="Arial Narrow"/>
                <w:spacing w:val="-1"/>
                <w:sz w:val="24"/>
              </w:rPr>
              <w:t>6,605,800.00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20"/>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05"/>
              <w:jc w:val="right"/>
              <w:rPr>
                <w:rFonts w:ascii="Arial Narrow" w:hAnsi="Arial Narrow" w:cs="Arial Narrow" w:eastAsia="Arial Narrow" w:hint="default"/>
                <w:sz w:val="24"/>
                <w:szCs w:val="24"/>
              </w:rPr>
            </w:pPr>
            <w:r>
              <w:rPr>
                <w:rFonts w:ascii="Arial Narrow"/>
                <w:sz w:val="24"/>
              </w:rPr>
              <w:t>4.46</w:t>
            </w:r>
          </w:p>
        </w:tc>
      </w:tr>
      <w:tr>
        <w:trPr>
          <w:trHeight w:val="641" w:hRule="exact"/>
        </w:trPr>
        <w:tc>
          <w:tcPr>
            <w:tcW w:w="3235" w:type="dxa"/>
            <w:tcBorders>
              <w:top w:val="nil" w:sz="6" w:space="0" w:color="auto"/>
              <w:left w:val="nil" w:sz="6" w:space="0" w:color="auto"/>
              <w:bottom w:val="nil" w:sz="6" w:space="0" w:color="auto"/>
              <w:right w:val="nil" w:sz="6" w:space="0" w:color="auto"/>
            </w:tcBorders>
          </w:tcPr>
          <w:p>
            <w:pPr>
              <w:pStyle w:val="TableParagraph"/>
              <w:spacing w:line="274" w:lineRule="exact"/>
              <w:ind w:left="122" w:right="0"/>
              <w:jc w:val="left"/>
              <w:rPr>
                <w:rFonts w:ascii="宋体" w:hAnsi="宋体" w:cs="宋体" w:eastAsia="宋体" w:hint="default"/>
                <w:sz w:val="24"/>
                <w:szCs w:val="24"/>
              </w:rPr>
            </w:pPr>
            <w:r>
              <w:rPr>
                <w:rFonts w:ascii="宋体" w:hAnsi="宋体" w:cs="宋体" w:eastAsia="宋体" w:hint="default"/>
                <w:spacing w:val="21"/>
                <w:sz w:val="24"/>
                <w:szCs w:val="24"/>
              </w:rPr>
              <w:t>中关村科技园区管理委员</w:t>
            </w:r>
            <w:r>
              <w:rPr>
                <w:rFonts w:ascii="宋体" w:hAnsi="宋体" w:cs="宋体" w:eastAsia="宋体" w:hint="default"/>
                <w:spacing w:val="-96"/>
                <w:sz w:val="24"/>
                <w:szCs w:val="24"/>
              </w:rPr>
              <w:t> </w:t>
            </w:r>
            <w:r>
              <w:rPr>
                <w:rFonts w:ascii="宋体" w:hAnsi="宋体" w:cs="宋体" w:eastAsia="宋体" w:hint="default"/>
                <w:sz w:val="24"/>
                <w:szCs w:val="24"/>
              </w:rPr>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会</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62"/>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20"/>
              <w:jc w:val="right"/>
              <w:rPr>
                <w:rFonts w:ascii="Arial Narrow" w:hAnsi="Arial Narrow" w:cs="Arial Narrow" w:eastAsia="Arial Narrow" w:hint="default"/>
                <w:sz w:val="24"/>
                <w:szCs w:val="24"/>
              </w:rPr>
            </w:pPr>
            <w:r>
              <w:rPr>
                <w:rFonts w:ascii="Arial Narrow"/>
                <w:spacing w:val="-1"/>
                <w:sz w:val="24"/>
              </w:rPr>
              <w:t>5,066,400.00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0"/>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05"/>
              <w:jc w:val="right"/>
              <w:rPr>
                <w:rFonts w:ascii="Arial Narrow" w:hAnsi="Arial Narrow" w:cs="Arial Narrow" w:eastAsia="Arial Narrow" w:hint="default"/>
                <w:sz w:val="24"/>
                <w:szCs w:val="24"/>
              </w:rPr>
            </w:pPr>
            <w:r>
              <w:rPr>
                <w:rFonts w:ascii="Arial Narrow"/>
                <w:sz w:val="24"/>
              </w:rPr>
              <w:t>3.42</w:t>
            </w:r>
          </w:p>
        </w:tc>
      </w:tr>
      <w:tr>
        <w:trPr>
          <w:trHeight w:val="377" w:hRule="exact"/>
        </w:trPr>
        <w:tc>
          <w:tcPr>
            <w:tcW w:w="3235" w:type="dxa"/>
            <w:tcBorders>
              <w:top w:val="nil" w:sz="6" w:space="0" w:color="auto"/>
              <w:left w:val="nil" w:sz="6" w:space="0" w:color="auto"/>
              <w:bottom w:val="nil" w:sz="6" w:space="0" w:color="auto"/>
              <w:right w:val="nil" w:sz="6" w:space="0" w:color="auto"/>
            </w:tcBorders>
          </w:tcPr>
          <w:p>
            <w:pPr>
              <w:pStyle w:val="TableParagraph"/>
              <w:spacing w:line="294" w:lineRule="exact"/>
              <w:ind w:left="122" w:right="0"/>
              <w:jc w:val="left"/>
              <w:rPr>
                <w:rFonts w:ascii="宋体" w:hAnsi="宋体" w:cs="宋体" w:eastAsia="宋体" w:hint="default"/>
                <w:sz w:val="24"/>
                <w:szCs w:val="24"/>
              </w:rPr>
            </w:pPr>
            <w:r>
              <w:rPr>
                <w:rFonts w:ascii="宋体" w:hAnsi="宋体" w:cs="宋体" w:eastAsia="宋体" w:hint="default"/>
                <w:sz w:val="24"/>
                <w:szCs w:val="24"/>
              </w:rPr>
              <w:t>广西柳州市国土资源局</w:t>
            </w:r>
          </w:p>
        </w:tc>
        <w:tc>
          <w:tcPr>
            <w:tcW w:w="1338" w:type="dxa"/>
            <w:tcBorders>
              <w:top w:val="nil" w:sz="6" w:space="0" w:color="auto"/>
              <w:left w:val="nil" w:sz="6" w:space="0" w:color="auto"/>
              <w:bottom w:val="nil" w:sz="6" w:space="0" w:color="auto"/>
              <w:right w:val="nil" w:sz="6" w:space="0" w:color="auto"/>
            </w:tcBorders>
          </w:tcPr>
          <w:p>
            <w:pPr>
              <w:pStyle w:val="TableParagraph"/>
              <w:spacing w:line="294" w:lineRule="exact"/>
              <w:ind w:right="162"/>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0"/>
              <w:jc w:val="right"/>
              <w:rPr>
                <w:rFonts w:ascii="Arial Narrow" w:hAnsi="Arial Narrow" w:cs="Arial Narrow" w:eastAsia="Arial Narrow" w:hint="default"/>
                <w:sz w:val="24"/>
                <w:szCs w:val="24"/>
              </w:rPr>
            </w:pPr>
            <w:r>
              <w:rPr>
                <w:rFonts w:ascii="Arial Narrow"/>
                <w:spacing w:val="-1"/>
                <w:sz w:val="24"/>
              </w:rPr>
              <w:t>4,732,420.00</w:t>
            </w:r>
          </w:p>
        </w:tc>
        <w:tc>
          <w:tcPr>
            <w:tcW w:w="1133" w:type="dxa"/>
            <w:tcBorders>
              <w:top w:val="nil" w:sz="6" w:space="0" w:color="auto"/>
              <w:left w:val="nil" w:sz="6" w:space="0" w:color="auto"/>
              <w:bottom w:val="nil" w:sz="6" w:space="0" w:color="auto"/>
              <w:right w:val="nil" w:sz="6" w:space="0" w:color="auto"/>
            </w:tcBorders>
          </w:tcPr>
          <w:p>
            <w:pPr>
              <w:pStyle w:val="TableParagraph"/>
              <w:spacing w:line="311" w:lineRule="exact"/>
              <w:ind w:right="120"/>
              <w:jc w:val="righ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Arial Narrow" w:hAnsi="Arial Narrow" w:cs="Arial Narrow" w:eastAsia="Arial Narrow" w:hint="default"/>
                <w:sz w:val="24"/>
                <w:szCs w:val="24"/>
              </w:rPr>
            </w:pPr>
            <w:r>
              <w:rPr>
                <w:rFonts w:ascii="Arial Narrow"/>
                <w:sz w:val="24"/>
              </w:rPr>
              <w:t>3.19</w:t>
            </w:r>
          </w:p>
        </w:tc>
      </w:tr>
      <w:tr>
        <w:trPr>
          <w:trHeight w:val="397" w:hRule="exact"/>
        </w:trPr>
        <w:tc>
          <w:tcPr>
            <w:tcW w:w="3235" w:type="dxa"/>
            <w:tcBorders>
              <w:top w:val="nil" w:sz="6" w:space="0" w:color="auto"/>
              <w:left w:val="nil" w:sz="6" w:space="0" w:color="auto"/>
              <w:bottom w:val="single" w:sz="4"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贵州省贵阳市信息中心</w:t>
            </w:r>
          </w:p>
        </w:tc>
        <w:tc>
          <w:tcPr>
            <w:tcW w:w="1338" w:type="dxa"/>
            <w:tcBorders>
              <w:top w:val="nil" w:sz="6" w:space="0" w:color="auto"/>
              <w:left w:val="nil" w:sz="6" w:space="0" w:color="auto"/>
              <w:bottom w:val="single" w:sz="4" w:space="0" w:color="000000"/>
              <w:right w:val="nil" w:sz="6" w:space="0" w:color="auto"/>
            </w:tcBorders>
          </w:tcPr>
          <w:p>
            <w:pPr>
              <w:pStyle w:val="TableParagraph"/>
              <w:spacing w:line="313" w:lineRule="exact"/>
              <w:ind w:right="162"/>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43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20"/>
              <w:jc w:val="right"/>
              <w:rPr>
                <w:rFonts w:ascii="Arial Narrow" w:hAnsi="Arial Narrow" w:cs="Arial Narrow" w:eastAsia="Arial Narrow" w:hint="default"/>
                <w:sz w:val="24"/>
                <w:szCs w:val="24"/>
              </w:rPr>
            </w:pPr>
            <w:r>
              <w:rPr>
                <w:rFonts w:ascii="Arial Narrow"/>
                <w:spacing w:val="-1"/>
                <w:sz w:val="24"/>
              </w:rPr>
              <w:t>3,808,000.00</w:t>
            </w:r>
          </w:p>
        </w:tc>
        <w:tc>
          <w:tcPr>
            <w:tcW w:w="1133" w:type="dxa"/>
            <w:tcBorders>
              <w:top w:val="nil" w:sz="6" w:space="0" w:color="auto"/>
              <w:left w:val="nil" w:sz="6" w:space="0" w:color="auto"/>
              <w:bottom w:val="single" w:sz="4" w:space="0" w:color="000000"/>
              <w:right w:val="nil" w:sz="6" w:space="0" w:color="auto"/>
            </w:tcBorders>
          </w:tcPr>
          <w:p>
            <w:pPr>
              <w:pStyle w:val="TableParagraph"/>
              <w:spacing w:line="329" w:lineRule="exact"/>
              <w:ind w:right="120"/>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2156"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5"/>
              <w:jc w:val="right"/>
              <w:rPr>
                <w:rFonts w:ascii="Arial Narrow" w:hAnsi="Arial Narrow" w:cs="Arial Narrow" w:eastAsia="Arial Narrow" w:hint="default"/>
                <w:sz w:val="24"/>
                <w:szCs w:val="24"/>
              </w:rPr>
            </w:pPr>
            <w:r>
              <w:rPr>
                <w:rFonts w:ascii="Arial Narrow"/>
                <w:sz w:val="24"/>
              </w:rPr>
              <w:t>2.57</w:t>
            </w:r>
          </w:p>
        </w:tc>
      </w:tr>
      <w:tr>
        <w:trPr>
          <w:trHeight w:val="403" w:hRule="exact"/>
        </w:trPr>
        <w:tc>
          <w:tcPr>
            <w:tcW w:w="3235"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338" w:type="dxa"/>
            <w:tcBorders>
              <w:top w:val="single" w:sz="4" w:space="0" w:color="000000"/>
              <w:left w:val="nil" w:sz="6" w:space="0" w:color="auto"/>
              <w:bottom w:val="single" w:sz="8" w:space="0" w:color="000000"/>
              <w:right w:val="nil" w:sz="6" w:space="0" w:color="auto"/>
            </w:tcBorders>
          </w:tcPr>
          <w:p>
            <w:pPr/>
          </w:p>
        </w:tc>
        <w:tc>
          <w:tcPr>
            <w:tcW w:w="143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19"/>
              <w:jc w:val="right"/>
              <w:rPr>
                <w:rFonts w:ascii="Arial Narrow" w:hAnsi="Arial Narrow" w:cs="Arial Narrow" w:eastAsia="Arial Narrow" w:hint="default"/>
                <w:sz w:val="24"/>
                <w:szCs w:val="24"/>
              </w:rPr>
            </w:pPr>
            <w:r>
              <w:rPr>
                <w:rFonts w:ascii="Arial Narrow"/>
                <w:b/>
                <w:spacing w:val="-1"/>
                <w:sz w:val="24"/>
              </w:rPr>
              <w:t>29,206,220.00</w:t>
            </w:r>
            <w:r>
              <w:rPr>
                <w:rFonts w:ascii="Arial Narrow"/>
                <w:spacing w:val="-1"/>
                <w:sz w:val="24"/>
              </w:rPr>
            </w:r>
          </w:p>
        </w:tc>
        <w:tc>
          <w:tcPr>
            <w:tcW w:w="1133" w:type="dxa"/>
            <w:tcBorders>
              <w:top w:val="single" w:sz="4" w:space="0" w:color="000000"/>
              <w:left w:val="nil" w:sz="6" w:space="0" w:color="auto"/>
              <w:bottom w:val="single" w:sz="8" w:space="0" w:color="000000"/>
              <w:right w:val="nil" w:sz="6" w:space="0" w:color="auto"/>
            </w:tcBorders>
          </w:tcPr>
          <w:p>
            <w:pPr/>
          </w:p>
        </w:tc>
        <w:tc>
          <w:tcPr>
            <w:tcW w:w="215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b/>
                <w:spacing w:val="-1"/>
                <w:sz w:val="24"/>
              </w:rPr>
              <w:t>19.71</w:t>
            </w:r>
            <w:r>
              <w:rPr>
                <w:rFonts w:ascii="Arial Narrow"/>
                <w:spacing w:val="-1"/>
                <w:sz w:val="24"/>
              </w:rPr>
            </w:r>
          </w:p>
        </w:tc>
      </w:tr>
    </w:tbl>
    <w:p>
      <w:pPr>
        <w:pStyle w:val="BodyText"/>
        <w:spacing w:line="240" w:lineRule="auto" w:before="79"/>
        <w:ind w:left="142" w:right="0"/>
        <w:jc w:val="left"/>
      </w:pPr>
      <w:r>
        <w:rPr>
          <w:rFonts w:ascii="Arial Narrow" w:hAnsi="Arial Narrow" w:cs="Arial Narrow" w:eastAsia="Arial Narrow" w:hint="default"/>
        </w:rPr>
        <w:t>2</w:t>
      </w:r>
      <w:r>
        <w:rPr/>
        <w:t>、其他应收款</w:t>
      </w:r>
    </w:p>
    <w:p>
      <w:pPr>
        <w:pStyle w:val="BodyText"/>
        <w:spacing w:line="240" w:lineRule="auto" w:before="197"/>
        <w:ind w:left="559" w:right="0"/>
        <w:jc w:val="left"/>
      </w:pPr>
      <w:r>
        <w:rPr/>
        <w:t>（</w:t>
      </w:r>
      <w:r>
        <w:rPr>
          <w:rFonts w:ascii="Arial Narrow" w:hAnsi="Arial Narrow" w:cs="Arial Narrow" w:eastAsia="Arial Narrow" w:hint="default"/>
        </w:rPr>
        <w:t>1</w:t>
      </w:r>
      <w:r>
        <w:rPr/>
        <w:t>）其他应收款按种类披露</w:t>
      </w:r>
    </w:p>
    <w:p>
      <w:pPr>
        <w:spacing w:line="240" w:lineRule="auto" w:before="2"/>
        <w:rPr>
          <w:rFonts w:ascii="宋体" w:hAnsi="宋体" w:cs="宋体" w:eastAsia="宋体" w:hint="default"/>
          <w:sz w:val="18"/>
          <w:szCs w:val="18"/>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0.1pt;height:1pt;mso-position-horizontal-relative:char;mso-position-vertical-relative:line" coordorigin="0,0" coordsize="9202,20">
            <v:group style="position:absolute;left:10;top:10;width:2787;height:2" coordorigin="10,10" coordsize="2787,2">
              <v:shape style="position:absolute;left:10;top:10;width:2787;height:2" coordorigin="10,10" coordsize="2787,0" path="m10,10l2796,10e" filled="false" stroked="true" strokeweight=".96002pt" strokecolor="#000000">
                <v:path arrowok="t"/>
              </v:shape>
            </v:group>
            <v:group style="position:absolute;left:2797;top:10;width:20;height:2" coordorigin="2797,10" coordsize="20,2">
              <v:shape style="position:absolute;left:2797;top:10;width:20;height:2" coordorigin="2797,10" coordsize="20,0" path="m2797,10l2816,10e" filled="false" stroked="true" strokeweight=".96002pt" strokecolor="#000000">
                <v:path arrowok="t"/>
              </v:shape>
            </v:group>
            <v:group style="position:absolute;left:2816;top:10;width:6376;height:2" coordorigin="2816,10" coordsize="6376,2">
              <v:shape style="position:absolute;left:2816;top:10;width:6376;height:2" coordorigin="2816,10" coordsize="6376,0" path="m2816,10l9192,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00" w:h="16850"/>
          <w:pgMar w:top="440" w:bottom="280" w:left="1140" w:right="900"/>
        </w:sectPr>
      </w:pPr>
    </w:p>
    <w:p>
      <w:pPr>
        <w:spacing w:line="240" w:lineRule="auto" w:before="5"/>
        <w:rPr>
          <w:rFonts w:ascii="宋体" w:hAnsi="宋体" w:cs="宋体" w:eastAsia="宋体" w:hint="default"/>
          <w:sz w:val="16"/>
          <w:szCs w:val="16"/>
        </w:rPr>
      </w:pPr>
    </w:p>
    <w:p>
      <w:pPr>
        <w:tabs>
          <w:tab w:pos="984" w:val="left" w:leader="none"/>
        </w:tabs>
        <w:spacing w:before="0"/>
        <w:ind w:left="562" w:right="0" w:firstLine="0"/>
        <w:jc w:val="left"/>
        <w:rPr>
          <w:rFonts w:ascii="宋体" w:hAnsi="宋体" w:cs="宋体" w:eastAsia="宋体" w:hint="default"/>
          <w:sz w:val="21"/>
          <w:szCs w:val="21"/>
        </w:rPr>
      </w:pPr>
      <w:r>
        <w:rPr>
          <w:rFonts w:ascii="宋体" w:hAnsi="宋体" w:cs="宋体" w:eastAsia="宋体" w:hint="default"/>
          <w:b/>
          <w:bCs/>
          <w:sz w:val="21"/>
          <w:szCs w:val="21"/>
        </w:rPr>
        <w:t>种</w:t>
        <w:tab/>
        <w:t>类</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line="272" w:lineRule="exact" w:before="0"/>
        <w:ind w:left="562" w:right="0" w:firstLine="0"/>
        <w:jc w:val="left"/>
        <w:rPr>
          <w:rFonts w:ascii="宋体" w:hAnsi="宋体" w:cs="宋体" w:eastAsia="宋体" w:hint="default"/>
          <w:sz w:val="21"/>
          <w:szCs w:val="21"/>
        </w:rPr>
      </w:pPr>
      <w:r>
        <w:rPr/>
        <w:pict>
          <v:group style="position:absolute;margin-left:79.464012pt;margin-top:-1.239984pt;width:459.6pt;height:.5pt;mso-position-horizontal-relative:page;mso-position-vertical-relative:paragraph;z-index:2896" coordorigin="1589,-25" coordsize="9192,10">
            <v:group style="position:absolute;left:1594;top:-20;width:2787;height:2" coordorigin="1594,-20" coordsize="2787,2">
              <v:shape style="position:absolute;left:1594;top:-20;width:2787;height:2" coordorigin="1594,-20" coordsize="2787,0" path="m1594,-20l4381,-20e" filled="false" stroked="true" strokeweight=".47998pt" strokecolor="#000000">
                <v:path arrowok="t"/>
              </v:shape>
            </v:group>
            <v:group style="position:absolute;left:4381;top:-20;width:10;height:2" coordorigin="4381,-20" coordsize="10,2">
              <v:shape style="position:absolute;left:4381;top:-20;width:10;height:2" coordorigin="4381,-20" coordsize="10,0" path="m4381,-20l4391,-20e" filled="false" stroked="true" strokeweight=".47998pt" strokecolor="#000000">
                <v:path arrowok="t"/>
              </v:shape>
            </v:group>
            <v:group style="position:absolute;left:4391;top:-20;width:1640;height:2" coordorigin="4391,-20" coordsize="1640,2">
              <v:shape style="position:absolute;left:4391;top:-20;width:1640;height:2" coordorigin="4391,-20" coordsize="1640,0" path="m4391,-20l6030,-20e" filled="false" stroked="true" strokeweight=".47998pt" strokecolor="#000000">
                <v:path arrowok="t"/>
              </v:shape>
            </v:group>
            <v:group style="position:absolute;left:6030;top:-20;width:10;height:2" coordorigin="6030,-20" coordsize="10,2">
              <v:shape style="position:absolute;left:6030;top:-20;width:10;height:2" coordorigin="6030,-20" coordsize="10,0" path="m6030,-20l6040,-20e" filled="false" stroked="true" strokeweight=".47998pt" strokecolor="#000000">
                <v:path arrowok="t"/>
              </v:shape>
            </v:group>
            <v:group style="position:absolute;left:6040;top:-20;width:1637;height:2" coordorigin="6040,-20" coordsize="1637,2">
              <v:shape style="position:absolute;left:6040;top:-20;width:1637;height:2" coordorigin="6040,-20" coordsize="1637,0" path="m6040,-20l7677,-20e" filled="false" stroked="true" strokeweight=".47998pt" strokecolor="#000000">
                <v:path arrowok="t"/>
              </v:shape>
            </v:group>
            <v:group style="position:absolute;left:7677;top:-20;width:10;height:2" coordorigin="7677,-20" coordsize="10,2">
              <v:shape style="position:absolute;left:7677;top:-20;width:10;height:2" coordorigin="7677,-20" coordsize="10,0" path="m7677,-20l7686,-20e" filled="false" stroked="true" strokeweight=".47998pt" strokecolor="#000000">
                <v:path arrowok="t"/>
              </v:shape>
            </v:group>
            <v:group style="position:absolute;left:7686;top:-20;width:1640;height:2" coordorigin="7686,-20" coordsize="1640,2">
              <v:shape style="position:absolute;left:7686;top:-20;width:1640;height:2" coordorigin="7686,-20" coordsize="1640,0" path="m7686,-20l9326,-20e" filled="false" stroked="true" strokeweight=".47998pt" strokecolor="#000000">
                <v:path arrowok="t"/>
              </v:shape>
            </v:group>
            <v:group style="position:absolute;left:9326;top:-20;width:10;height:2" coordorigin="9326,-20" coordsize="10,2">
              <v:shape style="position:absolute;left:9326;top:-20;width:10;height:2" coordorigin="9326,-20" coordsize="10,0" path="m9326,-20l9336,-20e" filled="false" stroked="true" strokeweight=".47998pt" strokecolor="#000000">
                <v:path arrowok="t"/>
              </v:shape>
            </v:group>
            <v:group style="position:absolute;left:9336;top:-20;width:1441;height:2" coordorigin="9336,-20" coordsize="1441,2">
              <v:shape style="position:absolute;left:9336;top:-20;width:1441;height:2" coordorigin="9336,-20" coordsize="1441,0" path="m9336,-20l10776,-20e" filled="false" stroked="true" strokeweight=".47998pt" strokecolor="#000000">
                <v:path arrowok="t"/>
              </v:shape>
            </v:group>
            <w10:wrap type="none"/>
          </v:group>
        </w:pict>
      </w:r>
      <w:r>
        <w:rPr>
          <w:rFonts w:ascii="宋体" w:hAnsi="宋体" w:cs="宋体" w:eastAsia="宋体" w:hint="default"/>
          <w:spacing w:val="2"/>
          <w:sz w:val="21"/>
          <w:szCs w:val="21"/>
        </w:rPr>
        <w:t>单项金额重大并单项计提坏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账准备的其他应收款</w:t>
      </w:r>
    </w:p>
    <w:p>
      <w:pPr>
        <w:spacing w:line="205" w:lineRule="exact" w:before="19"/>
        <w:ind w:left="562" w:right="0" w:firstLine="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w:t>
      </w:r>
    </w:p>
    <w:p>
      <w:pPr>
        <w:spacing w:before="18"/>
        <w:ind w:left="2411" w:right="3083" w:firstLine="0"/>
        <w:jc w:val="center"/>
        <w:rPr>
          <w:rFonts w:ascii="宋体" w:hAnsi="宋体" w:cs="宋体" w:eastAsia="宋体" w:hint="default"/>
          <w:sz w:val="21"/>
          <w:szCs w:val="21"/>
        </w:rPr>
      </w:pPr>
      <w:r>
        <w:rPr/>
        <w:br w:type="column"/>
      </w:r>
      <w:r>
        <w:rPr>
          <w:rFonts w:ascii="宋体" w:hAnsi="宋体" w:cs="宋体" w:eastAsia="宋体" w:hint="default"/>
          <w:b/>
          <w:bCs/>
          <w:sz w:val="21"/>
          <w:szCs w:val="21"/>
        </w:rPr>
        <w:t>期末数</w:t>
      </w:r>
      <w:r>
        <w:rPr>
          <w:rFonts w:ascii="宋体" w:hAnsi="宋体" w:cs="宋体" w:eastAsia="宋体" w:hint="default"/>
          <w:sz w:val="21"/>
          <w:szCs w:val="21"/>
        </w:rPr>
      </w:r>
    </w:p>
    <w:p>
      <w:pPr>
        <w:tabs>
          <w:tab w:pos="2163" w:val="left" w:leader="none"/>
          <w:tab w:pos="3543" w:val="left" w:leader="none"/>
          <w:tab w:pos="5262" w:val="left" w:leader="none"/>
        </w:tabs>
        <w:spacing w:before="112"/>
        <w:ind w:left="562" w:right="0" w:firstLine="0"/>
        <w:jc w:val="left"/>
        <w:rPr>
          <w:rFonts w:ascii="Arial Narrow" w:hAnsi="Arial Narrow" w:cs="Arial Narrow" w:eastAsia="Arial Narrow"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tab/>
        <w:t>比例</w:t>
      </w:r>
      <w:r>
        <w:rPr>
          <w:rFonts w:ascii="Arial Narrow" w:hAnsi="Arial Narrow" w:cs="Arial Narrow" w:eastAsia="Arial Narrow" w:hint="default"/>
          <w:b/>
          <w:bCs/>
          <w:sz w:val="21"/>
          <w:szCs w:val="21"/>
        </w:rPr>
        <w:t>%</w:t>
        <w:tab/>
      </w:r>
      <w:r>
        <w:rPr>
          <w:rFonts w:ascii="宋体" w:hAnsi="宋体" w:cs="宋体" w:eastAsia="宋体" w:hint="default"/>
          <w:b/>
          <w:bCs/>
          <w:sz w:val="21"/>
          <w:szCs w:val="21"/>
        </w:rPr>
        <w:t>坏账准备</w:t>
        <w:tab/>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jc w:val="left"/>
        <w:rPr>
          <w:rFonts w:ascii="Arial Narrow" w:hAnsi="Arial Narrow" w:cs="Arial Narrow" w:eastAsia="Arial Narrow" w:hint="default"/>
          <w:sz w:val="21"/>
          <w:szCs w:val="21"/>
        </w:rPr>
        <w:sectPr>
          <w:type w:val="continuous"/>
          <w:pgSz w:w="11900" w:h="16850"/>
          <w:pgMar w:top="440" w:bottom="280" w:left="1140" w:right="900"/>
          <w:cols w:num="2" w:equalWidth="0">
            <w:col w:w="3130" w:space="561"/>
            <w:col w:w="6169"/>
          </w:cols>
        </w:sectPr>
      </w:pPr>
    </w:p>
    <w:p>
      <w:pPr>
        <w:tabs>
          <w:tab w:pos="3680" w:val="left" w:leader="none"/>
          <w:tab w:pos="5902" w:val="left" w:leader="none"/>
          <w:tab w:pos="7071" w:val="left" w:leader="none"/>
          <w:tab w:pos="9527" w:val="right" w:leader="none"/>
        </w:tabs>
        <w:spacing w:line="342" w:lineRule="exact" w:before="0"/>
        <w:ind w:left="562" w:right="0" w:firstLine="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应收款</w:t>
        <w:tab/>
      </w:r>
      <w:r>
        <w:rPr>
          <w:rFonts w:ascii="Arial Narrow" w:hAnsi="Arial Narrow" w:cs="Arial Narrow" w:eastAsia="Arial Narrow" w:hint="default"/>
          <w:spacing w:val="-1"/>
          <w:sz w:val="21"/>
          <w:szCs w:val="21"/>
        </w:rPr>
        <w:t>21,893,788.39</w:t>
        <w:tab/>
        <w:t>100.00</w:t>
        <w:tab/>
        <w:t>5,675,385.60</w:t>
        <w:tab/>
        <w:t>25.92</w:t>
      </w:r>
      <w:r>
        <w:rPr>
          <w:rFonts w:ascii="Arial Narrow" w:hAnsi="Arial Narrow" w:cs="Arial Narrow" w:eastAsia="Arial Narrow" w:hint="default"/>
          <w:sz w:val="21"/>
          <w:szCs w:val="21"/>
        </w:rPr>
      </w:r>
    </w:p>
    <w:p>
      <w:pPr>
        <w:spacing w:after="0" w:line="342" w:lineRule="exact"/>
        <w:jc w:val="left"/>
        <w:rPr>
          <w:rFonts w:ascii="Arial Narrow" w:hAnsi="Arial Narrow" w:cs="Arial Narrow" w:eastAsia="Arial Narrow" w:hint="default"/>
          <w:sz w:val="21"/>
          <w:szCs w:val="21"/>
        </w:rPr>
        <w:sectPr>
          <w:type w:val="continuous"/>
          <w:pgSz w:w="11900" w:h="16850"/>
          <w:pgMar w:top="440" w:bottom="280" w:left="1140" w:right="900"/>
        </w:sectPr>
      </w:pPr>
    </w:p>
    <w:p>
      <w:pPr>
        <w:spacing w:line="240" w:lineRule="auto" w:before="9"/>
        <w:rPr>
          <w:rFonts w:ascii="Arial Narrow" w:hAnsi="Arial Narrow" w:cs="Arial Narrow" w:eastAsia="Arial Narrow"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34"/>
        <w:gridCol w:w="2411"/>
        <w:gridCol w:w="2485"/>
        <w:gridCol w:w="1408"/>
        <w:gridCol w:w="1837"/>
        <w:gridCol w:w="1070"/>
      </w:tblGrid>
      <w:tr>
        <w:trPr>
          <w:trHeight w:val="476" w:hRule="exact"/>
        </w:trPr>
        <w:tc>
          <w:tcPr>
            <w:tcW w:w="334" w:type="dxa"/>
            <w:tcBorders>
              <w:top w:val="single" w:sz="6" w:space="0" w:color="000000"/>
              <w:left w:val="nil" w:sz="6" w:space="0" w:color="auto"/>
              <w:bottom w:val="nil" w:sz="6" w:space="0" w:color="auto"/>
              <w:right w:val="nil" w:sz="6" w:space="0" w:color="auto"/>
            </w:tcBorders>
          </w:tcPr>
          <w:p>
            <w:pPr/>
          </w:p>
        </w:tc>
        <w:tc>
          <w:tcPr>
            <w:tcW w:w="2411" w:type="dxa"/>
            <w:tcBorders>
              <w:top w:val="single" w:sz="6" w:space="0" w:color="000000"/>
              <w:left w:val="nil" w:sz="6" w:space="0" w:color="auto"/>
              <w:bottom w:val="nil" w:sz="6" w:space="0" w:color="auto"/>
              <w:right w:val="nil" w:sz="6" w:space="0" w:color="auto"/>
            </w:tcBorders>
          </w:tcPr>
          <w:p>
            <w:pPr>
              <w:pStyle w:val="TableParagraph"/>
              <w:spacing w:line="240" w:lineRule="auto" w:before="117"/>
              <w:ind w:left="115" w:right="0"/>
              <w:jc w:val="left"/>
              <w:rPr>
                <w:rFonts w:ascii="宋体" w:hAnsi="宋体" w:cs="宋体" w:eastAsia="宋体" w:hint="default"/>
                <w:sz w:val="21"/>
                <w:szCs w:val="21"/>
              </w:rPr>
            </w:pPr>
            <w:r>
              <w:rPr>
                <w:rFonts w:ascii="宋体" w:hAnsi="宋体" w:cs="宋体" w:eastAsia="宋体" w:hint="default"/>
                <w:sz w:val="21"/>
                <w:szCs w:val="21"/>
              </w:rPr>
              <w:t>其中：账龄组合</w:t>
            </w:r>
          </w:p>
        </w:tc>
        <w:tc>
          <w:tcPr>
            <w:tcW w:w="2485"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right="557"/>
              <w:jc w:val="right"/>
              <w:rPr>
                <w:rFonts w:ascii="Arial Narrow" w:hAnsi="Arial Narrow" w:cs="Arial Narrow" w:eastAsia="Arial Narrow" w:hint="default"/>
                <w:sz w:val="21"/>
                <w:szCs w:val="21"/>
              </w:rPr>
            </w:pPr>
            <w:r>
              <w:rPr>
                <w:rFonts w:ascii="Arial Narrow"/>
                <w:spacing w:val="-1"/>
                <w:sz w:val="21"/>
              </w:rPr>
              <w:t>21,893,788.39</w:t>
            </w:r>
            <w:r>
              <w:rPr>
                <w:rFonts w:ascii="Arial Narrow"/>
                <w:sz w:val="21"/>
              </w:rPr>
            </w:r>
          </w:p>
        </w:tc>
        <w:tc>
          <w:tcPr>
            <w:tcW w:w="1408"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right="318"/>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837"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left="320" w:right="0"/>
              <w:jc w:val="left"/>
              <w:rPr>
                <w:rFonts w:ascii="Arial Narrow" w:hAnsi="Arial Narrow" w:cs="Arial Narrow" w:eastAsia="Arial Narrow" w:hint="default"/>
                <w:sz w:val="21"/>
                <w:szCs w:val="21"/>
              </w:rPr>
            </w:pPr>
            <w:r>
              <w:rPr>
                <w:rFonts w:ascii="Arial Narrow"/>
                <w:sz w:val="21"/>
              </w:rPr>
              <w:t>5,675,385.60</w:t>
            </w:r>
          </w:p>
        </w:tc>
        <w:tc>
          <w:tcPr>
            <w:tcW w:w="1070" w:type="dxa"/>
            <w:tcBorders>
              <w:top w:val="single" w:sz="6" w:space="0" w:color="000000"/>
              <w:left w:val="nil" w:sz="6" w:space="0" w:color="auto"/>
              <w:bottom w:val="nil" w:sz="6" w:space="0" w:color="auto"/>
              <w:right w:val="nil" w:sz="6" w:space="0" w:color="auto"/>
            </w:tcBorders>
          </w:tcPr>
          <w:p>
            <w:pPr>
              <w:pStyle w:val="TableParagraph"/>
              <w:spacing w:line="240" w:lineRule="auto" w:before="161"/>
              <w:ind w:right="128"/>
              <w:jc w:val="right"/>
              <w:rPr>
                <w:rFonts w:ascii="Arial Narrow" w:hAnsi="Arial Narrow" w:cs="Arial Narrow" w:eastAsia="Arial Narrow" w:hint="default"/>
                <w:sz w:val="21"/>
                <w:szCs w:val="21"/>
              </w:rPr>
            </w:pPr>
            <w:r>
              <w:rPr>
                <w:rFonts w:ascii="Arial Narrow"/>
                <w:spacing w:val="-1"/>
                <w:sz w:val="21"/>
              </w:rPr>
              <w:t>25.92</w:t>
            </w:r>
            <w:r>
              <w:rPr>
                <w:rFonts w:ascii="Arial Narrow"/>
                <w:sz w:val="21"/>
              </w:rPr>
            </w:r>
          </w:p>
        </w:tc>
      </w:tr>
      <w:tr>
        <w:trPr>
          <w:trHeight w:val="616" w:hRule="exact"/>
        </w:trPr>
        <w:tc>
          <w:tcPr>
            <w:tcW w:w="9544" w:type="dxa"/>
            <w:gridSpan w:val="6"/>
            <w:tcBorders>
              <w:top w:val="nil" w:sz="6" w:space="0" w:color="auto"/>
              <w:left w:val="nil" w:sz="6" w:space="0" w:color="auto"/>
              <w:bottom w:val="nil" w:sz="6" w:space="0" w:color="auto"/>
              <w:right w:val="nil" w:sz="6" w:space="0" w:color="auto"/>
            </w:tcBorders>
          </w:tcPr>
          <w:p>
            <w:pPr>
              <w:pStyle w:val="TableParagraph"/>
              <w:spacing w:line="272" w:lineRule="exact" w:before="36"/>
              <w:ind w:left="448" w:right="6525"/>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提坏账准备的其他应收款</w:t>
            </w:r>
          </w:p>
        </w:tc>
      </w:tr>
      <w:tr>
        <w:trPr>
          <w:trHeight w:val="403" w:hRule="exact"/>
        </w:trPr>
        <w:tc>
          <w:tcPr>
            <w:tcW w:w="334" w:type="dxa"/>
            <w:tcBorders>
              <w:top w:val="nil" w:sz="6" w:space="0" w:color="auto"/>
              <w:left w:val="nil" w:sz="6" w:space="0" w:color="auto"/>
              <w:bottom w:val="nil" w:sz="6" w:space="0" w:color="auto"/>
              <w:right w:val="nil" w:sz="6" w:space="0" w:color="auto"/>
            </w:tcBorders>
          </w:tcPr>
          <w:p>
            <w:pPr/>
          </w:p>
        </w:tc>
        <w:tc>
          <w:tcPr>
            <w:tcW w:w="2411" w:type="dxa"/>
            <w:tcBorders>
              <w:top w:val="single" w:sz="4" w:space="0" w:color="000000"/>
              <w:left w:val="nil" w:sz="6" w:space="0" w:color="auto"/>
              <w:bottom w:val="single" w:sz="8" w:space="0" w:color="000000"/>
              <w:right w:val="nil" w:sz="6" w:space="0" w:color="auto"/>
            </w:tcBorders>
          </w:tcPr>
          <w:p>
            <w:pPr>
              <w:pStyle w:val="TableParagraph"/>
              <w:tabs>
                <w:tab w:pos="537" w:val="left" w:leader="none"/>
              </w:tabs>
              <w:spacing w:line="240" w:lineRule="auto" w:before="23"/>
              <w:ind w:left="115"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485"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557"/>
              <w:jc w:val="right"/>
              <w:rPr>
                <w:rFonts w:ascii="Arial Narrow" w:hAnsi="Arial Narrow" w:cs="Arial Narrow" w:eastAsia="Arial Narrow" w:hint="default"/>
                <w:sz w:val="21"/>
                <w:szCs w:val="21"/>
              </w:rPr>
            </w:pPr>
            <w:r>
              <w:rPr>
                <w:rFonts w:ascii="Arial Narrow"/>
                <w:b/>
                <w:spacing w:val="-1"/>
                <w:sz w:val="21"/>
              </w:rPr>
              <w:t>21,893,788.39</w:t>
            </w:r>
            <w:r>
              <w:rPr>
                <w:rFonts w:ascii="Arial Narrow"/>
                <w:sz w:val="21"/>
              </w:rPr>
            </w:r>
          </w:p>
        </w:tc>
        <w:tc>
          <w:tcPr>
            <w:tcW w:w="1408"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318"/>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837"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left="320" w:right="0"/>
              <w:jc w:val="left"/>
              <w:rPr>
                <w:rFonts w:ascii="Arial Narrow" w:hAnsi="Arial Narrow" w:cs="Arial Narrow" w:eastAsia="Arial Narrow" w:hint="default"/>
                <w:sz w:val="21"/>
                <w:szCs w:val="21"/>
              </w:rPr>
            </w:pPr>
            <w:r>
              <w:rPr>
                <w:rFonts w:ascii="Arial Narrow"/>
                <w:b/>
                <w:sz w:val="21"/>
              </w:rPr>
              <w:t>5,675,385.60</w:t>
            </w:r>
            <w:r>
              <w:rPr>
                <w:rFonts w:ascii="Arial Narrow"/>
                <w:sz w:val="21"/>
              </w:rPr>
            </w:r>
          </w:p>
        </w:tc>
        <w:tc>
          <w:tcPr>
            <w:tcW w:w="1070"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28"/>
              <w:jc w:val="right"/>
              <w:rPr>
                <w:rFonts w:ascii="Arial Narrow" w:hAnsi="Arial Narrow" w:cs="Arial Narrow" w:eastAsia="Arial Narrow" w:hint="default"/>
                <w:sz w:val="21"/>
                <w:szCs w:val="21"/>
              </w:rPr>
            </w:pPr>
            <w:r>
              <w:rPr>
                <w:rFonts w:ascii="Arial Narrow"/>
                <w:b/>
                <w:spacing w:val="-1"/>
                <w:sz w:val="21"/>
              </w:rPr>
              <w:t>25.92</w:t>
            </w:r>
            <w:r>
              <w:rPr>
                <w:rFonts w:ascii="Arial Narrow"/>
                <w:sz w:val="21"/>
              </w:rPr>
            </w:r>
          </w:p>
        </w:tc>
      </w:tr>
    </w:tbl>
    <w:p>
      <w:pPr>
        <w:pStyle w:val="BodyText"/>
        <w:spacing w:line="240" w:lineRule="auto" w:before="79"/>
        <w:ind w:left="562" w:right="0"/>
        <w:jc w:val="left"/>
      </w:pPr>
      <w:r>
        <w:rPr/>
        <w:t>其他应收款按种类披露（续）</w:t>
      </w:r>
    </w:p>
    <w:p>
      <w:pPr>
        <w:spacing w:line="240" w:lineRule="auto" w:before="6"/>
        <w:rPr>
          <w:rFonts w:ascii="宋体" w:hAnsi="宋体" w:cs="宋体" w:eastAsia="宋体" w:hint="default"/>
          <w:sz w:val="19"/>
          <w:szCs w:val="19"/>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0.1pt;height:1pt;mso-position-horizontal-relative:char;mso-position-vertical-relative:line" coordorigin="0,0" coordsize="9202,20">
            <v:group style="position:absolute;left:10;top:10;width:2787;height:2" coordorigin="10,10" coordsize="2787,2">
              <v:shape style="position:absolute;left:10;top:10;width:2787;height:2" coordorigin="10,10" coordsize="2787,0" path="m10,10l2796,10e" filled="false" stroked="true" strokeweight=".96001pt" strokecolor="#000000">
                <v:path arrowok="t"/>
              </v:shape>
            </v:group>
            <v:group style="position:absolute;left:2797;top:10;width:20;height:2" coordorigin="2797,10" coordsize="20,2">
              <v:shape style="position:absolute;left:2797;top:10;width:20;height:2" coordorigin="2797,10" coordsize="20,0" path="m2797,10l2816,10e" filled="false" stroked="true" strokeweight=".96001pt" strokecolor="#000000">
                <v:path arrowok="t"/>
              </v:shape>
            </v:group>
            <v:group style="position:absolute;left:2816;top:10;width:6376;height:2" coordorigin="2816,10" coordsize="6376,2">
              <v:shape style="position:absolute;left:2816;top:10;width:6376;height:2" coordorigin="2816,10" coordsize="6376,0" path="m2816,10l9192,10e" filled="false" stroked="true" strokeweight=".96001pt" strokecolor="#000000">
                <v:path arrowok="t"/>
              </v:shape>
            </v:group>
          </v:group>
        </w:pict>
      </w:r>
      <w:r>
        <w:rPr>
          <w:rFonts w:ascii="宋体" w:hAnsi="宋体" w:cs="宋体" w:eastAsia="宋体" w:hint="default"/>
          <w:sz w:val="2"/>
          <w:szCs w:val="2"/>
        </w:rPr>
      </w:r>
    </w:p>
    <w:p>
      <w:pPr>
        <w:spacing w:line="236" w:lineRule="exact" w:before="18"/>
        <w:ind w:left="6121" w:right="0" w:firstLine="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p>
      <w:pPr>
        <w:tabs>
          <w:tab w:pos="984" w:val="left" w:leader="none"/>
        </w:tabs>
        <w:spacing w:line="236" w:lineRule="exact" w:before="0"/>
        <w:ind w:left="562" w:right="0" w:firstLine="0"/>
        <w:jc w:val="left"/>
        <w:rPr>
          <w:rFonts w:ascii="宋体" w:hAnsi="宋体" w:cs="宋体" w:eastAsia="宋体" w:hint="default"/>
          <w:sz w:val="21"/>
          <w:szCs w:val="21"/>
        </w:rPr>
      </w:pPr>
      <w:r>
        <w:rPr/>
        <w:pict>
          <v:shape style="position:absolute;margin-left:79.704002pt;margin-top:10.718559pt;width:459.1pt;height:143.1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68"/>
                    <w:gridCol w:w="1436"/>
                    <w:gridCol w:w="1763"/>
                    <w:gridCol w:w="1115"/>
                  </w:tblGrid>
                  <w:tr>
                    <w:trPr>
                      <w:trHeight w:val="309" w:hRule="exact"/>
                    </w:trPr>
                    <w:tc>
                      <w:tcPr>
                        <w:tcW w:w="4868" w:type="dxa"/>
                        <w:tcBorders>
                          <w:top w:val="nil" w:sz="6" w:space="0" w:color="auto"/>
                          <w:left w:val="nil" w:sz="6" w:space="0" w:color="auto"/>
                          <w:bottom w:val="single" w:sz="4" w:space="0" w:color="000000"/>
                          <w:right w:val="nil" w:sz="6" w:space="0" w:color="auto"/>
                        </w:tcBorders>
                      </w:tcPr>
                      <w:p>
                        <w:pPr>
                          <w:pStyle w:val="TableParagraph"/>
                          <w:spacing w:line="211" w:lineRule="exact"/>
                          <w:ind w:right="537"/>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226" w:lineRule="exact"/>
                          <w:ind w:right="319"/>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63" w:type="dxa"/>
                        <w:tcBorders>
                          <w:top w:val="nil" w:sz="6" w:space="0" w:color="auto"/>
                          <w:left w:val="nil" w:sz="6" w:space="0" w:color="auto"/>
                          <w:bottom w:val="single" w:sz="4" w:space="0" w:color="000000"/>
                          <w:right w:val="nil" w:sz="6" w:space="0" w:color="auto"/>
                        </w:tcBorders>
                      </w:tcPr>
                      <w:p>
                        <w:pPr>
                          <w:pStyle w:val="TableParagraph"/>
                          <w:spacing w:line="211" w:lineRule="exact"/>
                          <w:ind w:right="431"/>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115" w:type="dxa"/>
                        <w:tcBorders>
                          <w:top w:val="nil" w:sz="6" w:space="0" w:color="auto"/>
                          <w:left w:val="nil" w:sz="6" w:space="0" w:color="auto"/>
                          <w:bottom w:val="single" w:sz="4" w:space="0" w:color="000000"/>
                          <w:right w:val="nil" w:sz="6" w:space="0" w:color="auto"/>
                        </w:tcBorders>
                      </w:tcPr>
                      <w:p>
                        <w:pPr>
                          <w:pStyle w:val="TableParagraph"/>
                          <w:spacing w:line="226" w:lineRule="exact"/>
                          <w:ind w:right="103"/>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598" w:hRule="exact"/>
                    </w:trPr>
                    <w:tc>
                      <w:tcPr>
                        <w:tcW w:w="4868" w:type="dxa"/>
                        <w:tcBorders>
                          <w:top w:val="single" w:sz="4" w:space="0" w:color="000000"/>
                          <w:left w:val="nil" w:sz="6" w:space="0" w:color="auto"/>
                          <w:bottom w:val="nil" w:sz="6" w:space="0" w:color="auto"/>
                          <w:right w:val="nil" w:sz="6" w:space="0" w:color="auto"/>
                        </w:tcBorders>
                      </w:tcPr>
                      <w:p>
                        <w:pPr>
                          <w:pStyle w:val="TableParagraph"/>
                          <w:tabs>
                            <w:tab w:pos="4270" w:val="left" w:leader="none"/>
                          </w:tabs>
                          <w:spacing w:line="156" w:lineRule="auto" w:before="73"/>
                          <w:ind w:left="108" w:right="537"/>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单项金额重大并单项计提坏</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账准备的其他应收款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436"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322"/>
                          <w:jc w:val="right"/>
                          <w:rPr>
                            <w:rFonts w:ascii="Arial Narrow" w:hAnsi="Arial Narrow" w:cs="Arial Narrow" w:eastAsia="Arial Narrow" w:hint="default"/>
                            <w:sz w:val="21"/>
                            <w:szCs w:val="21"/>
                          </w:rPr>
                        </w:pPr>
                        <w:r>
                          <w:rPr>
                            <w:rFonts w:ascii="Arial Narrow"/>
                            <w:w w:val="100"/>
                            <w:sz w:val="21"/>
                          </w:rPr>
                          <w:t>-</w:t>
                        </w:r>
                      </w:p>
                    </w:tc>
                    <w:tc>
                      <w:tcPr>
                        <w:tcW w:w="1763"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433"/>
                          <w:jc w:val="right"/>
                          <w:rPr>
                            <w:rFonts w:ascii="Arial Narrow" w:hAnsi="Arial Narrow" w:cs="Arial Narrow" w:eastAsia="Arial Narrow" w:hint="default"/>
                            <w:sz w:val="21"/>
                            <w:szCs w:val="21"/>
                          </w:rPr>
                        </w:pPr>
                        <w:r>
                          <w:rPr>
                            <w:rFonts w:ascii="Arial Narrow"/>
                            <w:w w:val="100"/>
                            <w:sz w:val="21"/>
                          </w:rPr>
                          <w:t>-</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40" w:lineRule="auto" w:before="168"/>
                          <w:ind w:right="106"/>
                          <w:jc w:val="right"/>
                          <w:rPr>
                            <w:rFonts w:ascii="Arial Narrow" w:hAnsi="Arial Narrow" w:cs="Arial Narrow" w:eastAsia="Arial Narrow" w:hint="default"/>
                            <w:sz w:val="21"/>
                            <w:szCs w:val="21"/>
                          </w:rPr>
                        </w:pPr>
                        <w:r>
                          <w:rPr>
                            <w:rFonts w:ascii="Arial Narrow"/>
                            <w:w w:val="100"/>
                            <w:sz w:val="21"/>
                          </w:rPr>
                          <w:t>-</w:t>
                        </w:r>
                      </w:p>
                    </w:tc>
                  </w:tr>
                  <w:tr>
                    <w:trPr>
                      <w:trHeight w:val="544" w:hRule="exact"/>
                    </w:trPr>
                    <w:tc>
                      <w:tcPr>
                        <w:tcW w:w="4868" w:type="dxa"/>
                        <w:tcBorders>
                          <w:top w:val="nil" w:sz="6" w:space="0" w:color="auto"/>
                          <w:left w:val="nil" w:sz="6" w:space="0" w:color="auto"/>
                          <w:bottom w:val="nil" w:sz="6" w:space="0" w:color="auto"/>
                          <w:right w:val="nil" w:sz="6" w:space="0" w:color="auto"/>
                        </w:tcBorders>
                      </w:tcPr>
                      <w:p>
                        <w:pPr>
                          <w:pStyle w:val="TableParagraph"/>
                          <w:spacing w:line="212" w:lineRule="exact"/>
                          <w:ind w:left="108" w:right="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w:t>
                        </w:r>
                      </w:p>
                      <w:p>
                        <w:pPr>
                          <w:pStyle w:val="TableParagraph"/>
                          <w:tabs>
                            <w:tab w:pos="3226" w:val="left" w:leader="none"/>
                          </w:tabs>
                          <w:spacing w:line="319" w:lineRule="exact"/>
                          <w:ind w:left="108" w:right="0"/>
                          <w:jc w:val="left"/>
                          <w:rPr>
                            <w:rFonts w:ascii="Arial Narrow" w:hAnsi="Arial Narrow" w:cs="Arial Narrow" w:eastAsia="Arial Narrow" w:hint="default"/>
                            <w:sz w:val="21"/>
                            <w:szCs w:val="21"/>
                          </w:rPr>
                        </w:pPr>
                        <w:r>
                          <w:rPr>
                            <w:rFonts w:ascii="宋体" w:hAnsi="宋体" w:cs="宋体" w:eastAsia="宋体" w:hint="default"/>
                            <w:position w:val="-13"/>
                            <w:sz w:val="21"/>
                            <w:szCs w:val="21"/>
                          </w:rPr>
                          <w:t>应收款</w:t>
                          <w:tab/>
                        </w:r>
                        <w:r>
                          <w:rPr>
                            <w:rFonts w:ascii="Arial Narrow" w:hAnsi="Arial Narrow" w:cs="Arial Narrow" w:eastAsia="Arial Narrow" w:hint="default"/>
                            <w:sz w:val="21"/>
                            <w:szCs w:val="21"/>
                          </w:rPr>
                          <w:t>19,368,085.67</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19"/>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432"/>
                          <w:jc w:val="right"/>
                          <w:rPr>
                            <w:rFonts w:ascii="Arial Narrow" w:hAnsi="Arial Narrow" w:cs="Arial Narrow" w:eastAsia="Arial Narrow" w:hint="default"/>
                            <w:sz w:val="21"/>
                            <w:szCs w:val="21"/>
                          </w:rPr>
                        </w:pPr>
                        <w:r>
                          <w:rPr>
                            <w:rFonts w:ascii="Arial Narrow"/>
                            <w:spacing w:val="-1"/>
                            <w:sz w:val="21"/>
                          </w:rPr>
                          <w:t>4,022,140.23</w:t>
                        </w:r>
                        <w:r>
                          <w:rPr>
                            <w:rFonts w:ascii="Arial Narrow"/>
                            <w:sz w:val="21"/>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06"/>
                          <w:jc w:val="right"/>
                          <w:rPr>
                            <w:rFonts w:ascii="Arial Narrow" w:hAnsi="Arial Narrow" w:cs="Arial Narrow" w:eastAsia="Arial Narrow" w:hint="default"/>
                            <w:sz w:val="21"/>
                            <w:szCs w:val="21"/>
                          </w:rPr>
                        </w:pPr>
                        <w:r>
                          <w:rPr>
                            <w:rFonts w:ascii="Arial Narrow"/>
                            <w:spacing w:val="-1"/>
                            <w:sz w:val="21"/>
                          </w:rPr>
                          <w:t>20.77</w:t>
                        </w:r>
                        <w:r>
                          <w:rPr>
                            <w:rFonts w:ascii="Arial Narrow"/>
                            <w:sz w:val="21"/>
                          </w:rPr>
                        </w:r>
                      </w:p>
                    </w:tc>
                  </w:tr>
                  <w:tr>
                    <w:trPr>
                      <w:trHeight w:val="484" w:hRule="exact"/>
                    </w:trPr>
                    <w:tc>
                      <w:tcPr>
                        <w:tcW w:w="4868" w:type="dxa"/>
                        <w:tcBorders>
                          <w:top w:val="nil" w:sz="6" w:space="0" w:color="auto"/>
                          <w:left w:val="nil" w:sz="6" w:space="0" w:color="auto"/>
                          <w:bottom w:val="nil" w:sz="6" w:space="0" w:color="auto"/>
                          <w:right w:val="nil" w:sz="6" w:space="0" w:color="auto"/>
                        </w:tcBorders>
                      </w:tcPr>
                      <w:p>
                        <w:pPr>
                          <w:pStyle w:val="TableParagraph"/>
                          <w:tabs>
                            <w:tab w:pos="3118" w:val="left" w:leader="none"/>
                          </w:tabs>
                          <w:spacing w:line="240" w:lineRule="auto" w:before="72"/>
                          <w:ind w:right="536"/>
                          <w:jc w:val="right"/>
                          <w:rPr>
                            <w:rFonts w:ascii="Arial Narrow" w:hAnsi="Arial Narrow" w:cs="Arial Narrow" w:eastAsia="Arial Narrow" w:hint="default"/>
                            <w:sz w:val="21"/>
                            <w:szCs w:val="21"/>
                          </w:rPr>
                        </w:pPr>
                        <w:r>
                          <w:rPr>
                            <w:rFonts w:ascii="宋体" w:hAnsi="宋体" w:cs="宋体" w:eastAsia="宋体" w:hint="default"/>
                            <w:spacing w:val="-1"/>
                            <w:sz w:val="21"/>
                            <w:szCs w:val="21"/>
                          </w:rPr>
                          <w:t>其中：账龄组合</w:t>
                          <w:tab/>
                        </w:r>
                        <w:r>
                          <w:rPr>
                            <w:rFonts w:ascii="Arial Narrow" w:hAnsi="Arial Narrow" w:cs="Arial Narrow" w:eastAsia="Arial Narrow" w:hint="default"/>
                            <w:spacing w:val="-1"/>
                            <w:sz w:val="21"/>
                            <w:szCs w:val="21"/>
                          </w:rPr>
                          <w:t>19,368,085.67</w:t>
                        </w:r>
                        <w:r>
                          <w:rPr>
                            <w:rFonts w:ascii="Arial Narrow" w:hAnsi="Arial Narrow" w:cs="Arial Narrow" w:eastAsia="Arial Narrow" w:hint="default"/>
                            <w:sz w:val="21"/>
                            <w:szCs w:val="21"/>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19"/>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76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32"/>
                          <w:jc w:val="right"/>
                          <w:rPr>
                            <w:rFonts w:ascii="Arial Narrow" w:hAnsi="Arial Narrow" w:cs="Arial Narrow" w:eastAsia="Arial Narrow" w:hint="default"/>
                            <w:sz w:val="21"/>
                            <w:szCs w:val="21"/>
                          </w:rPr>
                        </w:pPr>
                        <w:r>
                          <w:rPr>
                            <w:rFonts w:ascii="Arial Narrow"/>
                            <w:spacing w:val="-1"/>
                            <w:sz w:val="21"/>
                          </w:rPr>
                          <w:t>4,022,140.23</w:t>
                        </w:r>
                        <w:r>
                          <w:rPr>
                            <w:rFonts w:ascii="Arial Narrow"/>
                            <w:sz w:val="21"/>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6"/>
                          <w:jc w:val="right"/>
                          <w:rPr>
                            <w:rFonts w:ascii="Arial Narrow" w:hAnsi="Arial Narrow" w:cs="Arial Narrow" w:eastAsia="Arial Narrow" w:hint="default"/>
                            <w:sz w:val="21"/>
                            <w:szCs w:val="21"/>
                          </w:rPr>
                        </w:pPr>
                        <w:r>
                          <w:rPr>
                            <w:rFonts w:ascii="Arial Narrow"/>
                            <w:spacing w:val="-1"/>
                            <w:sz w:val="21"/>
                          </w:rPr>
                          <w:t>20.77</w:t>
                        </w:r>
                        <w:r>
                          <w:rPr>
                            <w:rFonts w:ascii="Arial Narrow"/>
                            <w:sz w:val="21"/>
                          </w:rPr>
                        </w:r>
                      </w:p>
                    </w:tc>
                  </w:tr>
                  <w:tr>
                    <w:trPr>
                      <w:trHeight w:val="508" w:hRule="exact"/>
                    </w:trPr>
                    <w:tc>
                      <w:tcPr>
                        <w:tcW w:w="4868" w:type="dxa"/>
                        <w:tcBorders>
                          <w:top w:val="nil" w:sz="6" w:space="0" w:color="auto"/>
                          <w:left w:val="nil" w:sz="6" w:space="0" w:color="auto"/>
                          <w:bottom w:val="single" w:sz="4" w:space="0" w:color="000000"/>
                          <w:right w:val="nil" w:sz="6" w:space="0" w:color="auto"/>
                        </w:tcBorders>
                      </w:tcPr>
                      <w:p>
                        <w:pPr>
                          <w:pStyle w:val="TableParagraph"/>
                          <w:tabs>
                            <w:tab w:pos="4270" w:val="left" w:leader="none"/>
                          </w:tabs>
                          <w:spacing w:line="156" w:lineRule="auto" w:before="10"/>
                          <w:ind w:left="108" w:right="537"/>
                          <w:jc w:val="left"/>
                          <w:rPr>
                            <w:rFonts w:ascii="Arial Narrow" w:hAnsi="Arial Narrow" w:cs="Arial Narrow" w:eastAsia="Arial Narrow" w:hint="default"/>
                            <w:sz w:val="21"/>
                            <w:szCs w:val="21"/>
                          </w:rPr>
                        </w:pPr>
                        <w:r>
                          <w:rPr>
                            <w:rFonts w:ascii="宋体" w:hAnsi="宋体" w:cs="宋体" w:eastAsia="宋体" w:hint="default"/>
                            <w:spacing w:val="2"/>
                            <w:sz w:val="21"/>
                            <w:szCs w:val="21"/>
                          </w:rPr>
                          <w:t>单项金额虽不重大但单项计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提坏账准备的其他应收款</w:t>
                          <w:tab/>
                        </w:r>
                        <w:r>
                          <w:rPr>
                            <w:rFonts w:ascii="Arial Narrow" w:hAnsi="Arial Narrow" w:cs="Arial Narrow" w:eastAsia="Arial Narrow" w:hint="default"/>
                            <w:position w:val="14"/>
                            <w:sz w:val="21"/>
                            <w:szCs w:val="21"/>
                          </w:rPr>
                          <w:t>-</w:t>
                        </w:r>
                        <w:r>
                          <w:rPr>
                            <w:rFonts w:ascii="Arial Narrow" w:hAnsi="Arial Narrow" w:cs="Arial Narrow" w:eastAsia="Arial Narrow" w:hint="default"/>
                            <w:sz w:val="21"/>
                            <w:szCs w:val="21"/>
                          </w:rPr>
                        </w:r>
                      </w:p>
                    </w:tc>
                    <w:tc>
                      <w:tcPr>
                        <w:tcW w:w="1436"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322"/>
                          <w:jc w:val="right"/>
                          <w:rPr>
                            <w:rFonts w:ascii="Arial Narrow" w:hAnsi="Arial Narrow" w:cs="Arial Narrow" w:eastAsia="Arial Narrow" w:hint="default"/>
                            <w:sz w:val="21"/>
                            <w:szCs w:val="21"/>
                          </w:rPr>
                        </w:pPr>
                        <w:r>
                          <w:rPr>
                            <w:rFonts w:ascii="Arial Narrow"/>
                            <w:w w:val="100"/>
                            <w:sz w:val="21"/>
                          </w:rPr>
                          <w:t>-</w:t>
                        </w:r>
                      </w:p>
                    </w:tc>
                    <w:tc>
                      <w:tcPr>
                        <w:tcW w:w="1763"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433"/>
                          <w:jc w:val="right"/>
                          <w:rPr>
                            <w:rFonts w:ascii="Arial Narrow" w:hAnsi="Arial Narrow" w:cs="Arial Narrow" w:eastAsia="Arial Narrow" w:hint="default"/>
                            <w:sz w:val="21"/>
                            <w:szCs w:val="21"/>
                          </w:rPr>
                        </w:pPr>
                        <w:r>
                          <w:rPr>
                            <w:rFonts w:ascii="Arial Narrow"/>
                            <w:w w:val="100"/>
                            <w:sz w:val="21"/>
                          </w:rPr>
                          <w:t>-</w:t>
                        </w: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105"/>
                          <w:ind w:right="106"/>
                          <w:jc w:val="right"/>
                          <w:rPr>
                            <w:rFonts w:ascii="Arial Narrow" w:hAnsi="Arial Narrow" w:cs="Arial Narrow" w:eastAsia="Arial Narrow" w:hint="default"/>
                            <w:sz w:val="21"/>
                            <w:szCs w:val="21"/>
                          </w:rPr>
                        </w:pPr>
                        <w:r>
                          <w:rPr>
                            <w:rFonts w:ascii="Arial Narrow"/>
                            <w:w w:val="100"/>
                            <w:sz w:val="21"/>
                          </w:rPr>
                          <w:t>-</w:t>
                        </w:r>
                      </w:p>
                    </w:tc>
                  </w:tr>
                  <w:tr>
                    <w:trPr>
                      <w:trHeight w:val="401" w:hRule="exact"/>
                    </w:trPr>
                    <w:tc>
                      <w:tcPr>
                        <w:tcW w:w="4868" w:type="dxa"/>
                        <w:tcBorders>
                          <w:top w:val="single" w:sz="4" w:space="0" w:color="000000"/>
                          <w:left w:val="nil" w:sz="6" w:space="0" w:color="auto"/>
                          <w:bottom w:val="single" w:sz="8" w:space="0" w:color="000000"/>
                          <w:right w:val="nil" w:sz="6" w:space="0" w:color="auto"/>
                        </w:tcBorders>
                      </w:tcPr>
                      <w:p>
                        <w:pPr>
                          <w:pStyle w:val="TableParagraph"/>
                          <w:tabs>
                            <w:tab w:pos="422" w:val="left" w:leader="none"/>
                            <w:tab w:pos="3118" w:val="left" w:leader="none"/>
                          </w:tabs>
                          <w:spacing w:line="240" w:lineRule="auto" w:before="23"/>
                          <w:ind w:right="536"/>
                          <w:jc w:val="right"/>
                          <w:rPr>
                            <w:rFonts w:ascii="Arial Narrow" w:hAnsi="Arial Narrow" w:cs="Arial Narrow" w:eastAsia="Arial Narrow" w:hint="default"/>
                            <w:sz w:val="21"/>
                            <w:szCs w:val="21"/>
                          </w:rPr>
                        </w:pPr>
                        <w:r>
                          <w:rPr>
                            <w:rFonts w:ascii="宋体" w:hAnsi="宋体" w:cs="宋体" w:eastAsia="宋体" w:hint="default"/>
                            <w:b/>
                            <w:bCs/>
                            <w:sz w:val="21"/>
                            <w:szCs w:val="21"/>
                          </w:rPr>
                          <w:t>合</w:t>
                          <w:tab/>
                          <w:t>计</w:t>
                          <w:tab/>
                        </w:r>
                        <w:r>
                          <w:rPr>
                            <w:rFonts w:ascii="Arial Narrow" w:hAnsi="Arial Narrow" w:cs="Arial Narrow" w:eastAsia="Arial Narrow" w:hint="default"/>
                            <w:b/>
                            <w:bCs/>
                            <w:spacing w:val="-1"/>
                            <w:sz w:val="21"/>
                            <w:szCs w:val="21"/>
                          </w:rPr>
                          <w:t>19,368,085.67</w:t>
                        </w:r>
                        <w:r>
                          <w:rPr>
                            <w:rFonts w:ascii="Arial Narrow" w:hAnsi="Arial Narrow" w:cs="Arial Narrow" w:eastAsia="Arial Narrow" w:hint="default"/>
                            <w:sz w:val="21"/>
                            <w:szCs w:val="21"/>
                          </w:rPr>
                        </w:r>
                      </w:p>
                    </w:tc>
                    <w:tc>
                      <w:tcPr>
                        <w:tcW w:w="1436"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319"/>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763"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432"/>
                          <w:jc w:val="right"/>
                          <w:rPr>
                            <w:rFonts w:ascii="Arial Narrow" w:hAnsi="Arial Narrow" w:cs="Arial Narrow" w:eastAsia="Arial Narrow" w:hint="default"/>
                            <w:sz w:val="21"/>
                            <w:szCs w:val="21"/>
                          </w:rPr>
                        </w:pPr>
                        <w:r>
                          <w:rPr>
                            <w:rFonts w:ascii="Arial Narrow"/>
                            <w:b/>
                            <w:spacing w:val="-1"/>
                            <w:sz w:val="21"/>
                          </w:rPr>
                          <w:t>4,022,140.23</w:t>
                        </w:r>
                        <w:r>
                          <w:rPr>
                            <w:rFonts w:ascii="Arial Narrow"/>
                            <w:sz w:val="21"/>
                          </w:rPr>
                        </w:r>
                      </w:p>
                    </w:tc>
                    <w:tc>
                      <w:tcPr>
                        <w:tcW w:w="1115"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106"/>
                          <w:jc w:val="right"/>
                          <w:rPr>
                            <w:rFonts w:ascii="Arial Narrow" w:hAnsi="Arial Narrow" w:cs="Arial Narrow" w:eastAsia="Arial Narrow" w:hint="default"/>
                            <w:sz w:val="21"/>
                            <w:szCs w:val="21"/>
                          </w:rPr>
                        </w:pPr>
                        <w:r>
                          <w:rPr>
                            <w:rFonts w:ascii="Arial Narrow"/>
                            <w:b/>
                            <w:spacing w:val="-1"/>
                            <w:sz w:val="21"/>
                          </w:rPr>
                          <w:t>20.77</w:t>
                        </w:r>
                        <w:r>
                          <w:rPr>
                            <w:rFonts w:ascii="Arial Narrow"/>
                            <w:sz w:val="21"/>
                          </w:rPr>
                        </w:r>
                      </w:p>
                    </w:tc>
                  </w:tr>
                </w:tbl>
                <w:p>
                  <w:pPr/>
                </w:p>
              </w:txbxContent>
            </v:textbox>
            <w10:wrap type="none"/>
          </v:shape>
        </w:pict>
      </w:r>
      <w:r>
        <w:rPr>
          <w:rFonts w:ascii="宋体" w:hAnsi="宋体" w:cs="宋体" w:eastAsia="宋体" w:hint="default"/>
          <w:b/>
          <w:bCs/>
          <w:sz w:val="21"/>
          <w:szCs w:val="21"/>
        </w:rPr>
        <w:t>种</w:t>
        <w:tab/>
        <w:t>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4"/>
        <w:ind w:left="562" w:right="0"/>
        <w:jc w:val="left"/>
      </w:pPr>
      <w:r>
        <w:rPr/>
        <w:t>账龄组合，按账龄分析法计提坏账准备的其他应收款</w:t>
      </w:r>
    </w:p>
    <w:p>
      <w:pPr>
        <w:spacing w:line="240" w:lineRule="auto" w:before="6"/>
        <w:rPr>
          <w:rFonts w:ascii="宋体" w:hAnsi="宋体" w:cs="宋体" w:eastAsia="宋体" w:hint="default"/>
          <w:sz w:val="19"/>
          <w:szCs w:val="19"/>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60.1pt;height:1pt;mso-position-horizontal-relative:char;mso-position-vertical-relative:line" coordorigin="0,0" coordsize="9202,20">
            <v:group style="position:absolute;left:10;top:10;width:1016;height:2" coordorigin="10,10" coordsize="1016,2">
              <v:shape style="position:absolute;left:10;top:10;width:1016;height:2" coordorigin="10,10" coordsize="1016,0" path="m10,10l1025,10e" filled="false" stroked="true" strokeweight=".98401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8401pt" strokecolor="#000000">
                <v:path arrowok="t"/>
              </v:shape>
            </v:group>
            <v:group style="position:absolute;left:1044;top:10;width:4098;height:2" coordorigin="1044,10" coordsize="4098,2">
              <v:shape style="position:absolute;left:1044;top:10;width:4098;height:2" coordorigin="1044,10" coordsize="4098,0" path="m1044,10l5142,10e" filled="false" stroked="true" strokeweight=".98401pt" strokecolor="#000000">
                <v:path arrowok="t"/>
              </v:shape>
            </v:group>
            <v:group style="position:absolute;left:5142;top:10;width:20;height:2" coordorigin="5142,10" coordsize="20,2">
              <v:shape style="position:absolute;left:5142;top:10;width:20;height:2" coordorigin="5142,10" coordsize="20,0" path="m5142,10l5161,10e" filled="false" stroked="true" strokeweight=".98401pt" strokecolor="#000000">
                <v:path arrowok="t"/>
              </v:shape>
            </v:group>
            <v:group style="position:absolute;left:5161;top:10;width:4031;height:2" coordorigin="5161,10" coordsize="4031,2">
              <v:shape style="position:absolute;left:5161;top:10;width:4031;height:2" coordorigin="5161,10" coordsize="4031,0" path="m5161,10l9192,10e" filled="false" stroked="true" strokeweight=".98401pt" strokecolor="#000000">
                <v:path arrowok="t"/>
              </v:shape>
            </v:group>
          </v:group>
        </w:pict>
      </w:r>
      <w:r>
        <w:rPr>
          <w:rFonts w:ascii="宋体" w:hAnsi="宋体" w:cs="宋体" w:eastAsia="宋体" w:hint="default"/>
          <w:sz w:val="2"/>
          <w:szCs w:val="2"/>
        </w:rPr>
      </w:r>
    </w:p>
    <w:p>
      <w:pPr>
        <w:tabs>
          <w:tab w:pos="7290" w:val="left" w:leader="none"/>
        </w:tabs>
        <w:spacing w:before="28"/>
        <w:ind w:left="3209" w:right="0" w:firstLine="0"/>
        <w:jc w:val="left"/>
        <w:rPr>
          <w:rFonts w:ascii="宋体" w:hAnsi="宋体" w:cs="宋体" w:eastAsia="宋体" w:hint="default"/>
          <w:sz w:val="21"/>
          <w:szCs w:val="21"/>
        </w:rPr>
      </w:pPr>
      <w:r>
        <w:rPr>
          <w:rFonts w:ascii="宋体" w:hAnsi="宋体" w:cs="宋体" w:eastAsia="宋体" w:hint="default"/>
          <w:b/>
          <w:bCs/>
          <w:sz w:val="21"/>
          <w:szCs w:val="21"/>
        </w:rPr>
        <w:t>期末数</w:t>
        <w:tab/>
        <w:t>期初数</w:t>
      </w:r>
      <w:r>
        <w:rPr>
          <w:rFonts w:ascii="宋体" w:hAnsi="宋体" w:cs="宋体" w:eastAsia="宋体" w:hint="default"/>
          <w:sz w:val="21"/>
          <w:szCs w:val="21"/>
        </w:rPr>
      </w:r>
    </w:p>
    <w:tbl>
      <w:tblPr>
        <w:tblW w:w="0" w:type="auto"/>
        <w:jc w:val="left"/>
        <w:tblInd w:w="454" w:type="dxa"/>
        <w:tblLayout w:type="fixed"/>
        <w:tblCellMar>
          <w:top w:w="0" w:type="dxa"/>
          <w:left w:w="0" w:type="dxa"/>
          <w:bottom w:w="0" w:type="dxa"/>
          <w:right w:w="0" w:type="dxa"/>
        </w:tblCellMar>
        <w:tblLook w:val="01E0"/>
      </w:tblPr>
      <w:tblGrid>
        <w:gridCol w:w="1032"/>
        <w:gridCol w:w="1647"/>
        <w:gridCol w:w="1156"/>
        <w:gridCol w:w="1322"/>
        <w:gridCol w:w="1635"/>
        <w:gridCol w:w="1124"/>
        <w:gridCol w:w="1265"/>
      </w:tblGrid>
      <w:tr>
        <w:trPr>
          <w:trHeight w:val="508" w:hRule="exact"/>
        </w:trPr>
        <w:tc>
          <w:tcPr>
            <w:tcW w:w="1032" w:type="dxa"/>
            <w:tcBorders>
              <w:top w:val="nil" w:sz="6" w:space="0" w:color="auto"/>
              <w:left w:val="nil" w:sz="6" w:space="0" w:color="auto"/>
              <w:bottom w:val="single" w:sz="4" w:space="0" w:color="000000"/>
              <w:right w:val="nil" w:sz="6" w:space="0" w:color="auto"/>
            </w:tcBorders>
          </w:tcPr>
          <w:p>
            <w:pPr>
              <w:pStyle w:val="TableParagraph"/>
              <w:tabs>
                <w:tab w:pos="530" w:val="left" w:leader="none"/>
              </w:tabs>
              <w:spacing w:line="199"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账</w:t>
              <w:tab/>
              <w:t>龄</w:t>
            </w:r>
            <w:r>
              <w:rPr>
                <w:rFonts w:ascii="宋体" w:hAnsi="宋体" w:cs="宋体" w:eastAsia="宋体" w:hint="default"/>
                <w:sz w:val="21"/>
                <w:szCs w:val="21"/>
              </w:rPr>
            </w:r>
          </w:p>
        </w:tc>
        <w:tc>
          <w:tcPr>
            <w:tcW w:w="1647"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398"/>
              <w:jc w:val="right"/>
              <w:rPr>
                <w:rFonts w:ascii="宋体" w:hAnsi="宋体" w:cs="宋体" w:eastAsia="宋体" w:hint="default"/>
                <w:sz w:val="21"/>
                <w:szCs w:val="21"/>
              </w:rPr>
            </w:pPr>
            <w:r>
              <w:rPr>
                <w:rFonts w:ascii="宋体" w:hAnsi="宋体" w:cs="宋体" w:eastAsia="宋体" w:hint="default"/>
                <w:b/>
                <w:bCs/>
                <w:sz w:val="21"/>
                <w:szCs w:val="21"/>
              </w:rPr>
              <w:t>金 额</w:t>
            </w:r>
            <w:r>
              <w:rPr>
                <w:rFonts w:ascii="宋体" w:hAnsi="宋体" w:cs="宋体" w:eastAsia="宋体" w:hint="default"/>
                <w:sz w:val="21"/>
                <w:szCs w:val="21"/>
              </w:rPr>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179"/>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398"/>
              <w:jc w:val="right"/>
              <w:rPr>
                <w:rFonts w:ascii="宋体" w:hAnsi="宋体" w:cs="宋体" w:eastAsia="宋体" w:hint="default"/>
                <w:sz w:val="21"/>
                <w:szCs w:val="21"/>
              </w:rPr>
            </w:pPr>
            <w:r>
              <w:rPr>
                <w:rFonts w:ascii="宋体" w:hAnsi="宋体" w:cs="宋体" w:eastAsia="宋体" w:hint="default"/>
                <w:b/>
                <w:bCs/>
                <w:sz w:val="21"/>
                <w:szCs w:val="21"/>
              </w:rPr>
              <w:t>金</w:t>
            </w:r>
            <w:r>
              <w:rPr>
                <w:rFonts w:ascii="宋体" w:hAnsi="宋体" w:cs="宋体" w:eastAsia="宋体" w:hint="default"/>
                <w:b/>
                <w:bCs/>
                <w:spacing w:val="-1"/>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124"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149"/>
              <w:jc w:val="right"/>
              <w:rPr>
                <w:rFonts w:ascii="Arial Narrow" w:hAnsi="Arial Narrow" w:cs="Arial Narrow" w:eastAsia="Arial Narrow" w:hint="default"/>
                <w:sz w:val="21"/>
                <w:szCs w:val="21"/>
              </w:rPr>
            </w:pP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23"/>
              <w:ind w:right="104"/>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406" w:hRule="exact"/>
        </w:trPr>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64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96"/>
              <w:jc w:val="right"/>
              <w:rPr>
                <w:rFonts w:ascii="Arial Narrow" w:hAnsi="Arial Narrow" w:cs="Arial Narrow" w:eastAsia="Arial Narrow" w:hint="default"/>
                <w:sz w:val="21"/>
                <w:szCs w:val="21"/>
              </w:rPr>
            </w:pPr>
            <w:r>
              <w:rPr>
                <w:rFonts w:ascii="Arial Narrow"/>
                <w:spacing w:val="-2"/>
                <w:sz w:val="21"/>
              </w:rPr>
              <w:t>11,373,384.12</w:t>
            </w:r>
          </w:p>
        </w:tc>
        <w:tc>
          <w:tcPr>
            <w:tcW w:w="115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81"/>
              <w:jc w:val="right"/>
              <w:rPr>
                <w:rFonts w:ascii="Arial Narrow" w:hAnsi="Arial Narrow" w:cs="Arial Narrow" w:eastAsia="Arial Narrow" w:hint="default"/>
                <w:sz w:val="21"/>
                <w:szCs w:val="21"/>
              </w:rPr>
            </w:pPr>
            <w:r>
              <w:rPr>
                <w:rFonts w:ascii="Arial Narrow"/>
                <w:spacing w:val="-1"/>
                <w:sz w:val="21"/>
              </w:rPr>
              <w:t>51.95</w:t>
            </w:r>
            <w:r>
              <w:rPr>
                <w:rFonts w:ascii="Arial Narrow"/>
                <w:sz w:val="21"/>
              </w:rPr>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1"/>
              <w:jc w:val="right"/>
              <w:rPr>
                <w:rFonts w:ascii="Arial Narrow" w:hAnsi="Arial Narrow" w:cs="Arial Narrow" w:eastAsia="Arial Narrow" w:hint="default"/>
                <w:sz w:val="21"/>
                <w:szCs w:val="21"/>
              </w:rPr>
            </w:pPr>
            <w:r>
              <w:rPr>
                <w:rFonts w:ascii="Arial Narrow"/>
                <w:spacing w:val="-1"/>
                <w:sz w:val="21"/>
              </w:rPr>
              <w:t>568,669.21</w:t>
            </w:r>
            <w:r>
              <w:rPr>
                <w:rFonts w:ascii="Arial Narrow"/>
                <w:sz w:val="21"/>
              </w:rPr>
            </w:r>
          </w:p>
        </w:tc>
        <w:tc>
          <w:tcPr>
            <w:tcW w:w="163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96"/>
              <w:jc w:val="right"/>
              <w:rPr>
                <w:rFonts w:ascii="Arial Narrow" w:hAnsi="Arial Narrow" w:cs="Arial Narrow" w:eastAsia="Arial Narrow" w:hint="default"/>
                <w:sz w:val="21"/>
                <w:szCs w:val="21"/>
              </w:rPr>
            </w:pPr>
            <w:r>
              <w:rPr>
                <w:rFonts w:ascii="Arial Narrow"/>
                <w:spacing w:val="-1"/>
                <w:sz w:val="21"/>
              </w:rPr>
              <w:t>13,395,751.59</w:t>
            </w:r>
            <w:r>
              <w:rPr>
                <w:rFonts w:ascii="Arial Narrow"/>
                <w:sz w:val="21"/>
              </w:rPr>
            </w:r>
          </w:p>
        </w:tc>
        <w:tc>
          <w:tcPr>
            <w:tcW w:w="112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51"/>
              <w:jc w:val="right"/>
              <w:rPr>
                <w:rFonts w:ascii="Arial Narrow" w:hAnsi="Arial Narrow" w:cs="Arial Narrow" w:eastAsia="Arial Narrow" w:hint="default"/>
                <w:sz w:val="21"/>
                <w:szCs w:val="21"/>
              </w:rPr>
            </w:pPr>
            <w:r>
              <w:rPr>
                <w:rFonts w:ascii="Arial Narrow"/>
                <w:spacing w:val="-1"/>
                <w:sz w:val="21"/>
              </w:rPr>
              <w:t>69.16</w:t>
            </w:r>
            <w:r>
              <w:rPr>
                <w:rFonts w:ascii="Arial Narrow"/>
                <w:sz w:val="21"/>
              </w:rPr>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04"/>
              <w:jc w:val="right"/>
              <w:rPr>
                <w:rFonts w:ascii="Arial Narrow" w:hAnsi="Arial Narrow" w:cs="Arial Narrow" w:eastAsia="Arial Narrow" w:hint="default"/>
                <w:sz w:val="21"/>
                <w:szCs w:val="21"/>
              </w:rPr>
            </w:pPr>
            <w:r>
              <w:rPr>
                <w:rFonts w:ascii="Arial Narrow"/>
                <w:spacing w:val="-1"/>
                <w:sz w:val="21"/>
              </w:rPr>
              <w:t>669,787.58</w:t>
            </w:r>
            <w:r>
              <w:rPr>
                <w:rFonts w:ascii="Arial Narrow"/>
                <w:sz w:val="21"/>
              </w:rPr>
            </w:r>
          </w:p>
        </w:tc>
      </w:tr>
      <w:tr>
        <w:trPr>
          <w:trHeight w:val="397"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97"/>
              <w:jc w:val="right"/>
              <w:rPr>
                <w:rFonts w:ascii="Arial Narrow" w:hAnsi="Arial Narrow" w:cs="Arial Narrow" w:eastAsia="Arial Narrow" w:hint="default"/>
                <w:sz w:val="21"/>
                <w:szCs w:val="21"/>
              </w:rPr>
            </w:pPr>
            <w:r>
              <w:rPr>
                <w:rFonts w:ascii="Arial Narrow"/>
                <w:spacing w:val="-1"/>
                <w:sz w:val="21"/>
              </w:rPr>
              <w:t>5,687,852.49</w:t>
            </w:r>
            <w:r>
              <w:rPr>
                <w:rFonts w:ascii="Arial Narrow"/>
                <w:sz w:val="21"/>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1"/>
              <w:jc w:val="right"/>
              <w:rPr>
                <w:rFonts w:ascii="Arial Narrow" w:hAnsi="Arial Narrow" w:cs="Arial Narrow" w:eastAsia="Arial Narrow" w:hint="default"/>
                <w:sz w:val="21"/>
                <w:szCs w:val="21"/>
              </w:rPr>
            </w:pPr>
            <w:r>
              <w:rPr>
                <w:rFonts w:ascii="Arial Narrow"/>
                <w:spacing w:val="-1"/>
                <w:sz w:val="21"/>
              </w:rPr>
              <w:t>25.98</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Arial Narrow" w:hAnsi="Arial Narrow" w:cs="Arial Narrow" w:eastAsia="Arial Narrow" w:hint="default"/>
                <w:sz w:val="21"/>
                <w:szCs w:val="21"/>
              </w:rPr>
            </w:pPr>
            <w:r>
              <w:rPr>
                <w:rFonts w:ascii="Arial Narrow"/>
                <w:spacing w:val="-1"/>
                <w:sz w:val="21"/>
              </w:rPr>
              <w:t>1,137,570.50</w:t>
            </w:r>
            <w:r>
              <w:rPr>
                <w:rFonts w:ascii="Arial Narrow"/>
                <w:sz w:val="21"/>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95"/>
              <w:jc w:val="right"/>
              <w:rPr>
                <w:rFonts w:ascii="Arial Narrow" w:hAnsi="Arial Narrow" w:cs="Arial Narrow" w:eastAsia="Arial Narrow" w:hint="default"/>
                <w:sz w:val="21"/>
                <w:szCs w:val="21"/>
              </w:rPr>
            </w:pPr>
            <w:r>
              <w:rPr>
                <w:rFonts w:ascii="Arial Narrow"/>
                <w:spacing w:val="-2"/>
                <w:sz w:val="21"/>
              </w:rPr>
              <w:t>2,118,121.58</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1"/>
              <w:jc w:val="right"/>
              <w:rPr>
                <w:rFonts w:ascii="Arial Narrow" w:hAnsi="Arial Narrow" w:cs="Arial Narrow" w:eastAsia="Arial Narrow" w:hint="default"/>
                <w:sz w:val="21"/>
                <w:szCs w:val="21"/>
              </w:rPr>
            </w:pPr>
            <w:r>
              <w:rPr>
                <w:rFonts w:ascii="Arial Narrow"/>
                <w:spacing w:val="-1"/>
                <w:sz w:val="21"/>
              </w:rPr>
              <w:t>10.94</w:t>
            </w:r>
            <w:r>
              <w:rPr>
                <w:rFonts w:ascii="Arial Narrow"/>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423,624.32</w:t>
            </w:r>
            <w:r>
              <w:rPr>
                <w:rFonts w:ascii="Arial Narrow"/>
                <w:sz w:val="21"/>
              </w:rPr>
            </w:r>
          </w:p>
        </w:tc>
      </w:tr>
      <w:tr>
        <w:trPr>
          <w:trHeight w:val="397" w:hRule="exact"/>
        </w:trPr>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647"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7"/>
              <w:jc w:val="right"/>
              <w:rPr>
                <w:rFonts w:ascii="Arial Narrow" w:hAnsi="Arial Narrow" w:cs="Arial Narrow" w:eastAsia="Arial Narrow" w:hint="default"/>
                <w:sz w:val="21"/>
                <w:szCs w:val="21"/>
              </w:rPr>
            </w:pPr>
            <w:r>
              <w:rPr>
                <w:rFonts w:ascii="Arial Narrow"/>
                <w:spacing w:val="-2"/>
                <w:sz w:val="21"/>
              </w:rPr>
              <w:t>1,726,811.78</w:t>
            </w:r>
            <w:r>
              <w:rPr>
                <w:rFonts w:ascii="Arial Narrow"/>
                <w:sz w:val="21"/>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81"/>
              <w:jc w:val="right"/>
              <w:rPr>
                <w:rFonts w:ascii="Arial Narrow" w:hAnsi="Arial Narrow" w:cs="Arial Narrow" w:eastAsia="Arial Narrow" w:hint="default"/>
                <w:sz w:val="21"/>
                <w:szCs w:val="21"/>
              </w:rPr>
            </w:pPr>
            <w:r>
              <w:rPr>
                <w:rFonts w:ascii="Arial Narrow"/>
                <w:spacing w:val="-1"/>
                <w:sz w:val="21"/>
              </w:rPr>
              <w:t>7.89</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1"/>
              <w:jc w:val="right"/>
              <w:rPr>
                <w:rFonts w:ascii="Arial Narrow" w:hAnsi="Arial Narrow" w:cs="Arial Narrow" w:eastAsia="Arial Narrow" w:hint="default"/>
                <w:sz w:val="21"/>
                <w:szCs w:val="21"/>
              </w:rPr>
            </w:pPr>
            <w:r>
              <w:rPr>
                <w:rFonts w:ascii="Arial Narrow"/>
                <w:spacing w:val="-1"/>
                <w:sz w:val="21"/>
              </w:rPr>
              <w:t>863,405.89</w:t>
            </w:r>
            <w:r>
              <w:rPr>
                <w:rFonts w:ascii="Arial Narrow"/>
                <w:sz w:val="21"/>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6"/>
              <w:jc w:val="right"/>
              <w:rPr>
                <w:rFonts w:ascii="Arial Narrow" w:hAnsi="Arial Narrow" w:cs="Arial Narrow" w:eastAsia="Arial Narrow" w:hint="default"/>
                <w:sz w:val="21"/>
                <w:szCs w:val="21"/>
              </w:rPr>
            </w:pPr>
            <w:r>
              <w:rPr>
                <w:rFonts w:ascii="Arial Narrow"/>
                <w:spacing w:val="-1"/>
                <w:sz w:val="21"/>
              </w:rPr>
              <w:t>1,850,968.34</w:t>
            </w:r>
            <w:r>
              <w:rPr>
                <w:rFonts w:ascii="Arial Narrow"/>
                <w:sz w:val="21"/>
              </w:rPr>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1"/>
              <w:jc w:val="right"/>
              <w:rPr>
                <w:rFonts w:ascii="Arial Narrow" w:hAnsi="Arial Narrow" w:cs="Arial Narrow" w:eastAsia="Arial Narrow" w:hint="default"/>
                <w:sz w:val="21"/>
                <w:szCs w:val="21"/>
              </w:rPr>
            </w:pPr>
            <w:r>
              <w:rPr>
                <w:rFonts w:ascii="Arial Narrow"/>
                <w:spacing w:val="-1"/>
                <w:sz w:val="21"/>
              </w:rPr>
              <w:t>9.56</w:t>
            </w:r>
            <w:r>
              <w:rPr>
                <w:rFonts w:ascii="Arial Narrow"/>
                <w:sz w:val="21"/>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4"/>
              <w:jc w:val="right"/>
              <w:rPr>
                <w:rFonts w:ascii="Arial Narrow" w:hAnsi="Arial Narrow" w:cs="Arial Narrow" w:eastAsia="Arial Narrow" w:hint="default"/>
                <w:sz w:val="21"/>
                <w:szCs w:val="21"/>
              </w:rPr>
            </w:pPr>
            <w:r>
              <w:rPr>
                <w:rFonts w:ascii="Arial Narrow"/>
                <w:spacing w:val="-1"/>
                <w:sz w:val="21"/>
              </w:rPr>
              <w:t>925,484.17</w:t>
            </w:r>
            <w:r>
              <w:rPr>
                <w:rFonts w:ascii="Arial Narrow"/>
                <w:sz w:val="21"/>
              </w:rPr>
            </w:r>
          </w:p>
        </w:tc>
      </w:tr>
      <w:tr>
        <w:trPr>
          <w:trHeight w:val="398" w:hRule="exact"/>
        </w:trPr>
        <w:tc>
          <w:tcPr>
            <w:tcW w:w="103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64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97"/>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c>
          <w:tcPr>
            <w:tcW w:w="115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81"/>
              <w:jc w:val="right"/>
              <w:rPr>
                <w:rFonts w:ascii="Arial Narrow" w:hAnsi="Arial Narrow" w:cs="Arial Narrow" w:eastAsia="Arial Narrow" w:hint="default"/>
                <w:sz w:val="21"/>
                <w:szCs w:val="21"/>
              </w:rPr>
            </w:pPr>
            <w:r>
              <w:rPr>
                <w:rFonts w:ascii="Arial Narrow"/>
                <w:spacing w:val="-1"/>
                <w:sz w:val="21"/>
              </w:rPr>
              <w:t>14.18</w:t>
            </w:r>
            <w:r>
              <w:rPr>
                <w:rFonts w:ascii="Arial Narrow"/>
                <w:sz w:val="21"/>
              </w:rPr>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31"/>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c>
          <w:tcPr>
            <w:tcW w:w="163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96"/>
              <w:jc w:val="right"/>
              <w:rPr>
                <w:rFonts w:ascii="Arial Narrow" w:hAnsi="Arial Narrow" w:cs="Arial Narrow" w:eastAsia="Arial Narrow" w:hint="default"/>
                <w:sz w:val="21"/>
                <w:szCs w:val="21"/>
              </w:rPr>
            </w:pPr>
            <w:r>
              <w:rPr>
                <w:rFonts w:ascii="Arial Narrow"/>
                <w:spacing w:val="-1"/>
                <w:sz w:val="21"/>
              </w:rPr>
              <w:t>2,003,244.16</w:t>
            </w:r>
            <w:r>
              <w:rPr>
                <w:rFonts w:ascii="Arial Narrow"/>
                <w:sz w:val="21"/>
              </w:rPr>
            </w:r>
          </w:p>
        </w:tc>
        <w:tc>
          <w:tcPr>
            <w:tcW w:w="112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51"/>
              <w:jc w:val="right"/>
              <w:rPr>
                <w:rFonts w:ascii="Arial Narrow" w:hAnsi="Arial Narrow" w:cs="Arial Narrow" w:eastAsia="Arial Narrow" w:hint="default"/>
                <w:sz w:val="21"/>
                <w:szCs w:val="21"/>
              </w:rPr>
            </w:pPr>
            <w:r>
              <w:rPr>
                <w:rFonts w:ascii="Arial Narrow"/>
                <w:spacing w:val="-1"/>
                <w:sz w:val="21"/>
              </w:rPr>
              <w:t>10.34</w:t>
            </w:r>
            <w:r>
              <w:rPr>
                <w:rFonts w:ascii="Arial Narrow"/>
                <w:sz w:val="21"/>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4"/>
              <w:jc w:val="right"/>
              <w:rPr>
                <w:rFonts w:ascii="Arial Narrow" w:hAnsi="Arial Narrow" w:cs="Arial Narrow" w:eastAsia="Arial Narrow" w:hint="default"/>
                <w:sz w:val="21"/>
                <w:szCs w:val="21"/>
              </w:rPr>
            </w:pPr>
            <w:r>
              <w:rPr>
                <w:rFonts w:ascii="Arial Narrow"/>
                <w:spacing w:val="-1"/>
                <w:sz w:val="21"/>
              </w:rPr>
              <w:t>2,003,244.16</w:t>
            </w:r>
            <w:r>
              <w:rPr>
                <w:rFonts w:ascii="Arial Narrow"/>
                <w:sz w:val="21"/>
              </w:rPr>
            </w:r>
          </w:p>
        </w:tc>
      </w:tr>
      <w:tr>
        <w:trPr>
          <w:trHeight w:val="413" w:hRule="exact"/>
        </w:trPr>
        <w:tc>
          <w:tcPr>
            <w:tcW w:w="1032" w:type="dxa"/>
            <w:tcBorders>
              <w:top w:val="single" w:sz="4" w:space="0" w:color="000000"/>
              <w:left w:val="nil" w:sz="6" w:space="0" w:color="auto"/>
              <w:bottom w:val="single" w:sz="8" w:space="0" w:color="000000"/>
              <w:right w:val="nil" w:sz="6" w:space="0" w:color="auto"/>
            </w:tcBorders>
          </w:tcPr>
          <w:p>
            <w:pPr>
              <w:pStyle w:val="TableParagraph"/>
              <w:tabs>
                <w:tab w:pos="530" w:val="left" w:leader="none"/>
              </w:tabs>
              <w:spacing w:line="240" w:lineRule="auto" w:before="16"/>
              <w:ind w:left="108"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647"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97"/>
              <w:jc w:val="right"/>
              <w:rPr>
                <w:rFonts w:ascii="Arial Narrow" w:hAnsi="Arial Narrow" w:cs="Arial Narrow" w:eastAsia="Arial Narrow" w:hint="default"/>
                <w:sz w:val="21"/>
                <w:szCs w:val="21"/>
              </w:rPr>
            </w:pPr>
            <w:r>
              <w:rPr>
                <w:rFonts w:ascii="Arial Narrow"/>
                <w:b/>
                <w:spacing w:val="-1"/>
                <w:sz w:val="21"/>
              </w:rPr>
              <w:t>21,893,788.39</w:t>
            </w:r>
            <w:r>
              <w:rPr>
                <w:rFonts w:ascii="Arial Narrow"/>
                <w:sz w:val="21"/>
              </w:rPr>
            </w:r>
          </w:p>
        </w:tc>
        <w:tc>
          <w:tcPr>
            <w:tcW w:w="1156"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79"/>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322"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31"/>
              <w:jc w:val="right"/>
              <w:rPr>
                <w:rFonts w:ascii="Arial Narrow" w:hAnsi="Arial Narrow" w:cs="Arial Narrow" w:eastAsia="Arial Narrow" w:hint="default"/>
                <w:sz w:val="21"/>
                <w:szCs w:val="21"/>
              </w:rPr>
            </w:pPr>
            <w:r>
              <w:rPr>
                <w:rFonts w:ascii="Arial Narrow"/>
                <w:b/>
                <w:spacing w:val="-1"/>
                <w:sz w:val="21"/>
              </w:rPr>
              <w:t>5,675,385.60</w:t>
            </w:r>
            <w:r>
              <w:rPr>
                <w:rFonts w:ascii="Arial Narrow"/>
                <w:sz w:val="21"/>
              </w:rPr>
            </w:r>
          </w:p>
        </w:tc>
        <w:tc>
          <w:tcPr>
            <w:tcW w:w="163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396"/>
              <w:jc w:val="right"/>
              <w:rPr>
                <w:rFonts w:ascii="Arial Narrow" w:hAnsi="Arial Narrow" w:cs="Arial Narrow" w:eastAsia="Arial Narrow" w:hint="default"/>
                <w:sz w:val="21"/>
                <w:szCs w:val="21"/>
              </w:rPr>
            </w:pPr>
            <w:r>
              <w:rPr>
                <w:rFonts w:ascii="Arial Narrow"/>
                <w:b/>
                <w:spacing w:val="-1"/>
                <w:sz w:val="21"/>
              </w:rPr>
              <w:t>19,368,085.67</w:t>
            </w:r>
            <w:r>
              <w:rPr>
                <w:rFonts w:ascii="Arial Narrow"/>
                <w:sz w:val="21"/>
              </w:rPr>
            </w:r>
          </w:p>
        </w:tc>
        <w:tc>
          <w:tcPr>
            <w:tcW w:w="1124"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49"/>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265" w:type="dxa"/>
            <w:tcBorders>
              <w:top w:val="single" w:sz="4" w:space="0" w:color="000000"/>
              <w:left w:val="nil" w:sz="6" w:space="0" w:color="auto"/>
              <w:bottom w:val="single" w:sz="8" w:space="0" w:color="000000"/>
              <w:right w:val="nil" w:sz="6" w:space="0" w:color="auto"/>
            </w:tcBorders>
          </w:tcPr>
          <w:p>
            <w:pPr>
              <w:pStyle w:val="TableParagraph"/>
              <w:spacing w:line="240" w:lineRule="auto" w:before="62"/>
              <w:ind w:right="104"/>
              <w:jc w:val="right"/>
              <w:rPr>
                <w:rFonts w:ascii="Arial Narrow" w:hAnsi="Arial Narrow" w:cs="Arial Narrow" w:eastAsia="Arial Narrow" w:hint="default"/>
                <w:sz w:val="21"/>
                <w:szCs w:val="21"/>
              </w:rPr>
            </w:pPr>
            <w:r>
              <w:rPr>
                <w:rFonts w:ascii="Arial Narrow"/>
                <w:b/>
                <w:spacing w:val="-1"/>
                <w:sz w:val="21"/>
              </w:rPr>
              <w:t>4,022,140.23</w:t>
            </w:r>
            <w:r>
              <w:rPr>
                <w:rFonts w:ascii="Arial Narrow"/>
                <w:sz w:val="21"/>
              </w:rPr>
            </w:r>
          </w:p>
        </w:tc>
      </w:tr>
    </w:tbl>
    <w:p>
      <w:pPr>
        <w:pStyle w:val="BodyText"/>
        <w:spacing w:line="240" w:lineRule="auto" w:before="59"/>
        <w:ind w:left="559" w:right="0"/>
        <w:jc w:val="left"/>
      </w:pPr>
      <w:r>
        <w:rPr/>
        <w:t>（</w:t>
      </w:r>
      <w:r>
        <w:rPr>
          <w:rFonts w:ascii="Arial Narrow" w:hAnsi="Arial Narrow" w:cs="Arial Narrow" w:eastAsia="Arial Narrow" w:hint="default"/>
        </w:rPr>
        <w:t>2</w:t>
      </w:r>
      <w:r>
        <w:rPr/>
        <w:t>）期末其他应收款中无持本公司</w:t>
      </w:r>
      <w:r>
        <w:rPr>
          <w:spacing w:val="-62"/>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）以上表决权股份的股东欠款。</w:t>
      </w:r>
    </w:p>
    <w:p>
      <w:pPr>
        <w:pStyle w:val="BodyText"/>
        <w:spacing w:line="240" w:lineRule="auto" w:before="197"/>
        <w:ind w:left="559" w:right="0"/>
        <w:jc w:val="left"/>
      </w:pPr>
      <w:r>
        <w:rPr/>
        <w:t>（</w:t>
      </w:r>
      <w:r>
        <w:rPr>
          <w:rFonts w:ascii="Arial Narrow" w:hAnsi="Arial Narrow" w:cs="Arial Narrow" w:eastAsia="Arial Narrow" w:hint="default"/>
        </w:rPr>
        <w:t>3</w:t>
      </w:r>
      <w:r>
        <w:rPr/>
        <w:t>）其他应收款金额前五名单位情况</w:t>
      </w:r>
    </w:p>
    <w:p>
      <w:pPr>
        <w:spacing w:line="240" w:lineRule="auto" w:before="13"/>
        <w:rPr>
          <w:rFonts w:ascii="宋体" w:hAnsi="宋体" w:cs="宋体" w:eastAsia="宋体" w:hint="default"/>
          <w:sz w:val="17"/>
          <w:szCs w:val="17"/>
        </w:rPr>
      </w:pPr>
    </w:p>
    <w:tbl>
      <w:tblPr>
        <w:tblW w:w="0" w:type="auto"/>
        <w:jc w:val="left"/>
        <w:tblInd w:w="439" w:type="dxa"/>
        <w:tblLayout w:type="fixed"/>
        <w:tblCellMar>
          <w:top w:w="0" w:type="dxa"/>
          <w:left w:w="0" w:type="dxa"/>
          <w:bottom w:w="0" w:type="dxa"/>
          <w:right w:w="0" w:type="dxa"/>
        </w:tblCellMar>
        <w:tblLook w:val="01E0"/>
      </w:tblPr>
      <w:tblGrid>
        <w:gridCol w:w="3270"/>
        <w:gridCol w:w="1869"/>
        <w:gridCol w:w="1381"/>
        <w:gridCol w:w="1161"/>
        <w:gridCol w:w="1616"/>
      </w:tblGrid>
      <w:tr>
        <w:trPr>
          <w:trHeight w:val="607" w:hRule="exact"/>
        </w:trPr>
        <w:tc>
          <w:tcPr>
            <w:tcW w:w="3270" w:type="dxa"/>
            <w:tcBorders>
              <w:top w:val="single" w:sz="8" w:space="0" w:color="000000"/>
              <w:left w:val="nil" w:sz="6" w:space="0" w:color="auto"/>
              <w:bottom w:val="single" w:sz="4" w:space="0" w:color="000000"/>
              <w:right w:val="nil" w:sz="6" w:space="0" w:color="auto"/>
            </w:tcBorders>
          </w:tcPr>
          <w:p>
            <w:pPr>
              <w:pStyle w:val="TableParagraph"/>
              <w:spacing w:line="240" w:lineRule="auto" w:before="126"/>
              <w:ind w:left="96"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869" w:type="dxa"/>
            <w:tcBorders>
              <w:top w:val="single" w:sz="8" w:space="0" w:color="000000"/>
              <w:left w:val="nil" w:sz="6" w:space="0" w:color="auto"/>
              <w:bottom w:val="single" w:sz="4" w:space="0" w:color="000000"/>
              <w:right w:val="nil" w:sz="6" w:space="0" w:color="auto"/>
            </w:tcBorders>
          </w:tcPr>
          <w:p>
            <w:pPr>
              <w:pStyle w:val="TableParagraph"/>
              <w:spacing w:line="240" w:lineRule="auto" w:before="126"/>
              <w:ind w:left="366" w:right="0"/>
              <w:jc w:val="left"/>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381" w:type="dxa"/>
            <w:tcBorders>
              <w:top w:val="single" w:sz="8" w:space="0" w:color="000000"/>
              <w:left w:val="nil" w:sz="6" w:space="0" w:color="auto"/>
              <w:bottom w:val="single" w:sz="4" w:space="0" w:color="000000"/>
              <w:right w:val="nil" w:sz="6" w:space="0" w:color="auto"/>
            </w:tcBorders>
          </w:tcPr>
          <w:p>
            <w:pPr>
              <w:pStyle w:val="TableParagraph"/>
              <w:spacing w:line="240" w:lineRule="auto" w:before="126"/>
              <w:ind w:right="138"/>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61" w:type="dxa"/>
            <w:tcBorders>
              <w:top w:val="single" w:sz="8" w:space="0" w:color="000000"/>
              <w:left w:val="nil" w:sz="6" w:space="0" w:color="auto"/>
              <w:bottom w:val="single" w:sz="4" w:space="0" w:color="000000"/>
              <w:right w:val="nil" w:sz="6" w:space="0" w:color="auto"/>
            </w:tcBorders>
          </w:tcPr>
          <w:p>
            <w:pPr>
              <w:pStyle w:val="TableParagraph"/>
              <w:spacing w:line="240" w:lineRule="auto" w:before="126"/>
              <w:ind w:right="242"/>
              <w:jc w:val="right"/>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616" w:type="dxa"/>
            <w:tcBorders>
              <w:top w:val="single" w:sz="8" w:space="0" w:color="000000"/>
              <w:left w:val="nil" w:sz="6" w:space="0" w:color="auto"/>
              <w:bottom w:val="single" w:sz="4" w:space="0" w:color="000000"/>
              <w:right w:val="nil" w:sz="6" w:space="0" w:color="auto"/>
            </w:tcBorders>
          </w:tcPr>
          <w:p>
            <w:pPr>
              <w:pStyle w:val="TableParagraph"/>
              <w:spacing w:line="274" w:lineRule="exact" w:before="16"/>
              <w:ind w:left="299" w:right="103" w:hanging="58"/>
              <w:jc w:val="left"/>
              <w:rPr>
                <w:rFonts w:ascii="Arial Narrow" w:hAnsi="Arial Narrow" w:cs="Arial Narrow" w:eastAsia="Arial Narrow" w:hint="default"/>
                <w:sz w:val="21"/>
                <w:szCs w:val="21"/>
              </w:rPr>
            </w:pPr>
            <w:r>
              <w:rPr>
                <w:rFonts w:ascii="宋体" w:hAnsi="宋体" w:cs="宋体" w:eastAsia="宋体" w:hint="default"/>
                <w:b/>
                <w:bCs/>
                <w:sz w:val="21"/>
                <w:szCs w:val="21"/>
              </w:rPr>
              <w:t>占其他应收款</w:t>
            </w:r>
            <w:r>
              <w:rPr>
                <w:rFonts w:ascii="宋体" w:hAnsi="宋体" w:cs="宋体" w:eastAsia="宋体" w:hint="default"/>
                <w:b/>
                <w:bCs/>
                <w:spacing w:val="-104"/>
                <w:sz w:val="21"/>
                <w:szCs w:val="21"/>
              </w:rPr>
              <w:t> </w:t>
            </w:r>
            <w:r>
              <w:rPr>
                <w:rFonts w:ascii="宋体" w:hAnsi="宋体" w:cs="宋体" w:eastAsia="宋体" w:hint="default"/>
                <w:b/>
                <w:bCs/>
                <w:sz w:val="21"/>
                <w:szCs w:val="21"/>
              </w:rPr>
              <w:t>总额的比例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44" w:hRule="exact"/>
        </w:trPr>
        <w:tc>
          <w:tcPr>
            <w:tcW w:w="327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122"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20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136"/>
              <w:jc w:val="right"/>
              <w:rPr>
                <w:rFonts w:ascii="Arial Narrow" w:hAnsi="Arial Narrow" w:cs="Arial Narrow" w:eastAsia="Arial Narrow" w:hint="default"/>
                <w:sz w:val="21"/>
                <w:szCs w:val="21"/>
              </w:rPr>
            </w:pPr>
            <w:r>
              <w:rPr>
                <w:rFonts w:ascii="Arial Narrow"/>
                <w:spacing w:val="-1"/>
                <w:sz w:val="21"/>
              </w:rPr>
              <w:t>5,213,097.05</w:t>
            </w:r>
            <w:r>
              <w:rPr>
                <w:rFonts w:ascii="Arial Narrow"/>
                <w:sz w:val="21"/>
              </w:rPr>
            </w:r>
          </w:p>
        </w:tc>
        <w:tc>
          <w:tcPr>
            <w:tcW w:w="116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40"/>
              <w:jc w:val="righ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6"/>
                <w:sz w:val="21"/>
                <w:szCs w:val="21"/>
              </w:rPr>
              <w:t> </w:t>
            </w:r>
            <w:r>
              <w:rPr>
                <w:rFonts w:ascii="宋体" w:hAnsi="宋体" w:cs="宋体" w:eastAsia="宋体" w:hint="default"/>
                <w:sz w:val="21"/>
                <w:szCs w:val="21"/>
              </w:rPr>
              <w:t>年以内</w:t>
            </w:r>
          </w:p>
        </w:tc>
        <w:tc>
          <w:tcPr>
            <w:tcW w:w="1616"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106"/>
              <w:jc w:val="right"/>
              <w:rPr>
                <w:rFonts w:ascii="Arial Narrow" w:hAnsi="Arial Narrow" w:cs="Arial Narrow" w:eastAsia="Arial Narrow" w:hint="default"/>
                <w:sz w:val="21"/>
                <w:szCs w:val="21"/>
              </w:rPr>
            </w:pPr>
            <w:r>
              <w:rPr>
                <w:rFonts w:ascii="Arial Narrow"/>
                <w:spacing w:val="-1"/>
                <w:sz w:val="21"/>
              </w:rPr>
              <w:t>23.81</w:t>
            </w:r>
            <w:r>
              <w:rPr>
                <w:rFonts w:ascii="Arial Narrow"/>
                <w:sz w:val="21"/>
              </w:rPr>
            </w:r>
          </w:p>
        </w:tc>
      </w:tr>
      <w:tr>
        <w:trPr>
          <w:trHeight w:val="436"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中科软科技股份有限公司</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36"/>
              <w:jc w:val="right"/>
              <w:rPr>
                <w:rFonts w:ascii="Arial Narrow" w:hAnsi="Arial Narrow" w:cs="Arial Narrow" w:eastAsia="Arial Narrow" w:hint="default"/>
                <w:sz w:val="21"/>
                <w:szCs w:val="21"/>
              </w:rPr>
            </w:pPr>
            <w:r>
              <w:rPr>
                <w:rFonts w:ascii="Arial Narrow"/>
                <w:spacing w:val="-1"/>
                <w:sz w:val="21"/>
              </w:rPr>
              <w:t>1,090,050.00</w:t>
            </w:r>
            <w:r>
              <w:rPr>
                <w:rFonts w:ascii="Arial Narrow"/>
                <w:sz w:val="21"/>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0"/>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6"/>
                <w:sz w:val="21"/>
                <w:szCs w:val="21"/>
              </w:rPr>
              <w:t> </w:t>
            </w:r>
            <w:r>
              <w:rPr>
                <w:rFonts w:ascii="宋体" w:hAnsi="宋体" w:cs="宋体" w:eastAsia="宋体" w:hint="default"/>
                <w:sz w:val="21"/>
                <w:szCs w:val="21"/>
              </w:rPr>
              <w:t>年以内</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6"/>
              <w:jc w:val="right"/>
              <w:rPr>
                <w:rFonts w:ascii="Arial Narrow" w:hAnsi="Arial Narrow" w:cs="Arial Narrow" w:eastAsia="Arial Narrow" w:hint="default"/>
                <w:sz w:val="21"/>
                <w:szCs w:val="21"/>
              </w:rPr>
            </w:pPr>
            <w:r>
              <w:rPr>
                <w:rFonts w:ascii="Arial Narrow"/>
                <w:spacing w:val="-1"/>
                <w:sz w:val="21"/>
              </w:rPr>
              <w:t>4.98</w:t>
            </w:r>
            <w:r>
              <w:rPr>
                <w:rFonts w:ascii="Arial Narrow"/>
                <w:sz w:val="21"/>
              </w:rPr>
            </w:r>
          </w:p>
        </w:tc>
      </w:tr>
      <w:tr>
        <w:trPr>
          <w:trHeight w:val="436"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2" w:right="0"/>
              <w:jc w:val="left"/>
              <w:rPr>
                <w:rFonts w:ascii="宋体" w:hAnsi="宋体" w:cs="宋体" w:eastAsia="宋体" w:hint="default"/>
                <w:sz w:val="21"/>
                <w:szCs w:val="21"/>
              </w:rPr>
            </w:pPr>
            <w:r>
              <w:rPr>
                <w:rFonts w:ascii="宋体" w:hAnsi="宋体" w:cs="宋体" w:eastAsia="宋体" w:hint="default"/>
                <w:sz w:val="21"/>
                <w:szCs w:val="21"/>
              </w:rPr>
              <w:t>贵州阳光产权交易所有限公司</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6"/>
              <w:jc w:val="right"/>
              <w:rPr>
                <w:rFonts w:ascii="Arial Narrow" w:hAnsi="Arial Narrow" w:cs="Arial Narrow" w:eastAsia="Arial Narrow" w:hint="default"/>
                <w:sz w:val="21"/>
                <w:szCs w:val="21"/>
              </w:rPr>
            </w:pPr>
            <w:r>
              <w:rPr>
                <w:rFonts w:ascii="Arial Narrow"/>
                <w:spacing w:val="-1"/>
                <w:sz w:val="21"/>
              </w:rPr>
              <w:t>642,800.00</w:t>
            </w:r>
            <w:r>
              <w:rPr>
                <w:rFonts w:ascii="Arial Narrow"/>
                <w:sz w:val="21"/>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0"/>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6"/>
                <w:sz w:val="21"/>
                <w:szCs w:val="21"/>
              </w:rPr>
              <w:t> </w:t>
            </w:r>
            <w:r>
              <w:rPr>
                <w:rFonts w:ascii="宋体" w:hAnsi="宋体" w:cs="宋体" w:eastAsia="宋体" w:hint="default"/>
                <w:sz w:val="21"/>
                <w:szCs w:val="21"/>
              </w:rPr>
              <w:t>年以内</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Arial Narrow" w:hAnsi="Arial Narrow" w:cs="Arial Narrow" w:eastAsia="Arial Narrow" w:hint="default"/>
                <w:sz w:val="21"/>
                <w:szCs w:val="21"/>
              </w:rPr>
            </w:pPr>
            <w:r>
              <w:rPr>
                <w:rFonts w:ascii="Arial Narrow"/>
                <w:spacing w:val="-1"/>
                <w:sz w:val="21"/>
              </w:rPr>
              <w:t>2.94</w:t>
            </w:r>
            <w:r>
              <w:rPr>
                <w:rFonts w:ascii="Arial Narrow"/>
                <w:sz w:val="21"/>
              </w:rPr>
            </w:r>
          </w:p>
        </w:tc>
      </w:tr>
      <w:tr>
        <w:trPr>
          <w:trHeight w:val="435" w:hRule="exact"/>
        </w:trPr>
        <w:tc>
          <w:tcPr>
            <w:tcW w:w="3270"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广西鸿雁食品有限公司</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36"/>
              <w:jc w:val="right"/>
              <w:rPr>
                <w:rFonts w:ascii="Arial Narrow" w:hAnsi="Arial Narrow" w:cs="Arial Narrow" w:eastAsia="Arial Narrow" w:hint="default"/>
                <w:sz w:val="21"/>
                <w:szCs w:val="21"/>
              </w:rPr>
            </w:pPr>
            <w:r>
              <w:rPr>
                <w:rFonts w:ascii="Arial Narrow"/>
                <w:spacing w:val="-1"/>
                <w:sz w:val="21"/>
              </w:rPr>
              <w:t>540,000.00</w:t>
            </w:r>
            <w:r>
              <w:rPr>
                <w:rFonts w:ascii="Arial Narrow"/>
                <w:sz w:val="21"/>
              </w:rPr>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0"/>
              <w:jc w:val="righ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6"/>
                <w:sz w:val="21"/>
                <w:szCs w:val="21"/>
              </w:rPr>
              <w:t> </w:t>
            </w:r>
            <w:r>
              <w:rPr>
                <w:rFonts w:ascii="宋体" w:hAnsi="宋体" w:cs="宋体" w:eastAsia="宋体" w:hint="default"/>
                <w:sz w:val="21"/>
                <w:szCs w:val="21"/>
              </w:rPr>
              <w:t>年以上</w:t>
            </w:r>
          </w:p>
        </w:tc>
        <w:tc>
          <w:tcPr>
            <w:tcW w:w="161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Arial Narrow" w:hAnsi="Arial Narrow" w:cs="Arial Narrow" w:eastAsia="Arial Narrow" w:hint="default"/>
                <w:sz w:val="21"/>
                <w:szCs w:val="21"/>
              </w:rPr>
            </w:pPr>
            <w:r>
              <w:rPr>
                <w:rFonts w:ascii="Arial Narrow"/>
                <w:spacing w:val="-1"/>
                <w:sz w:val="21"/>
              </w:rPr>
              <w:t>2.47</w:t>
            </w:r>
            <w:r>
              <w:rPr>
                <w:rFonts w:ascii="Arial Narrow"/>
                <w:sz w:val="21"/>
              </w:rPr>
            </w:r>
          </w:p>
        </w:tc>
      </w:tr>
      <w:tr>
        <w:trPr>
          <w:trHeight w:val="435" w:hRule="exact"/>
        </w:trPr>
        <w:tc>
          <w:tcPr>
            <w:tcW w:w="327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芜湖市政府第一招标采购代理处</w:t>
            </w:r>
          </w:p>
        </w:tc>
        <w:tc>
          <w:tcPr>
            <w:tcW w:w="1869"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20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381"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36"/>
              <w:jc w:val="right"/>
              <w:rPr>
                <w:rFonts w:ascii="Arial Narrow" w:hAnsi="Arial Narrow" w:cs="Arial Narrow" w:eastAsia="Arial Narrow" w:hint="default"/>
                <w:sz w:val="21"/>
                <w:szCs w:val="21"/>
              </w:rPr>
            </w:pPr>
            <w:r>
              <w:rPr>
                <w:rFonts w:ascii="Arial Narrow"/>
                <w:spacing w:val="-1"/>
                <w:sz w:val="21"/>
              </w:rPr>
              <w:t>327,500.00</w:t>
            </w:r>
            <w:r>
              <w:rPr>
                <w:rFonts w:ascii="Arial Narrow"/>
                <w:sz w:val="21"/>
              </w:rPr>
            </w:r>
          </w:p>
        </w:tc>
        <w:tc>
          <w:tcPr>
            <w:tcW w:w="1161"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40"/>
              <w:jc w:val="righ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6"/>
                <w:sz w:val="21"/>
                <w:szCs w:val="21"/>
              </w:rPr>
              <w:t> </w:t>
            </w:r>
            <w:r>
              <w:rPr>
                <w:rFonts w:ascii="宋体" w:hAnsi="宋体" w:cs="宋体" w:eastAsia="宋体" w:hint="default"/>
                <w:sz w:val="21"/>
                <w:szCs w:val="21"/>
              </w:rPr>
              <w:t>年以内</w:t>
            </w:r>
          </w:p>
        </w:tc>
        <w:tc>
          <w:tcPr>
            <w:tcW w:w="1616"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6"/>
              <w:jc w:val="right"/>
              <w:rPr>
                <w:rFonts w:ascii="Arial Narrow" w:hAnsi="Arial Narrow" w:cs="Arial Narrow" w:eastAsia="Arial Narrow" w:hint="default"/>
                <w:sz w:val="21"/>
                <w:szCs w:val="21"/>
              </w:rPr>
            </w:pPr>
            <w:r>
              <w:rPr>
                <w:rFonts w:ascii="Arial Narrow"/>
                <w:spacing w:val="-1"/>
                <w:sz w:val="21"/>
              </w:rPr>
              <w:t>1.50</w:t>
            </w:r>
            <w:r>
              <w:rPr>
                <w:rFonts w:ascii="Arial Narrow"/>
                <w:sz w:val="21"/>
              </w:rPr>
            </w:r>
          </w:p>
        </w:tc>
      </w:tr>
      <w:tr>
        <w:trPr>
          <w:trHeight w:val="403" w:hRule="exact"/>
        </w:trPr>
        <w:tc>
          <w:tcPr>
            <w:tcW w:w="3270"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240" w:lineRule="auto" w:before="23"/>
              <w:ind w:left="12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1869" w:type="dxa"/>
            <w:tcBorders>
              <w:top w:val="single" w:sz="4" w:space="0" w:color="000000"/>
              <w:left w:val="nil" w:sz="6" w:space="0" w:color="auto"/>
              <w:bottom w:val="single" w:sz="8" w:space="0" w:color="000000"/>
              <w:right w:val="nil" w:sz="6" w:space="0" w:color="auto"/>
            </w:tcBorders>
          </w:tcPr>
          <w:p>
            <w:pPr/>
          </w:p>
        </w:tc>
        <w:tc>
          <w:tcPr>
            <w:tcW w:w="1381"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36"/>
              <w:jc w:val="right"/>
              <w:rPr>
                <w:rFonts w:ascii="Arial Narrow" w:hAnsi="Arial Narrow" w:cs="Arial Narrow" w:eastAsia="Arial Narrow" w:hint="default"/>
                <w:sz w:val="21"/>
                <w:szCs w:val="21"/>
              </w:rPr>
            </w:pPr>
            <w:r>
              <w:rPr>
                <w:rFonts w:ascii="Arial Narrow"/>
                <w:b/>
                <w:spacing w:val="-1"/>
                <w:sz w:val="21"/>
              </w:rPr>
              <w:t>7,813,447.05</w:t>
            </w:r>
            <w:r>
              <w:rPr>
                <w:rFonts w:ascii="Arial Narrow"/>
                <w:sz w:val="21"/>
              </w:rPr>
            </w:r>
          </w:p>
        </w:tc>
        <w:tc>
          <w:tcPr>
            <w:tcW w:w="1161" w:type="dxa"/>
            <w:tcBorders>
              <w:top w:val="single" w:sz="4" w:space="0" w:color="000000"/>
              <w:left w:val="nil" w:sz="6" w:space="0" w:color="auto"/>
              <w:bottom w:val="single" w:sz="8" w:space="0" w:color="000000"/>
              <w:right w:val="nil" w:sz="6" w:space="0" w:color="auto"/>
            </w:tcBorders>
          </w:tcPr>
          <w:p>
            <w:pPr/>
          </w:p>
        </w:tc>
        <w:tc>
          <w:tcPr>
            <w:tcW w:w="1616"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06"/>
              <w:jc w:val="right"/>
              <w:rPr>
                <w:rFonts w:ascii="Arial Narrow" w:hAnsi="Arial Narrow" w:cs="Arial Narrow" w:eastAsia="Arial Narrow" w:hint="default"/>
                <w:sz w:val="21"/>
                <w:szCs w:val="21"/>
              </w:rPr>
            </w:pPr>
            <w:r>
              <w:rPr>
                <w:rFonts w:ascii="Arial Narrow"/>
                <w:b/>
                <w:spacing w:val="-1"/>
                <w:sz w:val="21"/>
              </w:rPr>
              <w:t>35.70</w:t>
            </w:r>
            <w:r>
              <w:rPr>
                <w:rFonts w:ascii="Arial Narrow"/>
                <w:sz w:val="21"/>
              </w:rPr>
            </w:r>
          </w:p>
        </w:tc>
      </w:tr>
    </w:tbl>
    <w:p>
      <w:pPr>
        <w:pStyle w:val="BodyText"/>
        <w:spacing w:line="240" w:lineRule="auto" w:before="79"/>
        <w:ind w:left="559" w:right="0"/>
        <w:jc w:val="left"/>
      </w:pPr>
      <w:r>
        <w:rPr/>
        <w:t>（</w:t>
      </w:r>
      <w:r>
        <w:rPr>
          <w:rFonts w:ascii="Arial Narrow" w:hAnsi="Arial Narrow" w:cs="Arial Narrow" w:eastAsia="Arial Narrow" w:hint="default"/>
        </w:rPr>
        <w:t>4</w:t>
      </w:r>
      <w:r>
        <w:rPr/>
        <w:t>）应收关联方款项</w:t>
      </w:r>
    </w:p>
    <w:p>
      <w:pPr>
        <w:spacing w:after="0" w:line="240" w:lineRule="auto"/>
        <w:jc w:val="left"/>
        <w:sectPr>
          <w:pgSz w:w="11900" w:h="16850"/>
          <w:pgMar w:header="0" w:footer="919" w:top="1640" w:bottom="1100" w:left="1140" w:right="920"/>
        </w:sectPr>
      </w:pP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34"/>
        <w:gridCol w:w="3561"/>
        <w:gridCol w:w="2250"/>
        <w:gridCol w:w="1656"/>
        <w:gridCol w:w="1743"/>
      </w:tblGrid>
      <w:tr>
        <w:trPr>
          <w:trHeight w:val="106" w:hRule="exact"/>
        </w:trPr>
        <w:tc>
          <w:tcPr>
            <w:tcW w:w="334" w:type="dxa"/>
            <w:tcBorders>
              <w:top w:val="single" w:sz="6" w:space="0" w:color="000000"/>
              <w:left w:val="nil" w:sz="6" w:space="0" w:color="auto"/>
              <w:bottom w:val="nil" w:sz="6" w:space="0" w:color="auto"/>
              <w:right w:val="nil" w:sz="6" w:space="0" w:color="auto"/>
            </w:tcBorders>
          </w:tcPr>
          <w:p>
            <w:pPr/>
          </w:p>
        </w:tc>
        <w:tc>
          <w:tcPr>
            <w:tcW w:w="3561" w:type="dxa"/>
            <w:tcBorders>
              <w:top w:val="single" w:sz="6" w:space="0" w:color="000000"/>
              <w:left w:val="nil" w:sz="6" w:space="0" w:color="auto"/>
              <w:bottom w:val="single" w:sz="8" w:space="0" w:color="000000"/>
              <w:right w:val="nil" w:sz="6" w:space="0" w:color="auto"/>
            </w:tcBorders>
          </w:tcPr>
          <w:p>
            <w:pPr/>
          </w:p>
        </w:tc>
        <w:tc>
          <w:tcPr>
            <w:tcW w:w="2250" w:type="dxa"/>
            <w:tcBorders>
              <w:top w:val="single" w:sz="6" w:space="0" w:color="000000"/>
              <w:left w:val="nil" w:sz="6" w:space="0" w:color="auto"/>
              <w:bottom w:val="single" w:sz="8" w:space="0" w:color="000000"/>
              <w:right w:val="nil" w:sz="6" w:space="0" w:color="auto"/>
            </w:tcBorders>
          </w:tcPr>
          <w:p>
            <w:pPr/>
          </w:p>
        </w:tc>
        <w:tc>
          <w:tcPr>
            <w:tcW w:w="1656" w:type="dxa"/>
            <w:tcBorders>
              <w:top w:val="single" w:sz="6" w:space="0" w:color="000000"/>
              <w:left w:val="nil" w:sz="6" w:space="0" w:color="auto"/>
              <w:bottom w:val="single" w:sz="8" w:space="0" w:color="000000"/>
              <w:right w:val="nil" w:sz="6" w:space="0" w:color="auto"/>
            </w:tcBorders>
          </w:tcPr>
          <w:p>
            <w:pPr/>
          </w:p>
        </w:tc>
        <w:tc>
          <w:tcPr>
            <w:tcW w:w="1743" w:type="dxa"/>
            <w:tcBorders>
              <w:top w:val="single" w:sz="6" w:space="0" w:color="000000"/>
              <w:left w:val="nil" w:sz="6" w:space="0" w:color="auto"/>
              <w:bottom w:val="single" w:sz="8" w:space="0" w:color="000000"/>
              <w:right w:val="nil" w:sz="6" w:space="0" w:color="auto"/>
            </w:tcBorders>
          </w:tcPr>
          <w:p>
            <w:pPr/>
          </w:p>
        </w:tc>
      </w:tr>
      <w:tr>
        <w:trPr>
          <w:trHeight w:val="644" w:hRule="exact"/>
        </w:trPr>
        <w:tc>
          <w:tcPr>
            <w:tcW w:w="334" w:type="dxa"/>
            <w:tcBorders>
              <w:top w:val="nil" w:sz="6" w:space="0" w:color="auto"/>
              <w:left w:val="nil" w:sz="6" w:space="0" w:color="auto"/>
              <w:bottom w:val="nil" w:sz="6" w:space="0" w:color="auto"/>
              <w:right w:val="nil" w:sz="6" w:space="0" w:color="auto"/>
            </w:tcBorders>
          </w:tcPr>
          <w:p>
            <w:pPr/>
          </w:p>
        </w:tc>
        <w:tc>
          <w:tcPr>
            <w:tcW w:w="3561"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left="115" w:right="0"/>
              <w:jc w:val="left"/>
              <w:rPr>
                <w:rFonts w:ascii="宋体" w:hAnsi="宋体" w:cs="宋体" w:eastAsia="宋体" w:hint="default"/>
                <w:sz w:val="24"/>
                <w:szCs w:val="24"/>
              </w:rPr>
            </w:pPr>
            <w:r>
              <w:rPr>
                <w:rFonts w:ascii="宋体" w:hAnsi="宋体" w:cs="宋体" w:eastAsia="宋体" w:hint="default"/>
                <w:b/>
                <w:bCs/>
                <w:sz w:val="24"/>
                <w:szCs w:val="24"/>
              </w:rPr>
              <w:t>单位名称</w:t>
            </w:r>
            <w:r>
              <w:rPr>
                <w:rFonts w:ascii="宋体" w:hAnsi="宋体" w:cs="宋体" w:eastAsia="宋体" w:hint="default"/>
                <w:sz w:val="24"/>
                <w:szCs w:val="24"/>
              </w:rPr>
            </w:r>
          </w:p>
        </w:tc>
        <w:tc>
          <w:tcPr>
            <w:tcW w:w="2250"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237"/>
              <w:jc w:val="right"/>
              <w:rPr>
                <w:rFonts w:ascii="宋体" w:hAnsi="宋体" w:cs="宋体" w:eastAsia="宋体" w:hint="default"/>
                <w:sz w:val="24"/>
                <w:szCs w:val="24"/>
              </w:rPr>
            </w:pPr>
            <w:r>
              <w:rPr>
                <w:rFonts w:ascii="宋体" w:hAnsi="宋体" w:cs="宋体" w:eastAsia="宋体" w:hint="default"/>
                <w:b/>
                <w:bCs/>
                <w:w w:val="95"/>
                <w:sz w:val="24"/>
                <w:szCs w:val="24"/>
              </w:rPr>
              <w:t>与本公司关系</w:t>
            </w:r>
            <w:r>
              <w:rPr>
                <w:rFonts w:ascii="宋体" w:hAnsi="宋体" w:cs="宋体" w:eastAsia="宋体" w:hint="default"/>
                <w:sz w:val="24"/>
                <w:szCs w:val="24"/>
              </w:rPr>
            </w:r>
          </w:p>
        </w:tc>
        <w:tc>
          <w:tcPr>
            <w:tcW w:w="1656" w:type="dxa"/>
            <w:tcBorders>
              <w:top w:val="single" w:sz="8" w:space="0" w:color="000000"/>
              <w:left w:val="nil" w:sz="6" w:space="0" w:color="auto"/>
              <w:bottom w:val="nil" w:sz="6" w:space="0" w:color="auto"/>
              <w:right w:val="nil" w:sz="6" w:space="0" w:color="auto"/>
            </w:tcBorders>
          </w:tcPr>
          <w:p>
            <w:pPr>
              <w:pStyle w:val="TableParagraph"/>
              <w:spacing w:line="240" w:lineRule="auto" w:before="99"/>
              <w:ind w:right="264"/>
              <w:jc w:val="right"/>
              <w:rPr>
                <w:rFonts w:ascii="宋体" w:hAnsi="宋体" w:cs="宋体" w:eastAsia="宋体" w:hint="default"/>
                <w:sz w:val="24"/>
                <w:szCs w:val="24"/>
              </w:rPr>
            </w:pPr>
            <w:r>
              <w:rPr>
                <w:rFonts w:ascii="宋体" w:hAnsi="宋体" w:cs="宋体" w:eastAsia="宋体" w:hint="default"/>
                <w:b/>
                <w:bCs/>
                <w:sz w:val="24"/>
                <w:szCs w:val="24"/>
              </w:rPr>
              <w:t>金额</w:t>
            </w:r>
            <w:r>
              <w:rPr>
                <w:rFonts w:ascii="宋体" w:hAnsi="宋体" w:cs="宋体" w:eastAsia="宋体" w:hint="default"/>
                <w:sz w:val="24"/>
                <w:szCs w:val="24"/>
              </w:rPr>
            </w:r>
          </w:p>
        </w:tc>
        <w:tc>
          <w:tcPr>
            <w:tcW w:w="1743" w:type="dxa"/>
            <w:tcBorders>
              <w:top w:val="single" w:sz="8" w:space="0" w:color="000000"/>
              <w:left w:val="nil" w:sz="6" w:space="0" w:color="auto"/>
              <w:bottom w:val="nil" w:sz="6" w:space="0" w:color="auto"/>
              <w:right w:val="nil" w:sz="6" w:space="0" w:color="auto"/>
            </w:tcBorders>
          </w:tcPr>
          <w:p>
            <w:pPr>
              <w:pStyle w:val="TableParagraph"/>
              <w:spacing w:line="273" w:lineRule="exact"/>
              <w:ind w:left="266" w:right="0"/>
              <w:jc w:val="left"/>
              <w:rPr>
                <w:rFonts w:ascii="宋体" w:hAnsi="宋体" w:cs="宋体" w:eastAsia="宋体" w:hint="default"/>
                <w:sz w:val="24"/>
                <w:szCs w:val="24"/>
              </w:rPr>
            </w:pPr>
            <w:r>
              <w:rPr>
                <w:rFonts w:ascii="宋体" w:hAnsi="宋体" w:cs="宋体" w:eastAsia="宋体" w:hint="default"/>
                <w:b/>
                <w:bCs/>
                <w:sz w:val="24"/>
                <w:szCs w:val="24"/>
              </w:rPr>
              <w:t>占其他应收款</w:t>
            </w:r>
            <w:r>
              <w:rPr>
                <w:rFonts w:ascii="宋体" w:hAnsi="宋体" w:cs="宋体" w:eastAsia="宋体" w:hint="default"/>
                <w:sz w:val="24"/>
                <w:szCs w:val="24"/>
              </w:rPr>
            </w:r>
          </w:p>
          <w:p>
            <w:pPr>
              <w:pStyle w:val="TableParagraph"/>
              <w:tabs>
                <w:tab w:pos="331" w:val="left" w:leader="none"/>
                <w:tab w:pos="1822" w:val="left" w:leader="none"/>
              </w:tabs>
              <w:spacing w:line="330" w:lineRule="exact"/>
              <w:ind w:left="-7461" w:right="-80"/>
              <w:jc w:val="left"/>
              <w:rPr>
                <w:rFonts w:ascii="Arial Narrow" w:hAnsi="Arial Narrow" w:cs="Arial Narrow" w:eastAsia="Arial Narrow" w:hint="default"/>
                <w:sz w:val="24"/>
                <w:szCs w:val="24"/>
              </w:rPr>
            </w:pPr>
            <w:r>
              <w:rPr>
                <w:rFonts w:ascii="Times New Roman" w:hAnsi="Times New Roman" w:cs="Times New Roman" w:eastAsia="Times New Roman" w:hint="default"/>
                <w:b/>
                <w:bCs/>
                <w:sz w:val="24"/>
                <w:szCs w:val="24"/>
              </w:rPr>
            </w:r>
            <w:r>
              <w:rPr>
                <w:rFonts w:ascii="Times New Roman" w:hAnsi="Times New Roman" w:cs="Times New Roman" w:eastAsia="Times New Roman" w:hint="default"/>
                <w:b/>
                <w:bCs/>
                <w:sz w:val="24"/>
                <w:szCs w:val="24"/>
                <w:u w:val="single" w:color="000000"/>
              </w:rPr>
              <w:t> </w:t>
              <w:tab/>
            </w:r>
            <w:r>
              <w:rPr>
                <w:rFonts w:ascii="宋体" w:hAnsi="宋体" w:cs="宋体" w:eastAsia="宋体" w:hint="default"/>
                <w:b/>
                <w:bCs/>
                <w:sz w:val="24"/>
                <w:szCs w:val="24"/>
                <w:u w:val="single" w:color="000000"/>
              </w:rPr>
              <w:t>总额的比例</w:t>
            </w:r>
            <w:r>
              <w:rPr>
                <w:rFonts w:ascii="Arial Narrow" w:hAnsi="Arial Narrow" w:cs="Arial Narrow" w:eastAsia="Arial Narrow" w:hint="default"/>
                <w:b/>
                <w:bCs/>
                <w:sz w:val="24"/>
                <w:szCs w:val="24"/>
                <w:u w:val="single" w:color="000000"/>
              </w:rPr>
              <w:t>%</w:t>
              <w:tab/>
            </w:r>
            <w:r>
              <w:rPr>
                <w:rFonts w:ascii="Arial Narrow" w:hAnsi="Arial Narrow" w:cs="Arial Narrow" w:eastAsia="Arial Narrow" w:hint="default"/>
                <w:b/>
                <w:bCs/>
                <w:sz w:val="24"/>
                <w:szCs w:val="24"/>
              </w:rPr>
            </w:r>
            <w:r>
              <w:rPr>
                <w:rFonts w:ascii="Arial Narrow" w:hAnsi="Arial Narrow" w:cs="Arial Narrow" w:eastAsia="Arial Narrow" w:hint="default"/>
                <w:sz w:val="24"/>
                <w:szCs w:val="24"/>
              </w:rPr>
            </w:r>
          </w:p>
        </w:tc>
      </w:tr>
      <w:tr>
        <w:trPr>
          <w:trHeight w:val="364" w:hRule="exact"/>
        </w:trPr>
        <w:tc>
          <w:tcPr>
            <w:tcW w:w="334" w:type="dxa"/>
            <w:tcBorders>
              <w:top w:val="nil" w:sz="6" w:space="0" w:color="auto"/>
              <w:left w:val="nil" w:sz="6" w:space="0" w:color="auto"/>
              <w:bottom w:val="nil" w:sz="6" w:space="0" w:color="auto"/>
              <w:right w:val="nil" w:sz="6" w:space="0" w:color="auto"/>
            </w:tcBorders>
          </w:tcPr>
          <w:p>
            <w:pPr/>
          </w:p>
        </w:tc>
        <w:tc>
          <w:tcPr>
            <w:tcW w:w="3561" w:type="dxa"/>
            <w:tcBorders>
              <w:top w:val="nil" w:sz="6" w:space="0" w:color="auto"/>
              <w:left w:val="nil" w:sz="6" w:space="0" w:color="auto"/>
              <w:bottom w:val="single" w:sz="8" w:space="0" w:color="000000"/>
              <w:right w:val="nil" w:sz="6" w:space="0" w:color="auto"/>
            </w:tcBorders>
          </w:tcPr>
          <w:p>
            <w:pPr>
              <w:pStyle w:val="TableParagraph"/>
              <w:spacing w:line="278" w:lineRule="exact"/>
              <w:ind w:left="115" w:right="0"/>
              <w:jc w:val="left"/>
              <w:rPr>
                <w:rFonts w:ascii="宋体" w:hAnsi="宋体" w:cs="宋体" w:eastAsia="宋体" w:hint="default"/>
                <w:sz w:val="24"/>
                <w:szCs w:val="24"/>
              </w:rPr>
            </w:pPr>
            <w:r>
              <w:rPr>
                <w:rFonts w:ascii="宋体" w:hAnsi="宋体" w:cs="宋体" w:eastAsia="宋体" w:hint="default"/>
                <w:sz w:val="24"/>
                <w:szCs w:val="24"/>
              </w:rPr>
              <w:t>北京超图信息技术有限公司</w:t>
            </w:r>
          </w:p>
        </w:tc>
        <w:tc>
          <w:tcPr>
            <w:tcW w:w="2250" w:type="dxa"/>
            <w:tcBorders>
              <w:top w:val="nil" w:sz="6" w:space="0" w:color="auto"/>
              <w:left w:val="nil" w:sz="6" w:space="0" w:color="auto"/>
              <w:bottom w:val="single" w:sz="8" w:space="0" w:color="000000"/>
              <w:right w:val="nil" w:sz="6" w:space="0" w:color="auto"/>
            </w:tcBorders>
          </w:tcPr>
          <w:p>
            <w:pPr>
              <w:pStyle w:val="TableParagraph"/>
              <w:spacing w:line="278" w:lineRule="exact"/>
              <w:ind w:right="235"/>
              <w:jc w:val="right"/>
              <w:rPr>
                <w:rFonts w:ascii="宋体" w:hAnsi="宋体" w:cs="宋体" w:eastAsia="宋体" w:hint="default"/>
                <w:sz w:val="24"/>
                <w:szCs w:val="24"/>
              </w:rPr>
            </w:pPr>
            <w:r>
              <w:rPr>
                <w:rFonts w:ascii="宋体" w:hAnsi="宋体" w:cs="宋体" w:eastAsia="宋体" w:hint="default"/>
                <w:sz w:val="24"/>
                <w:szCs w:val="24"/>
              </w:rPr>
              <w:t>本公司子公司</w:t>
            </w:r>
          </w:p>
        </w:tc>
        <w:tc>
          <w:tcPr>
            <w:tcW w:w="1656"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267"/>
              <w:jc w:val="right"/>
              <w:rPr>
                <w:rFonts w:ascii="Arial Narrow" w:hAnsi="Arial Narrow" w:cs="Arial Narrow" w:eastAsia="Arial Narrow" w:hint="default"/>
                <w:sz w:val="24"/>
                <w:szCs w:val="24"/>
              </w:rPr>
            </w:pPr>
            <w:r>
              <w:rPr>
                <w:rFonts w:ascii="Arial Narrow"/>
                <w:spacing w:val="-1"/>
                <w:sz w:val="24"/>
              </w:rPr>
              <w:t>5,213,097.05</w:t>
            </w:r>
          </w:p>
        </w:tc>
        <w:tc>
          <w:tcPr>
            <w:tcW w:w="1743" w:type="dxa"/>
            <w:tcBorders>
              <w:top w:val="nil" w:sz="6" w:space="0" w:color="auto"/>
              <w:left w:val="nil" w:sz="6" w:space="0" w:color="auto"/>
              <w:bottom w:val="single" w:sz="8" w:space="0" w:color="000000"/>
              <w:right w:val="nil" w:sz="6" w:space="0" w:color="auto"/>
            </w:tcBorders>
          </w:tcPr>
          <w:p>
            <w:pPr>
              <w:pStyle w:val="TableParagraph"/>
              <w:spacing w:line="240" w:lineRule="auto" w:before="17"/>
              <w:ind w:right="28"/>
              <w:jc w:val="right"/>
              <w:rPr>
                <w:rFonts w:ascii="Arial Narrow" w:hAnsi="Arial Narrow" w:cs="Arial Narrow" w:eastAsia="Arial Narrow" w:hint="default"/>
                <w:sz w:val="24"/>
                <w:szCs w:val="24"/>
              </w:rPr>
            </w:pPr>
            <w:r>
              <w:rPr>
                <w:rFonts w:ascii="Arial Narrow"/>
                <w:spacing w:val="-1"/>
                <w:sz w:val="24"/>
              </w:rPr>
              <w:t>23.81</w:t>
            </w:r>
          </w:p>
        </w:tc>
      </w:tr>
    </w:tbl>
    <w:p>
      <w:pPr>
        <w:pStyle w:val="BodyText"/>
        <w:spacing w:line="240" w:lineRule="auto" w:before="79"/>
        <w:ind w:left="142" w:right="4177"/>
        <w:jc w:val="left"/>
      </w:pPr>
      <w:r>
        <w:rPr>
          <w:rFonts w:ascii="Arial Narrow" w:hAnsi="Arial Narrow" w:cs="Arial Narrow" w:eastAsia="Arial Narrow" w:hint="default"/>
        </w:rPr>
        <w:t>3</w:t>
      </w:r>
      <w:r>
        <w:rPr/>
        <w:t>、长期股权投资</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2661"/>
        <w:gridCol w:w="1645"/>
        <w:gridCol w:w="1734"/>
        <w:gridCol w:w="1523"/>
        <w:gridCol w:w="1588"/>
      </w:tblGrid>
      <w:tr>
        <w:trPr>
          <w:trHeight w:val="391" w:hRule="exact"/>
        </w:trPr>
        <w:tc>
          <w:tcPr>
            <w:tcW w:w="2661"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07"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1645" w:type="dxa"/>
            <w:tcBorders>
              <w:top w:val="single" w:sz="8" w:space="0" w:color="000000"/>
              <w:left w:val="nil" w:sz="6" w:space="0" w:color="auto"/>
              <w:bottom w:val="single" w:sz="4" w:space="0" w:color="000000"/>
              <w:right w:val="nil" w:sz="6" w:space="0" w:color="auto"/>
            </w:tcBorders>
          </w:tcPr>
          <w:p>
            <w:pPr/>
          </w:p>
        </w:tc>
        <w:tc>
          <w:tcPr>
            <w:tcW w:w="1734"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356"/>
              <w:jc w:val="right"/>
              <w:rPr>
                <w:rFonts w:ascii="宋体" w:hAnsi="宋体" w:cs="宋体" w:eastAsia="宋体" w:hint="default"/>
                <w:sz w:val="24"/>
                <w:szCs w:val="24"/>
              </w:rPr>
            </w:pPr>
            <w:r>
              <w:rPr>
                <w:rFonts w:ascii="宋体" w:hAnsi="宋体" w:cs="宋体" w:eastAsia="宋体" w:hint="default"/>
                <w:b/>
                <w:bCs/>
                <w:sz w:val="24"/>
                <w:szCs w:val="24"/>
              </w:rPr>
              <w:t>本年增加</w:t>
            </w:r>
            <w:r>
              <w:rPr>
                <w:rFonts w:ascii="宋体" w:hAnsi="宋体" w:cs="宋体" w:eastAsia="宋体" w:hint="default"/>
                <w:sz w:val="24"/>
                <w:szCs w:val="24"/>
              </w:rPr>
            </w:r>
          </w:p>
        </w:tc>
        <w:tc>
          <w:tcPr>
            <w:tcW w:w="1523"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99"/>
              <w:jc w:val="right"/>
              <w:rPr>
                <w:rFonts w:ascii="宋体" w:hAnsi="宋体" w:cs="宋体" w:eastAsia="宋体" w:hint="default"/>
                <w:sz w:val="24"/>
                <w:szCs w:val="24"/>
              </w:rPr>
            </w:pPr>
            <w:r>
              <w:rPr>
                <w:rFonts w:ascii="宋体" w:hAnsi="宋体" w:cs="宋体" w:eastAsia="宋体" w:hint="default"/>
                <w:b/>
                <w:bCs/>
                <w:sz w:val="24"/>
                <w:szCs w:val="24"/>
              </w:rPr>
              <w:t>本年减少</w:t>
            </w:r>
            <w:r>
              <w:rPr>
                <w:rFonts w:ascii="宋体" w:hAnsi="宋体" w:cs="宋体" w:eastAsia="宋体" w:hint="default"/>
                <w:sz w:val="24"/>
                <w:szCs w:val="24"/>
              </w:rPr>
            </w:r>
          </w:p>
        </w:tc>
        <w:tc>
          <w:tcPr>
            <w:tcW w:w="1588"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6"/>
              <w:jc w:val="right"/>
              <w:rPr>
                <w:rFonts w:ascii="宋体" w:hAnsi="宋体" w:cs="宋体" w:eastAsia="宋体" w:hint="default"/>
                <w:sz w:val="24"/>
                <w:szCs w:val="24"/>
              </w:rPr>
            </w:pPr>
            <w:r>
              <w:rPr>
                <w:rFonts w:ascii="宋体" w:hAnsi="宋体" w:cs="宋体" w:eastAsia="宋体" w:hint="default"/>
                <w:b/>
                <w:bCs/>
                <w:w w:val="95"/>
                <w:sz w:val="24"/>
                <w:szCs w:val="24"/>
              </w:rPr>
              <w:t>期末数</w:t>
            </w:r>
            <w:r>
              <w:rPr>
                <w:rFonts w:ascii="宋体" w:hAnsi="宋体" w:cs="宋体" w:eastAsia="宋体" w:hint="default"/>
                <w:sz w:val="24"/>
                <w:szCs w:val="24"/>
              </w:rPr>
            </w:r>
          </w:p>
        </w:tc>
      </w:tr>
      <w:tr>
        <w:trPr>
          <w:trHeight w:val="398" w:hRule="exact"/>
        </w:trPr>
        <w:tc>
          <w:tcPr>
            <w:tcW w:w="2661"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对子公司投资</w:t>
            </w:r>
          </w:p>
        </w:tc>
        <w:tc>
          <w:tcPr>
            <w:tcW w:w="164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57" w:right="0"/>
              <w:jc w:val="left"/>
              <w:rPr>
                <w:rFonts w:ascii="Arial Narrow" w:hAnsi="Arial Narrow" w:cs="Arial Narrow" w:eastAsia="Arial Narrow" w:hint="default"/>
                <w:sz w:val="24"/>
                <w:szCs w:val="24"/>
              </w:rPr>
            </w:pPr>
            <w:r>
              <w:rPr>
                <w:rFonts w:ascii="Arial Narrow"/>
                <w:sz w:val="24"/>
              </w:rPr>
              <w:t>26,393,851.78</w:t>
            </w:r>
          </w:p>
        </w:tc>
        <w:tc>
          <w:tcPr>
            <w:tcW w:w="1734" w:type="dxa"/>
            <w:tcBorders>
              <w:top w:val="single" w:sz="4" w:space="0" w:color="000000"/>
              <w:left w:val="nil" w:sz="6" w:space="0" w:color="auto"/>
              <w:bottom w:val="nil" w:sz="6" w:space="0" w:color="auto"/>
              <w:right w:val="nil" w:sz="6" w:space="0" w:color="auto"/>
            </w:tcBorders>
          </w:tcPr>
          <w:p>
            <w:pPr/>
          </w:p>
        </w:tc>
        <w:tc>
          <w:tcPr>
            <w:tcW w:w="1523" w:type="dxa"/>
            <w:tcBorders>
              <w:top w:val="single" w:sz="4" w:space="0" w:color="000000"/>
              <w:left w:val="nil" w:sz="6" w:space="0" w:color="auto"/>
              <w:bottom w:val="nil" w:sz="6" w:space="0" w:color="auto"/>
              <w:right w:val="nil" w:sz="6" w:space="0" w:color="auto"/>
            </w:tcBorders>
          </w:tcPr>
          <w:p>
            <w:pP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26,393,851.78</w:t>
            </w:r>
          </w:p>
        </w:tc>
      </w:tr>
      <w:tr>
        <w:trPr>
          <w:trHeight w:val="397" w:hRule="exact"/>
        </w:trPr>
        <w:tc>
          <w:tcPr>
            <w:tcW w:w="2661"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对联营企业投资</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7" w:right="0"/>
              <w:jc w:val="left"/>
              <w:rPr>
                <w:rFonts w:ascii="Arial Narrow" w:hAnsi="Arial Narrow" w:cs="Arial Narrow" w:eastAsia="Arial Narrow" w:hint="default"/>
                <w:sz w:val="24"/>
                <w:szCs w:val="24"/>
              </w:rPr>
            </w:pPr>
            <w:r>
              <w:rPr>
                <w:rFonts w:ascii="Arial Narrow"/>
                <w:sz w:val="24"/>
              </w:rPr>
              <w:t>12,187,580.48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55"/>
              <w:jc w:val="right"/>
              <w:rPr>
                <w:rFonts w:ascii="Arial Narrow" w:hAnsi="Arial Narrow" w:cs="Arial Narrow" w:eastAsia="Arial Narrow" w:hint="default"/>
                <w:sz w:val="24"/>
                <w:szCs w:val="24"/>
              </w:rPr>
            </w:pPr>
            <w:r>
              <w:rPr>
                <w:rFonts w:ascii="Arial Narrow"/>
                <w:spacing w:val="-1"/>
                <w:sz w:val="24"/>
              </w:rPr>
              <w:t>1,564,325.19</w:t>
            </w:r>
          </w:p>
        </w:tc>
        <w:tc>
          <w:tcPr>
            <w:tcW w:w="1523"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spacing w:val="-1"/>
                <w:sz w:val="24"/>
              </w:rPr>
              <w:t>13,751,905.67</w:t>
            </w:r>
          </w:p>
        </w:tc>
      </w:tr>
      <w:tr>
        <w:trPr>
          <w:trHeight w:val="393" w:hRule="exact"/>
        </w:trPr>
        <w:tc>
          <w:tcPr>
            <w:tcW w:w="2661" w:type="dxa"/>
            <w:tcBorders>
              <w:top w:val="nil" w:sz="6" w:space="0" w:color="auto"/>
              <w:left w:val="nil" w:sz="6" w:space="0" w:color="auto"/>
              <w:bottom w:val="nil" w:sz="6" w:space="0" w:color="auto"/>
              <w:right w:val="nil" w:sz="6" w:space="0" w:color="auto"/>
            </w:tcBorders>
          </w:tcPr>
          <w:p>
            <w:pP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57" w:right="0"/>
              <w:jc w:val="left"/>
              <w:rPr>
                <w:rFonts w:ascii="Arial Narrow" w:hAnsi="Arial Narrow" w:cs="Arial Narrow" w:eastAsia="Arial Narrow" w:hint="default"/>
                <w:sz w:val="24"/>
                <w:szCs w:val="24"/>
              </w:rPr>
            </w:pPr>
            <w:r>
              <w:rPr>
                <w:rFonts w:ascii="Arial Narrow"/>
                <w:sz w:val="24"/>
              </w:rPr>
              <w:t>38,581,432.26</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55"/>
              <w:jc w:val="right"/>
              <w:rPr>
                <w:rFonts w:ascii="Arial Narrow" w:hAnsi="Arial Narrow" w:cs="Arial Narrow" w:eastAsia="Arial Narrow" w:hint="default"/>
                <w:sz w:val="24"/>
                <w:szCs w:val="24"/>
              </w:rPr>
            </w:pPr>
            <w:r>
              <w:rPr>
                <w:rFonts w:ascii="Arial Narrow"/>
                <w:spacing w:val="-1"/>
                <w:sz w:val="24"/>
              </w:rPr>
              <w:t>1,564,325.19</w:t>
            </w:r>
          </w:p>
        </w:tc>
        <w:tc>
          <w:tcPr>
            <w:tcW w:w="1523"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spacing w:val="-1"/>
                <w:sz w:val="24"/>
              </w:rPr>
              <w:t>40,145,757.45</w:t>
            </w:r>
          </w:p>
        </w:tc>
      </w:tr>
      <w:tr>
        <w:trPr>
          <w:trHeight w:val="401" w:hRule="exact"/>
        </w:trPr>
        <w:tc>
          <w:tcPr>
            <w:tcW w:w="266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长期股权投资减值准备</w:t>
            </w:r>
          </w:p>
        </w:tc>
        <w:tc>
          <w:tcPr>
            <w:tcW w:w="164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38" w:right="0"/>
              <w:jc w:val="left"/>
              <w:rPr>
                <w:rFonts w:ascii="Arial Narrow" w:hAnsi="Arial Narrow" w:cs="Arial Narrow" w:eastAsia="Arial Narrow" w:hint="default"/>
                <w:sz w:val="24"/>
                <w:szCs w:val="24"/>
              </w:rPr>
            </w:pPr>
            <w:r>
              <w:rPr>
                <w:rFonts w:ascii="Arial Narrow"/>
                <w:sz w:val="24"/>
              </w:rPr>
              <w:t>(1,000,000.00)</w:t>
            </w:r>
          </w:p>
        </w:tc>
        <w:tc>
          <w:tcPr>
            <w:tcW w:w="173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355"/>
              <w:jc w:val="right"/>
              <w:rPr>
                <w:rFonts w:ascii="Arial Narrow" w:hAnsi="Arial Narrow" w:cs="Arial Narrow" w:eastAsia="Arial Narrow" w:hint="default"/>
                <w:sz w:val="24"/>
                <w:szCs w:val="24"/>
              </w:rPr>
            </w:pPr>
            <w:r>
              <w:rPr>
                <w:rFonts w:ascii="Arial Narrow"/>
                <w:sz w:val="24"/>
              </w:rPr>
              <w:t>-</w:t>
            </w:r>
          </w:p>
        </w:tc>
        <w:tc>
          <w:tcPr>
            <w:tcW w:w="152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98"/>
              <w:jc w:val="right"/>
              <w:rPr>
                <w:rFonts w:ascii="Arial Narrow" w:hAnsi="Arial Narrow" w:cs="Arial Narrow" w:eastAsia="Arial Narrow" w:hint="default"/>
                <w:sz w:val="24"/>
                <w:szCs w:val="24"/>
              </w:rPr>
            </w:pPr>
            <w:r>
              <w:rPr>
                <w:rFonts w:ascii="Arial Narrow"/>
                <w:sz w:val="24"/>
              </w:rPr>
              <w:t>-</w:t>
            </w: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4"/>
              <w:jc w:val="right"/>
              <w:rPr>
                <w:rFonts w:ascii="Arial Narrow" w:hAnsi="Arial Narrow" w:cs="Arial Narrow" w:eastAsia="Arial Narrow" w:hint="default"/>
                <w:sz w:val="24"/>
                <w:szCs w:val="24"/>
              </w:rPr>
            </w:pPr>
            <w:r>
              <w:rPr>
                <w:rFonts w:ascii="Arial Narrow"/>
                <w:spacing w:val="-1"/>
                <w:sz w:val="24"/>
              </w:rPr>
              <w:t>(1,000,000.00)</w:t>
            </w:r>
          </w:p>
        </w:tc>
      </w:tr>
      <w:tr>
        <w:trPr>
          <w:trHeight w:val="403" w:hRule="exact"/>
        </w:trPr>
        <w:tc>
          <w:tcPr>
            <w:tcW w:w="2661"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64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left="157" w:right="0"/>
              <w:jc w:val="left"/>
              <w:rPr>
                <w:rFonts w:ascii="Arial Narrow" w:hAnsi="Arial Narrow" w:cs="Arial Narrow" w:eastAsia="Arial Narrow" w:hint="default"/>
                <w:sz w:val="24"/>
                <w:szCs w:val="24"/>
              </w:rPr>
            </w:pPr>
            <w:r>
              <w:rPr>
                <w:rFonts w:ascii="Arial Narrow"/>
                <w:b/>
                <w:sz w:val="24"/>
              </w:rPr>
              <w:t>37,581,432.26</w:t>
            </w:r>
            <w:r>
              <w:rPr>
                <w:rFonts w:ascii="Arial Narrow"/>
                <w:sz w:val="24"/>
              </w:rPr>
            </w:r>
          </w:p>
        </w:tc>
        <w:tc>
          <w:tcPr>
            <w:tcW w:w="1734"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355"/>
              <w:jc w:val="right"/>
              <w:rPr>
                <w:rFonts w:ascii="Arial Narrow" w:hAnsi="Arial Narrow" w:cs="Arial Narrow" w:eastAsia="Arial Narrow" w:hint="default"/>
                <w:sz w:val="24"/>
                <w:szCs w:val="24"/>
              </w:rPr>
            </w:pPr>
            <w:r>
              <w:rPr>
                <w:rFonts w:ascii="Arial Narrow"/>
                <w:b/>
                <w:spacing w:val="-1"/>
                <w:sz w:val="24"/>
              </w:rPr>
              <w:t>1,564,325.19</w:t>
            </w:r>
            <w:r>
              <w:rPr>
                <w:rFonts w:ascii="Arial Narrow"/>
                <w:spacing w:val="-1"/>
                <w:sz w:val="24"/>
              </w:rPr>
            </w:r>
          </w:p>
        </w:tc>
        <w:tc>
          <w:tcPr>
            <w:tcW w:w="152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98"/>
              <w:jc w:val="right"/>
              <w:rPr>
                <w:rFonts w:ascii="Arial Narrow" w:hAnsi="Arial Narrow" w:cs="Arial Narrow" w:eastAsia="Arial Narrow" w:hint="default"/>
                <w:sz w:val="24"/>
                <w:szCs w:val="24"/>
              </w:rPr>
            </w:pPr>
            <w:r>
              <w:rPr>
                <w:rFonts w:ascii="Arial Narrow"/>
                <w:b/>
                <w:sz w:val="24"/>
              </w:rPr>
              <w:t>-</w:t>
            </w:r>
            <w:r>
              <w:rPr>
                <w:rFonts w:ascii="Arial Narrow"/>
                <w:sz w:val="24"/>
              </w:rPr>
            </w:r>
          </w:p>
        </w:tc>
        <w:tc>
          <w:tcPr>
            <w:tcW w:w="1588"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b/>
                <w:spacing w:val="-1"/>
                <w:sz w:val="24"/>
              </w:rPr>
              <w:t>39,145,757.45</w:t>
            </w:r>
            <w:r>
              <w:rPr>
                <w:rFonts w:ascii="Arial Narrow"/>
                <w:spacing w:val="-1"/>
                <w:sz w:val="24"/>
              </w:rPr>
            </w:r>
          </w:p>
        </w:tc>
      </w:tr>
    </w:tbl>
    <w:p>
      <w:pPr>
        <w:spacing w:after="0" w:line="240" w:lineRule="auto"/>
        <w:jc w:val="right"/>
        <w:rPr>
          <w:rFonts w:ascii="Arial Narrow" w:hAnsi="Arial Narrow" w:cs="Arial Narrow" w:eastAsia="Arial Narrow" w:hint="default"/>
          <w:sz w:val="24"/>
          <w:szCs w:val="24"/>
        </w:rPr>
        <w:sectPr>
          <w:pgSz w:w="11900" w:h="16850"/>
          <w:pgMar w:header="0" w:footer="919" w:top="1640" w:bottom="1100" w:left="1140" w:right="960"/>
        </w:sectPr>
      </w:pPr>
    </w:p>
    <w:p>
      <w:pPr>
        <w:pStyle w:val="BodyText"/>
        <w:spacing w:line="312" w:lineRule="exact" w:before="28"/>
        <w:ind w:left="132" w:right="11408"/>
        <w:jc w:val="left"/>
      </w:pPr>
      <w:r>
        <w:rPr/>
        <w:t>北京超图软件股份有限公司 财务报表附注</w:t>
      </w:r>
    </w:p>
    <w:p>
      <w:pPr>
        <w:pStyle w:val="BodyText"/>
        <w:spacing w:line="300" w:lineRule="exact"/>
        <w:ind w:left="132" w:right="0"/>
        <w:jc w:val="left"/>
      </w:pPr>
      <w:r>
        <w:rPr>
          <w:rFonts w:ascii="Arial Narrow" w:hAnsi="Arial Narrow" w:cs="Arial Narrow" w:eastAsia="Arial Narrow" w:hint="default"/>
        </w:rPr>
        <w:t>2011</w:t>
      </w:r>
      <w:r>
        <w:rPr>
          <w:rFonts w:ascii="Arial Narrow" w:hAnsi="Arial Narrow" w:cs="Arial Narrow" w:eastAsia="Arial Narrow" w:hint="default"/>
          <w:spacing w:val="5"/>
        </w:rPr>
        <w:t> </w:t>
      </w:r>
      <w:r>
        <w:rPr/>
        <w:t>年度（除特别注明外，金额单位为人民币元）</w:t>
      </w:r>
    </w:p>
    <w:p>
      <w:pPr>
        <w:spacing w:line="240" w:lineRule="auto" w:before="11"/>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42"/>
        <w:gridCol w:w="1040"/>
        <w:gridCol w:w="1077"/>
        <w:gridCol w:w="1372"/>
        <w:gridCol w:w="1319"/>
        <w:gridCol w:w="1222"/>
        <w:gridCol w:w="1421"/>
        <w:gridCol w:w="932"/>
        <w:gridCol w:w="1001"/>
        <w:gridCol w:w="1131"/>
        <w:gridCol w:w="1275"/>
        <w:gridCol w:w="1051"/>
        <w:gridCol w:w="946"/>
      </w:tblGrid>
      <w:tr>
        <w:trPr>
          <w:trHeight w:val="1666" w:hRule="exact"/>
        </w:trPr>
        <w:tc>
          <w:tcPr>
            <w:tcW w:w="442" w:type="dxa"/>
            <w:tcBorders>
              <w:top w:val="single" w:sz="6" w:space="0" w:color="000000"/>
              <w:left w:val="nil" w:sz="6" w:space="0" w:color="auto"/>
              <w:bottom w:val="nil" w:sz="6" w:space="0" w:color="auto"/>
              <w:right w:val="nil" w:sz="6" w:space="0" w:color="auto"/>
            </w:tcBorders>
          </w:tcPr>
          <w:p>
            <w:pPr/>
          </w:p>
        </w:tc>
        <w:tc>
          <w:tcPr>
            <w:tcW w:w="1040" w:type="dxa"/>
            <w:tcBorders>
              <w:top w:val="single" w:sz="13"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15" w:right="85"/>
              <w:jc w:val="both"/>
              <w:rPr>
                <w:rFonts w:ascii="宋体" w:hAnsi="宋体" w:cs="宋体" w:eastAsia="宋体" w:hint="default"/>
                <w:sz w:val="21"/>
                <w:szCs w:val="21"/>
              </w:rPr>
            </w:pPr>
            <w:r>
              <w:rPr>
                <w:rFonts w:ascii="宋体" w:hAnsi="宋体" w:cs="宋体" w:eastAsia="宋体" w:hint="default"/>
                <w:b/>
                <w:bCs/>
                <w:sz w:val="21"/>
                <w:szCs w:val="21"/>
              </w:rPr>
              <w:t>被 投</w:t>
            </w:r>
            <w:r>
              <w:rPr>
                <w:rFonts w:ascii="宋体" w:hAnsi="宋体" w:cs="宋体" w:eastAsia="宋体" w:hint="default"/>
                <w:b/>
                <w:bCs/>
                <w:spacing w:val="-8"/>
                <w:sz w:val="21"/>
                <w:szCs w:val="21"/>
              </w:rPr>
              <w:t> </w:t>
            </w:r>
            <w:r>
              <w:rPr>
                <w:rFonts w:ascii="宋体" w:hAnsi="宋体" w:cs="宋体" w:eastAsia="宋体" w:hint="default"/>
                <w:b/>
                <w:bCs/>
                <w:sz w:val="21"/>
                <w:szCs w:val="21"/>
              </w:rPr>
              <w:t>资</w:t>
            </w:r>
            <w:r>
              <w:rPr>
                <w:rFonts w:ascii="宋体" w:hAnsi="宋体" w:cs="宋体" w:eastAsia="宋体" w:hint="default"/>
                <w:b/>
                <w:bCs/>
                <w:w w:val="100"/>
                <w:sz w:val="21"/>
                <w:szCs w:val="21"/>
              </w:rPr>
              <w:t> </w:t>
            </w:r>
            <w:r>
              <w:rPr>
                <w:rFonts w:ascii="宋体" w:hAnsi="宋体" w:cs="宋体" w:eastAsia="宋体" w:hint="default"/>
                <w:b/>
                <w:bCs/>
                <w:sz w:val="21"/>
                <w:szCs w:val="21"/>
              </w:rPr>
              <w:t>单 位</w:t>
            </w:r>
            <w:r>
              <w:rPr>
                <w:rFonts w:ascii="宋体" w:hAnsi="宋体" w:cs="宋体" w:eastAsia="宋体" w:hint="default"/>
                <w:b/>
                <w:bCs/>
                <w:spacing w:val="-8"/>
                <w:sz w:val="21"/>
                <w:szCs w:val="21"/>
              </w:rPr>
              <w:t> </w:t>
            </w:r>
            <w:r>
              <w:rPr>
                <w:rFonts w:ascii="宋体" w:hAnsi="宋体" w:cs="宋体" w:eastAsia="宋体" w:hint="default"/>
                <w:b/>
                <w:bCs/>
                <w:sz w:val="21"/>
                <w:szCs w:val="21"/>
              </w:rPr>
              <w:t>名</w:t>
            </w:r>
            <w:r>
              <w:rPr>
                <w:rFonts w:ascii="宋体" w:hAnsi="宋体" w:cs="宋体" w:eastAsia="宋体" w:hint="default"/>
                <w:b/>
                <w:bCs/>
                <w:w w:val="100"/>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1077" w:type="dxa"/>
            <w:tcBorders>
              <w:top w:val="single" w:sz="13"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44"/>
              <w:jc w:val="right"/>
              <w:rPr>
                <w:rFonts w:ascii="宋体" w:hAnsi="宋体" w:cs="宋体" w:eastAsia="宋体" w:hint="default"/>
                <w:sz w:val="21"/>
                <w:szCs w:val="21"/>
              </w:rPr>
            </w:pPr>
            <w:r>
              <w:rPr>
                <w:rFonts w:ascii="宋体" w:hAnsi="宋体" w:cs="宋体" w:eastAsia="宋体" w:hint="default"/>
                <w:b/>
                <w:bCs/>
                <w:sz w:val="21"/>
                <w:szCs w:val="21"/>
              </w:rPr>
              <w:t>核算方法</w:t>
            </w:r>
            <w:r>
              <w:rPr>
                <w:rFonts w:ascii="宋体" w:hAnsi="宋体" w:cs="宋体" w:eastAsia="宋体" w:hint="default"/>
                <w:sz w:val="21"/>
                <w:szCs w:val="21"/>
              </w:rPr>
            </w:r>
          </w:p>
        </w:tc>
        <w:tc>
          <w:tcPr>
            <w:tcW w:w="1372" w:type="dxa"/>
            <w:tcBorders>
              <w:top w:val="single" w:sz="13"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52"/>
              <w:jc w:val="right"/>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319" w:type="dxa"/>
            <w:tcBorders>
              <w:top w:val="single" w:sz="13"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21"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222" w:type="dxa"/>
            <w:tcBorders>
              <w:top w:val="single" w:sz="13"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23" w:right="0"/>
              <w:jc w:val="left"/>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c>
          <w:tcPr>
            <w:tcW w:w="1421" w:type="dxa"/>
            <w:tcBorders>
              <w:top w:val="single" w:sz="13"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54"/>
              <w:jc w:val="righ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932" w:type="dxa"/>
            <w:tcBorders>
              <w:top w:val="single" w:sz="13"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56" w:right="139"/>
              <w:jc w:val="both"/>
              <w:rPr>
                <w:rFonts w:ascii="宋体" w:hAnsi="宋体" w:cs="宋体" w:eastAsia="宋体" w:hint="default"/>
                <w:sz w:val="21"/>
                <w:szCs w:val="21"/>
              </w:rPr>
            </w:pPr>
            <w:r>
              <w:rPr>
                <w:rFonts w:ascii="宋体" w:hAnsi="宋体" w:cs="宋体" w:eastAsia="宋体" w:hint="default"/>
                <w:b/>
                <w:bCs/>
                <w:sz w:val="21"/>
                <w:szCs w:val="21"/>
              </w:rPr>
              <w:t>在被投</w:t>
            </w:r>
            <w:r>
              <w:rPr>
                <w:rFonts w:ascii="宋体" w:hAnsi="宋体" w:cs="宋体" w:eastAsia="宋体" w:hint="default"/>
                <w:b/>
                <w:bCs/>
                <w:w w:val="100"/>
                <w:sz w:val="21"/>
                <w:szCs w:val="21"/>
              </w:rPr>
              <w:t> </w:t>
            </w:r>
            <w:r>
              <w:rPr>
                <w:rFonts w:ascii="宋体" w:hAnsi="宋体" w:cs="宋体" w:eastAsia="宋体" w:hint="default"/>
                <w:b/>
                <w:bCs/>
                <w:sz w:val="21"/>
                <w:szCs w:val="21"/>
              </w:rPr>
              <w:t>资单位</w:t>
            </w:r>
            <w:r>
              <w:rPr>
                <w:rFonts w:ascii="宋体" w:hAnsi="宋体" w:cs="宋体" w:eastAsia="宋体" w:hint="default"/>
                <w:b/>
                <w:bCs/>
                <w:w w:val="100"/>
                <w:sz w:val="21"/>
                <w:szCs w:val="21"/>
              </w:rPr>
              <w:t> </w:t>
            </w:r>
            <w:r>
              <w:rPr>
                <w:rFonts w:ascii="宋体" w:hAnsi="宋体" w:cs="宋体" w:eastAsia="宋体" w:hint="default"/>
                <w:b/>
                <w:bCs/>
                <w:sz w:val="21"/>
                <w:szCs w:val="21"/>
              </w:rPr>
              <w:t>持股比</w:t>
            </w:r>
            <w:r>
              <w:rPr>
                <w:rFonts w:ascii="宋体" w:hAnsi="宋体" w:cs="宋体" w:eastAsia="宋体" w:hint="default"/>
                <w:sz w:val="21"/>
                <w:szCs w:val="21"/>
              </w:rPr>
            </w:r>
          </w:p>
          <w:p>
            <w:pPr>
              <w:pStyle w:val="TableParagraph"/>
              <w:spacing w:line="286" w:lineRule="exact"/>
              <w:ind w:left="424" w:right="0"/>
              <w:jc w:val="left"/>
              <w:rPr>
                <w:rFonts w:ascii="Arial Narrow" w:hAnsi="Arial Narrow" w:cs="Arial Narrow" w:eastAsia="Arial Narrow" w:hint="default"/>
                <w:sz w:val="21"/>
                <w:szCs w:val="21"/>
              </w:rPr>
            </w:pPr>
            <w:r>
              <w:rPr>
                <w:rFonts w:ascii="宋体" w:hAnsi="宋体" w:cs="宋体" w:eastAsia="宋体"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001" w:type="dxa"/>
            <w:tcBorders>
              <w:top w:val="single" w:sz="13"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39" w:right="223"/>
              <w:jc w:val="both"/>
              <w:rPr>
                <w:rFonts w:ascii="Arial Narrow" w:hAnsi="Arial Narrow" w:cs="Arial Narrow" w:eastAsia="Arial Narrow" w:hint="default"/>
                <w:sz w:val="21"/>
                <w:szCs w:val="21"/>
              </w:rPr>
            </w:pPr>
            <w:r>
              <w:rPr>
                <w:rFonts w:ascii="宋体" w:hAnsi="宋体" w:cs="宋体" w:eastAsia="宋体" w:hint="default"/>
                <w:b/>
                <w:bCs/>
                <w:sz w:val="21"/>
                <w:szCs w:val="21"/>
              </w:rPr>
              <w:t>在被投</w:t>
            </w:r>
            <w:r>
              <w:rPr>
                <w:rFonts w:ascii="宋体" w:hAnsi="宋体" w:cs="宋体" w:eastAsia="宋体" w:hint="default"/>
                <w:b/>
                <w:bCs/>
                <w:w w:val="100"/>
                <w:sz w:val="21"/>
                <w:szCs w:val="21"/>
              </w:rPr>
              <w:t> </w:t>
            </w:r>
            <w:r>
              <w:rPr>
                <w:rFonts w:ascii="宋体" w:hAnsi="宋体" w:cs="宋体" w:eastAsia="宋体" w:hint="default"/>
                <w:b/>
                <w:bCs/>
                <w:sz w:val="21"/>
                <w:szCs w:val="21"/>
              </w:rPr>
              <w:t>资单位</w:t>
            </w:r>
            <w:r>
              <w:rPr>
                <w:rFonts w:ascii="宋体" w:hAnsi="宋体" w:cs="宋体" w:eastAsia="宋体" w:hint="default"/>
                <w:b/>
                <w:bCs/>
                <w:w w:val="100"/>
                <w:sz w:val="21"/>
                <w:szCs w:val="21"/>
              </w:rPr>
              <w:t> </w:t>
            </w:r>
            <w:r>
              <w:rPr>
                <w:rFonts w:ascii="宋体" w:hAnsi="宋体" w:cs="宋体" w:eastAsia="宋体" w:hint="default"/>
                <w:b/>
                <w:bCs/>
                <w:sz w:val="21"/>
                <w:szCs w:val="21"/>
              </w:rPr>
              <w:t>表决权</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131" w:type="dxa"/>
            <w:tcBorders>
              <w:top w:val="single" w:sz="13" w:space="0" w:color="000000"/>
              <w:left w:val="nil" w:sz="6" w:space="0" w:color="auto"/>
              <w:bottom w:val="single" w:sz="4" w:space="0" w:color="000000"/>
              <w:right w:val="nil" w:sz="6" w:space="0" w:color="auto"/>
            </w:tcBorders>
          </w:tcPr>
          <w:p>
            <w:pPr>
              <w:pStyle w:val="TableParagraph"/>
              <w:spacing w:line="250" w:lineRule="exact"/>
              <w:ind w:left="84" w:right="0"/>
              <w:jc w:val="both"/>
              <w:rPr>
                <w:rFonts w:ascii="宋体" w:hAnsi="宋体" w:cs="宋体" w:eastAsia="宋体" w:hint="default"/>
                <w:sz w:val="21"/>
                <w:szCs w:val="21"/>
              </w:rPr>
            </w:pPr>
            <w:r>
              <w:rPr>
                <w:rFonts w:ascii="宋体" w:hAnsi="宋体" w:cs="宋体" w:eastAsia="宋体" w:hint="default"/>
                <w:b/>
                <w:bCs/>
                <w:sz w:val="21"/>
                <w:szCs w:val="21"/>
              </w:rPr>
              <w:t>在</w:t>
            </w:r>
            <w:r>
              <w:rPr>
                <w:rFonts w:ascii="宋体" w:hAnsi="宋体" w:cs="宋体" w:eastAsia="宋体" w:hint="default"/>
                <w:b/>
                <w:bCs/>
                <w:spacing w:val="-56"/>
                <w:sz w:val="21"/>
                <w:szCs w:val="21"/>
              </w:rPr>
              <w:t> </w:t>
            </w:r>
            <w:r>
              <w:rPr>
                <w:rFonts w:ascii="宋体" w:hAnsi="宋体" w:cs="宋体" w:eastAsia="宋体" w:hint="default"/>
                <w:b/>
                <w:bCs/>
                <w:sz w:val="21"/>
                <w:szCs w:val="21"/>
              </w:rPr>
              <w:t>被</w:t>
            </w:r>
            <w:r>
              <w:rPr>
                <w:rFonts w:ascii="宋体" w:hAnsi="宋体" w:cs="宋体" w:eastAsia="宋体" w:hint="default"/>
                <w:b/>
                <w:bCs/>
                <w:spacing w:val="-59"/>
                <w:sz w:val="21"/>
                <w:szCs w:val="21"/>
              </w:rPr>
              <w:t> </w:t>
            </w:r>
            <w:r>
              <w:rPr>
                <w:rFonts w:ascii="宋体" w:hAnsi="宋体" w:cs="宋体" w:eastAsia="宋体" w:hint="default"/>
                <w:b/>
                <w:bCs/>
                <w:sz w:val="21"/>
                <w:szCs w:val="21"/>
              </w:rPr>
              <w:t>投</w:t>
            </w:r>
            <w:r>
              <w:rPr>
                <w:rFonts w:ascii="宋体" w:hAnsi="宋体" w:cs="宋体" w:eastAsia="宋体" w:hint="default"/>
                <w:b/>
                <w:bCs/>
                <w:spacing w:val="-56"/>
                <w:sz w:val="21"/>
                <w:szCs w:val="21"/>
              </w:rPr>
              <w:t> </w:t>
            </w:r>
            <w:r>
              <w:rPr>
                <w:rFonts w:ascii="宋体" w:hAnsi="宋体" w:cs="宋体" w:eastAsia="宋体" w:hint="default"/>
                <w:b/>
                <w:bCs/>
                <w:sz w:val="21"/>
                <w:szCs w:val="21"/>
              </w:rPr>
              <w:t>资</w:t>
            </w:r>
            <w:r>
              <w:rPr>
                <w:rFonts w:ascii="宋体" w:hAnsi="宋体" w:cs="宋体" w:eastAsia="宋体" w:hint="default"/>
                <w:sz w:val="21"/>
                <w:szCs w:val="21"/>
              </w:rPr>
            </w:r>
          </w:p>
          <w:p>
            <w:pPr>
              <w:pStyle w:val="TableParagraph"/>
              <w:spacing w:line="237" w:lineRule="auto" w:before="2"/>
              <w:ind w:left="84" w:right="51"/>
              <w:jc w:val="both"/>
              <w:rPr>
                <w:rFonts w:ascii="宋体" w:hAnsi="宋体" w:cs="宋体" w:eastAsia="宋体" w:hint="default"/>
                <w:sz w:val="21"/>
                <w:szCs w:val="21"/>
              </w:rPr>
            </w:pPr>
            <w:r>
              <w:rPr>
                <w:rFonts w:ascii="宋体" w:hAnsi="宋体" w:cs="宋体" w:eastAsia="宋体" w:hint="default"/>
                <w:b/>
                <w:bCs/>
                <w:sz w:val="21"/>
                <w:szCs w:val="21"/>
              </w:rPr>
              <w:t>单</w:t>
            </w:r>
            <w:r>
              <w:rPr>
                <w:rFonts w:ascii="宋体" w:hAnsi="宋体" w:cs="宋体" w:eastAsia="宋体" w:hint="default"/>
                <w:b/>
                <w:bCs/>
                <w:spacing w:val="-56"/>
                <w:sz w:val="21"/>
                <w:szCs w:val="21"/>
              </w:rPr>
              <w:t> </w:t>
            </w:r>
            <w:r>
              <w:rPr>
                <w:rFonts w:ascii="宋体" w:hAnsi="宋体" w:cs="宋体" w:eastAsia="宋体" w:hint="default"/>
                <w:b/>
                <w:bCs/>
                <w:sz w:val="21"/>
                <w:szCs w:val="21"/>
              </w:rPr>
              <w:t>位</w:t>
            </w:r>
            <w:r>
              <w:rPr>
                <w:rFonts w:ascii="宋体" w:hAnsi="宋体" w:cs="宋体" w:eastAsia="宋体" w:hint="default"/>
                <w:b/>
                <w:bCs/>
                <w:spacing w:val="-59"/>
                <w:sz w:val="21"/>
                <w:szCs w:val="21"/>
              </w:rPr>
              <w:t> </w:t>
            </w:r>
            <w:r>
              <w:rPr>
                <w:rFonts w:ascii="宋体" w:hAnsi="宋体" w:cs="宋体" w:eastAsia="宋体" w:hint="default"/>
                <w:b/>
                <w:bCs/>
                <w:sz w:val="21"/>
                <w:szCs w:val="21"/>
              </w:rPr>
              <w:t>持</w:t>
            </w:r>
            <w:r>
              <w:rPr>
                <w:rFonts w:ascii="宋体" w:hAnsi="宋体" w:cs="宋体" w:eastAsia="宋体" w:hint="default"/>
                <w:b/>
                <w:bCs/>
                <w:spacing w:val="-56"/>
                <w:sz w:val="21"/>
                <w:szCs w:val="21"/>
              </w:rPr>
              <w:t> </w:t>
            </w:r>
            <w:r>
              <w:rPr>
                <w:rFonts w:ascii="宋体" w:hAnsi="宋体" w:cs="宋体" w:eastAsia="宋体" w:hint="default"/>
                <w:b/>
                <w:bCs/>
                <w:sz w:val="21"/>
                <w:szCs w:val="21"/>
              </w:rPr>
              <w:t>股</w:t>
            </w:r>
            <w:r>
              <w:rPr>
                <w:rFonts w:ascii="宋体" w:hAnsi="宋体" w:cs="宋体" w:eastAsia="宋体" w:hint="default"/>
                <w:b/>
                <w:bCs/>
                <w:w w:val="100"/>
                <w:sz w:val="21"/>
                <w:szCs w:val="21"/>
              </w:rPr>
              <w:t> </w:t>
            </w:r>
            <w:r>
              <w:rPr>
                <w:rFonts w:ascii="宋体" w:hAnsi="宋体" w:cs="宋体" w:eastAsia="宋体" w:hint="default"/>
                <w:b/>
                <w:bCs/>
                <w:sz w:val="21"/>
                <w:szCs w:val="21"/>
              </w:rPr>
              <w:t>比</w:t>
            </w:r>
            <w:r>
              <w:rPr>
                <w:rFonts w:ascii="宋体" w:hAnsi="宋体" w:cs="宋体" w:eastAsia="宋体" w:hint="default"/>
                <w:b/>
                <w:bCs/>
                <w:spacing w:val="-56"/>
                <w:sz w:val="21"/>
                <w:szCs w:val="21"/>
              </w:rPr>
              <w:t> </w:t>
            </w:r>
            <w:r>
              <w:rPr>
                <w:rFonts w:ascii="宋体" w:hAnsi="宋体" w:cs="宋体" w:eastAsia="宋体" w:hint="default"/>
                <w:b/>
                <w:bCs/>
                <w:sz w:val="21"/>
                <w:szCs w:val="21"/>
              </w:rPr>
              <w:t>例</w:t>
            </w:r>
            <w:r>
              <w:rPr>
                <w:rFonts w:ascii="宋体" w:hAnsi="宋体" w:cs="宋体" w:eastAsia="宋体" w:hint="default"/>
                <w:b/>
                <w:bCs/>
                <w:spacing w:val="-59"/>
                <w:sz w:val="21"/>
                <w:szCs w:val="21"/>
              </w:rPr>
              <w:t> </w:t>
            </w:r>
            <w:r>
              <w:rPr>
                <w:rFonts w:ascii="宋体" w:hAnsi="宋体" w:cs="宋体" w:eastAsia="宋体" w:hint="default"/>
                <w:b/>
                <w:bCs/>
                <w:sz w:val="21"/>
                <w:szCs w:val="21"/>
              </w:rPr>
              <w:t>与</w:t>
            </w:r>
            <w:r>
              <w:rPr>
                <w:rFonts w:ascii="宋体" w:hAnsi="宋体" w:cs="宋体" w:eastAsia="宋体" w:hint="default"/>
                <w:b/>
                <w:bCs/>
                <w:spacing w:val="-56"/>
                <w:sz w:val="21"/>
                <w:szCs w:val="21"/>
              </w:rPr>
              <w:t> </w:t>
            </w:r>
            <w:r>
              <w:rPr>
                <w:rFonts w:ascii="宋体" w:hAnsi="宋体" w:cs="宋体" w:eastAsia="宋体" w:hint="default"/>
                <w:b/>
                <w:bCs/>
                <w:sz w:val="21"/>
                <w:szCs w:val="21"/>
              </w:rPr>
              <w:t>表</w:t>
            </w:r>
            <w:r>
              <w:rPr>
                <w:rFonts w:ascii="宋体" w:hAnsi="宋体" w:cs="宋体" w:eastAsia="宋体" w:hint="default"/>
                <w:b/>
                <w:bCs/>
                <w:w w:val="100"/>
                <w:sz w:val="21"/>
                <w:szCs w:val="21"/>
              </w:rPr>
              <w:t> </w:t>
            </w:r>
            <w:r>
              <w:rPr>
                <w:rFonts w:ascii="宋体" w:hAnsi="宋体" w:cs="宋体" w:eastAsia="宋体" w:hint="default"/>
                <w:b/>
                <w:bCs/>
                <w:sz w:val="21"/>
                <w:szCs w:val="21"/>
              </w:rPr>
              <w:t>决</w:t>
            </w:r>
            <w:r>
              <w:rPr>
                <w:rFonts w:ascii="宋体" w:hAnsi="宋体" w:cs="宋体" w:eastAsia="宋体" w:hint="default"/>
                <w:b/>
                <w:bCs/>
                <w:spacing w:val="-56"/>
                <w:sz w:val="21"/>
                <w:szCs w:val="21"/>
              </w:rPr>
              <w:t> </w:t>
            </w:r>
            <w:r>
              <w:rPr>
                <w:rFonts w:ascii="宋体" w:hAnsi="宋体" w:cs="宋体" w:eastAsia="宋体" w:hint="default"/>
                <w:b/>
                <w:bCs/>
                <w:sz w:val="21"/>
                <w:szCs w:val="21"/>
              </w:rPr>
              <w:t>权</w:t>
            </w:r>
            <w:r>
              <w:rPr>
                <w:rFonts w:ascii="宋体" w:hAnsi="宋体" w:cs="宋体" w:eastAsia="宋体" w:hint="default"/>
                <w:b/>
                <w:bCs/>
                <w:spacing w:val="-59"/>
                <w:sz w:val="21"/>
                <w:szCs w:val="21"/>
              </w:rPr>
              <w:t> </w:t>
            </w:r>
            <w:r>
              <w:rPr>
                <w:rFonts w:ascii="宋体" w:hAnsi="宋体" w:cs="宋体" w:eastAsia="宋体" w:hint="default"/>
                <w:b/>
                <w:bCs/>
                <w:sz w:val="21"/>
                <w:szCs w:val="21"/>
              </w:rPr>
              <w:t>比</w:t>
            </w:r>
            <w:r>
              <w:rPr>
                <w:rFonts w:ascii="宋体" w:hAnsi="宋体" w:cs="宋体" w:eastAsia="宋体" w:hint="default"/>
                <w:b/>
                <w:bCs/>
                <w:spacing w:val="-56"/>
                <w:sz w:val="21"/>
                <w:szCs w:val="21"/>
              </w:rPr>
              <w:t> </w:t>
            </w:r>
            <w:r>
              <w:rPr>
                <w:rFonts w:ascii="宋体" w:hAnsi="宋体" w:cs="宋体" w:eastAsia="宋体" w:hint="default"/>
                <w:b/>
                <w:bCs/>
                <w:sz w:val="21"/>
                <w:szCs w:val="21"/>
              </w:rPr>
              <w:t>例</w:t>
            </w:r>
            <w:r>
              <w:rPr>
                <w:rFonts w:ascii="宋体" w:hAnsi="宋体" w:cs="宋体" w:eastAsia="宋体" w:hint="default"/>
                <w:b/>
                <w:bCs/>
                <w:w w:val="100"/>
                <w:sz w:val="21"/>
                <w:szCs w:val="21"/>
              </w:rPr>
              <w:t> </w:t>
            </w:r>
            <w:r>
              <w:rPr>
                <w:rFonts w:ascii="宋体" w:hAnsi="宋体" w:cs="宋体" w:eastAsia="宋体" w:hint="default"/>
                <w:b/>
                <w:bCs/>
                <w:sz w:val="21"/>
                <w:szCs w:val="21"/>
              </w:rPr>
              <w:t>不</w:t>
            </w:r>
            <w:r>
              <w:rPr>
                <w:rFonts w:ascii="宋体" w:hAnsi="宋体" w:cs="宋体" w:eastAsia="宋体" w:hint="default"/>
                <w:b/>
                <w:bCs/>
                <w:spacing w:val="-56"/>
                <w:sz w:val="21"/>
                <w:szCs w:val="21"/>
              </w:rPr>
              <w:t> </w:t>
            </w:r>
            <w:r>
              <w:rPr>
                <w:rFonts w:ascii="宋体" w:hAnsi="宋体" w:cs="宋体" w:eastAsia="宋体" w:hint="default"/>
                <w:b/>
                <w:bCs/>
                <w:sz w:val="21"/>
                <w:szCs w:val="21"/>
              </w:rPr>
              <w:t>一</w:t>
            </w:r>
            <w:r>
              <w:rPr>
                <w:rFonts w:ascii="宋体" w:hAnsi="宋体" w:cs="宋体" w:eastAsia="宋体" w:hint="default"/>
                <w:b/>
                <w:bCs/>
                <w:spacing w:val="-59"/>
                <w:sz w:val="21"/>
                <w:szCs w:val="21"/>
              </w:rPr>
              <w:t> </w:t>
            </w:r>
            <w:r>
              <w:rPr>
                <w:rFonts w:ascii="宋体" w:hAnsi="宋体" w:cs="宋体" w:eastAsia="宋体" w:hint="default"/>
                <w:b/>
                <w:bCs/>
                <w:sz w:val="21"/>
                <w:szCs w:val="21"/>
              </w:rPr>
              <w:t>致</w:t>
            </w:r>
            <w:r>
              <w:rPr>
                <w:rFonts w:ascii="宋体" w:hAnsi="宋体" w:cs="宋体" w:eastAsia="宋体" w:hint="default"/>
                <w:b/>
                <w:bCs/>
                <w:spacing w:val="-56"/>
                <w:sz w:val="21"/>
                <w:szCs w:val="21"/>
              </w:rPr>
              <w:t> </w:t>
            </w:r>
            <w:r>
              <w:rPr>
                <w:rFonts w:ascii="宋体" w:hAnsi="宋体" w:cs="宋体" w:eastAsia="宋体" w:hint="default"/>
                <w:b/>
                <w:bCs/>
                <w:sz w:val="21"/>
                <w:szCs w:val="21"/>
              </w:rPr>
              <w:t>的</w:t>
            </w:r>
            <w:r>
              <w:rPr>
                <w:rFonts w:ascii="宋体" w:hAnsi="宋体" w:cs="宋体" w:eastAsia="宋体" w:hint="default"/>
                <w:b/>
                <w:bCs/>
                <w:w w:val="100"/>
                <w:sz w:val="21"/>
                <w:szCs w:val="21"/>
              </w:rPr>
              <w:t> </w:t>
            </w:r>
            <w:r>
              <w:rPr>
                <w:rFonts w:ascii="宋体" w:hAnsi="宋体" w:cs="宋体" w:eastAsia="宋体" w:hint="default"/>
                <w:b/>
                <w:bCs/>
                <w:sz w:val="21"/>
                <w:szCs w:val="21"/>
              </w:rPr>
              <w:t>说明</w:t>
            </w:r>
            <w:r>
              <w:rPr>
                <w:rFonts w:ascii="宋体" w:hAnsi="宋体" w:cs="宋体" w:eastAsia="宋体" w:hint="default"/>
                <w:sz w:val="21"/>
                <w:szCs w:val="21"/>
              </w:rPr>
            </w:r>
          </w:p>
        </w:tc>
        <w:tc>
          <w:tcPr>
            <w:tcW w:w="1275" w:type="dxa"/>
            <w:tcBorders>
              <w:top w:val="single" w:sz="13"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03"/>
              <w:jc w:val="righ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051" w:type="dxa"/>
            <w:tcBorders>
              <w:top w:val="single" w:sz="13"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5" w:right="100"/>
              <w:jc w:val="left"/>
              <w:rPr>
                <w:rFonts w:ascii="宋体" w:hAnsi="宋体" w:cs="宋体" w:eastAsia="宋体" w:hint="default"/>
                <w:sz w:val="21"/>
                <w:szCs w:val="21"/>
              </w:rPr>
            </w:pPr>
            <w:r>
              <w:rPr>
                <w:rFonts w:ascii="宋体" w:hAnsi="宋体" w:cs="宋体" w:eastAsia="宋体" w:hint="default"/>
                <w:b/>
                <w:bCs/>
                <w:sz w:val="21"/>
                <w:szCs w:val="21"/>
              </w:rPr>
              <w:t>本期计提</w:t>
            </w:r>
            <w:r>
              <w:rPr>
                <w:rFonts w:ascii="宋体" w:hAnsi="宋体" w:cs="宋体" w:eastAsia="宋体" w:hint="default"/>
                <w:b/>
                <w:bCs/>
                <w:w w:val="100"/>
                <w:sz w:val="21"/>
                <w:szCs w:val="21"/>
              </w:rPr>
              <w:t> </w:t>
            </w:r>
            <w:r>
              <w:rPr>
                <w:rFonts w:ascii="宋体" w:hAnsi="宋体" w:cs="宋体" w:eastAsia="宋体" w:hint="default"/>
                <w:b/>
                <w:bCs/>
                <w:sz w:val="21"/>
                <w:szCs w:val="21"/>
              </w:rPr>
              <w:t>减值准备</w:t>
            </w:r>
            <w:r>
              <w:rPr>
                <w:rFonts w:ascii="宋体" w:hAnsi="宋体" w:cs="宋体" w:eastAsia="宋体" w:hint="default"/>
                <w:sz w:val="21"/>
                <w:szCs w:val="21"/>
              </w:rPr>
            </w:r>
          </w:p>
        </w:tc>
        <w:tc>
          <w:tcPr>
            <w:tcW w:w="946" w:type="dxa"/>
            <w:tcBorders>
              <w:top w:val="single" w:sz="13"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本期现金</w:t>
            </w:r>
            <w:r>
              <w:rPr>
                <w:rFonts w:ascii="宋体" w:hAnsi="宋体" w:cs="宋体" w:eastAsia="宋体" w:hint="default"/>
                <w:sz w:val="21"/>
                <w:szCs w:val="21"/>
              </w:rPr>
            </w:r>
          </w:p>
          <w:p>
            <w:pPr>
              <w:pStyle w:val="TableParagraph"/>
              <w:spacing w:line="274"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红利</w:t>
            </w:r>
            <w:r>
              <w:rPr>
                <w:rFonts w:ascii="宋体" w:hAnsi="宋体" w:cs="宋体" w:eastAsia="宋体" w:hint="default"/>
                <w:sz w:val="21"/>
                <w:szCs w:val="21"/>
              </w:rPr>
            </w:r>
          </w:p>
        </w:tc>
      </w:tr>
      <w:tr>
        <w:trPr>
          <w:trHeight w:val="822" w:hRule="exact"/>
        </w:trPr>
        <w:tc>
          <w:tcPr>
            <w:tcW w:w="442" w:type="dxa"/>
            <w:tcBorders>
              <w:top w:val="nil" w:sz="6" w:space="0" w:color="auto"/>
              <w:left w:val="nil" w:sz="6" w:space="0" w:color="auto"/>
              <w:bottom w:val="nil" w:sz="6" w:space="0" w:color="auto"/>
              <w:right w:val="nil" w:sz="6" w:space="0" w:color="auto"/>
            </w:tcBorders>
          </w:tcPr>
          <w:p>
            <w:pPr/>
          </w:p>
        </w:tc>
        <w:tc>
          <w:tcPr>
            <w:tcW w:w="1040" w:type="dxa"/>
            <w:tcBorders>
              <w:top w:val="single" w:sz="4" w:space="0" w:color="000000"/>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① 对</w:t>
            </w:r>
            <w:r>
              <w:rPr>
                <w:rFonts w:ascii="宋体" w:hAnsi="宋体" w:cs="宋体" w:eastAsia="宋体" w:hint="default"/>
                <w:spacing w:val="-4"/>
                <w:sz w:val="21"/>
                <w:szCs w:val="21"/>
              </w:rPr>
              <w:t> </w:t>
            </w:r>
            <w:r>
              <w:rPr>
                <w:rFonts w:ascii="宋体" w:hAnsi="宋体" w:cs="宋体" w:eastAsia="宋体" w:hint="default"/>
                <w:sz w:val="21"/>
                <w:szCs w:val="21"/>
              </w:rPr>
              <w:t>子</w:t>
            </w:r>
          </w:p>
          <w:p>
            <w:pPr>
              <w:pStyle w:val="TableParagraph"/>
              <w:spacing w:line="272" w:lineRule="exact" w:before="27"/>
              <w:ind w:left="115" w:right="85"/>
              <w:jc w:val="left"/>
              <w:rPr>
                <w:rFonts w:ascii="宋体" w:hAnsi="宋体" w:cs="宋体" w:eastAsia="宋体" w:hint="default"/>
                <w:sz w:val="21"/>
                <w:szCs w:val="21"/>
              </w:rPr>
            </w:pPr>
            <w:r>
              <w:rPr>
                <w:rFonts w:ascii="宋体" w:hAnsi="宋体" w:cs="宋体" w:eastAsia="宋体" w:hint="default"/>
                <w:sz w:val="21"/>
                <w:szCs w:val="21"/>
              </w:rPr>
              <w:t>公 司</w:t>
            </w:r>
            <w:r>
              <w:rPr>
                <w:rFonts w:ascii="宋体" w:hAnsi="宋体" w:cs="宋体" w:eastAsia="宋体" w:hint="default"/>
                <w:spacing w:val="-4"/>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077"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100"/>
                <w:sz w:val="21"/>
              </w:rPr>
              <w:t>-</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2"/>
              <w:jc w:val="right"/>
              <w:rPr>
                <w:rFonts w:ascii="Arial Narrow" w:hAnsi="Arial Narrow" w:cs="Arial Narrow" w:eastAsia="Arial Narrow" w:hint="default"/>
                <w:sz w:val="21"/>
                <w:szCs w:val="21"/>
              </w:rPr>
            </w:pPr>
            <w:r>
              <w:rPr>
                <w:rFonts w:ascii="Arial Narrow"/>
                <w:w w:val="100"/>
                <w:sz w:val="21"/>
              </w:rPr>
              <w:t>-</w:t>
            </w:r>
          </w:p>
        </w:tc>
        <w:tc>
          <w:tcPr>
            <w:tcW w:w="1319"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1"/>
              <w:jc w:val="right"/>
              <w:rPr>
                <w:rFonts w:ascii="Arial Narrow" w:hAnsi="Arial Narrow" w:cs="Arial Narrow" w:eastAsia="Arial Narrow" w:hint="default"/>
                <w:sz w:val="21"/>
                <w:szCs w:val="21"/>
              </w:rPr>
            </w:pPr>
            <w:r>
              <w:rPr>
                <w:rFonts w:ascii="Arial Narrow"/>
                <w:w w:val="100"/>
                <w:sz w:val="21"/>
              </w:rPr>
              <w:t>-</w:t>
            </w:r>
          </w:p>
        </w:tc>
        <w:tc>
          <w:tcPr>
            <w:tcW w:w="122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1"/>
              <w:jc w:val="right"/>
              <w:rPr>
                <w:rFonts w:ascii="Arial Narrow" w:hAnsi="Arial Narrow" w:cs="Arial Narrow" w:eastAsia="Arial Narrow" w:hint="default"/>
                <w:sz w:val="21"/>
                <w:szCs w:val="21"/>
              </w:rPr>
            </w:pPr>
            <w:r>
              <w:rPr>
                <w:rFonts w:ascii="Arial Narrow"/>
                <w:w w:val="100"/>
                <w:sz w:val="21"/>
              </w:rPr>
              <w:t>-</w:t>
            </w: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4"/>
              <w:jc w:val="right"/>
              <w:rPr>
                <w:rFonts w:ascii="Arial Narrow" w:hAnsi="Arial Narrow" w:cs="Arial Narrow" w:eastAsia="Arial Narrow" w:hint="default"/>
                <w:sz w:val="21"/>
                <w:szCs w:val="21"/>
              </w:rPr>
            </w:pPr>
            <w:r>
              <w:rPr>
                <w:rFonts w:ascii="Arial Narrow"/>
                <w:w w:val="100"/>
                <w:sz w:val="21"/>
              </w:rPr>
              <w:t>-</w:t>
            </w:r>
          </w:p>
        </w:tc>
        <w:tc>
          <w:tcPr>
            <w:tcW w:w="93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9"/>
              <w:jc w:val="right"/>
              <w:rPr>
                <w:rFonts w:ascii="Arial Narrow" w:hAnsi="Arial Narrow" w:cs="Arial Narrow" w:eastAsia="Arial Narrow" w:hint="default"/>
                <w:sz w:val="21"/>
                <w:szCs w:val="21"/>
              </w:rPr>
            </w:pPr>
            <w:r>
              <w:rPr>
                <w:rFonts w:ascii="Arial Narrow"/>
                <w:w w:val="100"/>
                <w:sz w:val="21"/>
              </w:rPr>
              <w:t>-</w:t>
            </w: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4"/>
              <w:jc w:val="right"/>
              <w:rPr>
                <w:rFonts w:ascii="Arial Narrow" w:hAnsi="Arial Narrow" w:cs="Arial Narrow" w:eastAsia="Arial Narrow" w:hint="default"/>
                <w:sz w:val="21"/>
                <w:szCs w:val="21"/>
              </w:rPr>
            </w:pPr>
            <w:r>
              <w:rPr>
                <w:rFonts w:ascii="Arial Narrow"/>
                <w:w w:val="100"/>
                <w:sz w:val="21"/>
              </w:rPr>
              <w:t>-</w:t>
            </w:r>
          </w:p>
        </w:tc>
        <w:tc>
          <w:tcPr>
            <w:tcW w:w="113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0"/>
              <w:jc w:val="right"/>
              <w:rPr>
                <w:rFonts w:ascii="Arial Narrow" w:hAnsi="Arial Narrow" w:cs="Arial Narrow" w:eastAsia="Arial Narrow" w:hint="default"/>
                <w:sz w:val="21"/>
                <w:szCs w:val="21"/>
              </w:rPr>
            </w:pPr>
            <w:r>
              <w:rPr>
                <w:rFonts w:ascii="Arial Narrow"/>
                <w:w w:val="100"/>
                <w:sz w:val="21"/>
              </w:rPr>
              <w:t>-</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3"/>
              <w:jc w:val="right"/>
              <w:rPr>
                <w:rFonts w:ascii="Arial Narrow" w:hAnsi="Arial Narrow" w:cs="Arial Narrow" w:eastAsia="Arial Narrow" w:hint="default"/>
                <w:sz w:val="21"/>
                <w:szCs w:val="21"/>
              </w:rPr>
            </w:pPr>
            <w:r>
              <w:rPr>
                <w:rFonts w:ascii="Arial Narrow"/>
                <w:w w:val="100"/>
                <w:sz w:val="21"/>
              </w:rPr>
              <w:t>-</w:t>
            </w:r>
          </w:p>
        </w:tc>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9"/>
              <w:jc w:val="right"/>
              <w:rPr>
                <w:rFonts w:ascii="Arial Narrow" w:hAnsi="Arial Narrow" w:cs="Arial Narrow" w:eastAsia="Arial Narrow" w:hint="default"/>
                <w:sz w:val="21"/>
                <w:szCs w:val="21"/>
              </w:rPr>
            </w:pPr>
            <w:r>
              <w:rPr>
                <w:rFonts w:ascii="Arial Narrow"/>
                <w:w w:val="100"/>
                <w:sz w:val="21"/>
              </w:rPr>
              <w:t>-</w:t>
            </w:r>
          </w:p>
        </w:tc>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r>
      <w:tr>
        <w:trPr>
          <w:trHeight w:val="817" w:hRule="exact"/>
        </w:trPr>
        <w:tc>
          <w:tcPr>
            <w:tcW w:w="442"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exact"/>
              <w:ind w:left="7"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r>
              <w:rPr>
                <w:rFonts w:ascii="宋体" w:hAnsi="宋体" w:cs="宋体" w:eastAsia="宋体" w:hint="default"/>
                <w:spacing w:val="-71"/>
                <w:sz w:val="21"/>
                <w:szCs w:val="21"/>
              </w:rPr>
              <w:t> </w:t>
            </w:r>
            <w:r>
              <w:rPr>
                <w:rFonts w:ascii="宋体" w:hAnsi="宋体" w:cs="宋体" w:eastAsia="宋体" w:hint="default"/>
                <w:sz w:val="21"/>
                <w:szCs w:val="21"/>
              </w:rPr>
              <w:t>超</w:t>
            </w:r>
            <w:r>
              <w:rPr>
                <w:rFonts w:ascii="宋体" w:hAnsi="宋体" w:cs="宋体" w:eastAsia="宋体" w:hint="default"/>
                <w:spacing w:val="-69"/>
                <w:sz w:val="21"/>
                <w:szCs w:val="21"/>
              </w:rPr>
              <w:t> </w:t>
            </w:r>
            <w:r>
              <w:rPr>
                <w:rFonts w:ascii="宋体" w:hAnsi="宋体" w:cs="宋体" w:eastAsia="宋体" w:hint="default"/>
                <w:sz w:val="21"/>
                <w:szCs w:val="21"/>
              </w:rPr>
              <w:t>图</w:t>
            </w:r>
          </w:p>
          <w:p>
            <w:pPr>
              <w:pStyle w:val="TableParagraph"/>
              <w:spacing w:line="240" w:lineRule="auto"/>
              <w:ind w:left="7" w:right="83"/>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71"/>
                <w:sz w:val="21"/>
                <w:szCs w:val="21"/>
              </w:rPr>
              <w:t> </w:t>
            </w:r>
            <w:r>
              <w:rPr>
                <w:rFonts w:ascii="宋体" w:hAnsi="宋体" w:cs="宋体" w:eastAsia="宋体" w:hint="default"/>
                <w:sz w:val="21"/>
                <w:szCs w:val="21"/>
              </w:rPr>
              <w:t>息</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69"/>
                <w:sz w:val="21"/>
                <w:szCs w:val="21"/>
              </w:rPr>
              <w:t> </w:t>
            </w:r>
            <w:r>
              <w:rPr>
                <w:rFonts w:ascii="宋体" w:hAnsi="宋体" w:cs="宋体" w:eastAsia="宋体" w:hint="default"/>
                <w:sz w:val="21"/>
                <w:szCs w:val="21"/>
              </w:rPr>
              <w:t>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成本法</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1" w:right="0"/>
              <w:jc w:val="left"/>
              <w:rPr>
                <w:rFonts w:ascii="Arial Narrow" w:hAnsi="Arial Narrow" w:cs="Arial Narrow" w:eastAsia="Arial Narrow" w:hint="default"/>
                <w:sz w:val="21"/>
                <w:szCs w:val="21"/>
              </w:rPr>
            </w:pPr>
            <w:r>
              <w:rPr>
                <w:rFonts w:ascii="Arial Narrow"/>
                <w:sz w:val="21"/>
              </w:rPr>
              <w:t>5,000,000.00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50" w:right="0"/>
              <w:jc w:val="left"/>
              <w:rPr>
                <w:rFonts w:ascii="Arial Narrow" w:hAnsi="Arial Narrow" w:cs="Arial Narrow" w:eastAsia="Arial Narrow" w:hint="default"/>
                <w:sz w:val="21"/>
                <w:szCs w:val="21"/>
              </w:rPr>
            </w:pPr>
            <w:r>
              <w:rPr>
                <w:rFonts w:ascii="Arial Narrow"/>
                <w:sz w:val="21"/>
              </w:rPr>
              <w:t>5,000,000.00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1"/>
              <w:jc w:val="right"/>
              <w:rPr>
                <w:rFonts w:ascii="Arial Narrow" w:hAnsi="Arial Narrow" w:cs="Arial Narrow" w:eastAsia="Arial Narrow" w:hint="default"/>
                <w:sz w:val="21"/>
                <w:szCs w:val="21"/>
              </w:rPr>
            </w:pPr>
            <w:r>
              <w:rPr>
                <w:rFonts w:ascii="Arial Narrow"/>
                <w:w w:val="100"/>
                <w:sz w:val="21"/>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8" w:right="0"/>
              <w:jc w:val="left"/>
              <w:rPr>
                <w:rFonts w:ascii="Arial Narrow" w:hAnsi="Arial Narrow" w:cs="Arial Narrow" w:eastAsia="Arial Narrow" w:hint="default"/>
                <w:sz w:val="21"/>
                <w:szCs w:val="21"/>
              </w:rPr>
            </w:pPr>
            <w:r>
              <w:rPr>
                <w:rFonts w:ascii="Arial Narrow"/>
                <w:sz w:val="21"/>
              </w:rPr>
              <w:t>5,000,000.00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37"/>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2"/>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0"/>
              <w:jc w:val="right"/>
              <w:rPr>
                <w:rFonts w:ascii="Arial Narrow" w:hAnsi="Arial Narrow" w:cs="Arial Narrow" w:eastAsia="Arial Narrow" w:hint="default"/>
                <w:sz w:val="21"/>
                <w:szCs w:val="21"/>
              </w:rPr>
            </w:pPr>
            <w:r>
              <w:rPr>
                <w:rFonts w:ascii="Arial Narrow"/>
                <w:w w:val="100"/>
                <w:sz w:val="21"/>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3" w:right="0"/>
              <w:jc w:val="left"/>
              <w:rPr>
                <w:rFonts w:ascii="Arial Narrow" w:hAnsi="Arial Narrow" w:cs="Arial Narrow" w:eastAsia="Arial Narrow" w:hint="default"/>
                <w:sz w:val="21"/>
                <w:szCs w:val="21"/>
              </w:rPr>
            </w:pPr>
            <w:r>
              <w:rPr>
                <w:rFonts w:ascii="Arial Narrow"/>
                <w:sz w:val="21"/>
              </w:rPr>
              <w:t>1,000,000.00</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9"/>
              <w:jc w:val="right"/>
              <w:rPr>
                <w:rFonts w:ascii="Arial Narrow" w:hAnsi="Arial Narrow" w:cs="Arial Narrow" w:eastAsia="Arial Narrow" w:hint="default"/>
                <w:sz w:val="21"/>
                <w:szCs w:val="21"/>
              </w:rPr>
            </w:pPr>
            <w:r>
              <w:rPr>
                <w:rFonts w:ascii="Arial Narrow"/>
                <w:w w:val="100"/>
                <w:sz w:val="21"/>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r>
      <w:tr>
        <w:trPr>
          <w:trHeight w:val="545" w:hRule="exact"/>
        </w:trPr>
        <w:tc>
          <w:tcPr>
            <w:tcW w:w="442"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exact"/>
              <w:ind w:left="7" w:right="0"/>
              <w:jc w:val="left"/>
              <w:rPr>
                <w:rFonts w:ascii="宋体" w:hAnsi="宋体" w:cs="宋体" w:eastAsia="宋体" w:hint="default"/>
                <w:sz w:val="21"/>
                <w:szCs w:val="21"/>
              </w:rPr>
            </w:pPr>
            <w:r>
              <w:rPr>
                <w:rFonts w:ascii="宋体" w:hAnsi="宋体" w:cs="宋体" w:eastAsia="宋体" w:hint="default"/>
                <w:sz w:val="21"/>
                <w:szCs w:val="21"/>
              </w:rPr>
              <w:t>超</w:t>
            </w:r>
            <w:r>
              <w:rPr>
                <w:rFonts w:ascii="宋体" w:hAnsi="宋体" w:cs="宋体" w:eastAsia="宋体" w:hint="default"/>
                <w:spacing w:val="-71"/>
                <w:sz w:val="21"/>
                <w:szCs w:val="21"/>
              </w:rPr>
              <w:t> </w:t>
            </w:r>
            <w:r>
              <w:rPr>
                <w:rFonts w:ascii="宋体" w:hAnsi="宋体" w:cs="宋体" w:eastAsia="宋体" w:hint="default"/>
                <w:sz w:val="21"/>
                <w:szCs w:val="21"/>
              </w:rPr>
              <w:t>图</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际</w:t>
            </w:r>
          </w:p>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成本法</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01" w:right="0"/>
              <w:jc w:val="left"/>
              <w:rPr>
                <w:rFonts w:ascii="Arial Narrow" w:hAnsi="Arial Narrow" w:cs="Arial Narrow" w:eastAsia="Arial Narrow" w:hint="default"/>
                <w:sz w:val="21"/>
                <w:szCs w:val="21"/>
              </w:rPr>
            </w:pPr>
            <w:r>
              <w:rPr>
                <w:rFonts w:ascii="Arial Narrow"/>
                <w:sz w:val="21"/>
              </w:rPr>
              <w:t>4,303,090.00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50" w:right="0"/>
              <w:jc w:val="left"/>
              <w:rPr>
                <w:rFonts w:ascii="Arial Narrow" w:hAnsi="Arial Narrow" w:cs="Arial Narrow" w:eastAsia="Arial Narrow" w:hint="default"/>
                <w:sz w:val="21"/>
                <w:szCs w:val="21"/>
              </w:rPr>
            </w:pPr>
            <w:r>
              <w:rPr>
                <w:rFonts w:ascii="Arial Narrow"/>
                <w:sz w:val="21"/>
              </w:rPr>
              <w:t>4,303,090.00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1"/>
              <w:jc w:val="right"/>
              <w:rPr>
                <w:rFonts w:ascii="Arial Narrow" w:hAnsi="Arial Narrow" w:cs="Arial Narrow" w:eastAsia="Arial Narrow" w:hint="default"/>
                <w:sz w:val="21"/>
                <w:szCs w:val="21"/>
              </w:rPr>
            </w:pPr>
            <w:r>
              <w:rPr>
                <w:rFonts w:ascii="Arial Narrow"/>
                <w:w w:val="100"/>
                <w:sz w:val="21"/>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48" w:right="0"/>
              <w:jc w:val="left"/>
              <w:rPr>
                <w:rFonts w:ascii="Arial Narrow" w:hAnsi="Arial Narrow" w:cs="Arial Narrow" w:eastAsia="Arial Narrow" w:hint="default"/>
                <w:sz w:val="21"/>
                <w:szCs w:val="21"/>
              </w:rPr>
            </w:pPr>
            <w:r>
              <w:rPr>
                <w:rFonts w:ascii="Arial Narrow"/>
                <w:sz w:val="21"/>
              </w:rPr>
              <w:t>4,303,090.00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7"/>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82"/>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0"/>
              <w:jc w:val="right"/>
              <w:rPr>
                <w:rFonts w:ascii="Arial Narrow" w:hAnsi="Arial Narrow" w:cs="Arial Narrow" w:eastAsia="Arial Narrow" w:hint="default"/>
                <w:sz w:val="21"/>
                <w:szCs w:val="21"/>
              </w:rPr>
            </w:pPr>
            <w:r>
              <w:rPr>
                <w:rFonts w:ascii="Arial Narrow"/>
                <w:w w:val="100"/>
                <w:sz w:val="21"/>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3"/>
              <w:jc w:val="right"/>
              <w:rPr>
                <w:rFonts w:ascii="Arial Narrow" w:hAnsi="Arial Narrow" w:cs="Arial Narrow" w:eastAsia="Arial Narrow" w:hint="default"/>
                <w:sz w:val="21"/>
                <w:szCs w:val="21"/>
              </w:rPr>
            </w:pPr>
            <w:r>
              <w:rPr>
                <w:rFonts w:ascii="Arial Narrow"/>
                <w:w w:val="100"/>
                <w:sz w:val="21"/>
              </w:rPr>
              <w:t>-</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09"/>
              <w:jc w:val="right"/>
              <w:rPr>
                <w:rFonts w:ascii="Arial Narrow" w:hAnsi="Arial Narrow" w:cs="Arial Narrow" w:eastAsia="Arial Narrow" w:hint="default"/>
                <w:sz w:val="21"/>
                <w:szCs w:val="21"/>
              </w:rPr>
            </w:pPr>
            <w:r>
              <w:rPr>
                <w:rFonts w:ascii="Arial Narrow"/>
                <w:w w:val="100"/>
                <w:sz w:val="21"/>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6"/>
              <w:jc w:val="right"/>
              <w:rPr>
                <w:rFonts w:ascii="Arial Narrow" w:hAnsi="Arial Narrow" w:cs="Arial Narrow" w:eastAsia="Arial Narrow" w:hint="default"/>
                <w:sz w:val="21"/>
                <w:szCs w:val="21"/>
              </w:rPr>
            </w:pPr>
            <w:r>
              <w:rPr>
                <w:rFonts w:ascii="Arial Narrow"/>
                <w:w w:val="100"/>
                <w:sz w:val="21"/>
              </w:rPr>
              <w:t>-</w:t>
            </w:r>
          </w:p>
        </w:tc>
      </w:tr>
      <w:tr>
        <w:trPr>
          <w:trHeight w:val="545" w:hRule="exact"/>
        </w:trPr>
        <w:tc>
          <w:tcPr>
            <w:tcW w:w="442"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1" w:lineRule="exact"/>
              <w:ind w:left="7"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超</w:t>
            </w:r>
            <w:r>
              <w:rPr>
                <w:rFonts w:ascii="宋体" w:hAnsi="宋体" w:cs="宋体" w:eastAsia="宋体" w:hint="default"/>
                <w:spacing w:val="-69"/>
                <w:sz w:val="21"/>
                <w:szCs w:val="21"/>
              </w:rPr>
              <w:t> </w:t>
            </w:r>
            <w:r>
              <w:rPr>
                <w:rFonts w:ascii="宋体" w:hAnsi="宋体" w:cs="宋体" w:eastAsia="宋体" w:hint="default"/>
                <w:sz w:val="21"/>
                <w:szCs w:val="21"/>
              </w:rPr>
              <w:t>图</w:t>
            </w:r>
          </w:p>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株式会社</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hAnsi="宋体" w:cs="宋体" w:eastAsia="宋体" w:hint="default"/>
                <w:sz w:val="21"/>
                <w:szCs w:val="21"/>
              </w:rPr>
              <w:t>成本法</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05" w:right="0"/>
              <w:jc w:val="left"/>
              <w:rPr>
                <w:rFonts w:ascii="Arial Narrow" w:hAnsi="Arial Narrow" w:cs="Arial Narrow" w:eastAsia="Arial Narrow" w:hint="default"/>
                <w:sz w:val="21"/>
                <w:szCs w:val="21"/>
              </w:rPr>
            </w:pPr>
            <w:r>
              <w:rPr>
                <w:rFonts w:ascii="Arial Narrow"/>
                <w:sz w:val="21"/>
              </w:rPr>
              <w:t>17,090,761.78</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54" w:right="0"/>
              <w:jc w:val="left"/>
              <w:rPr>
                <w:rFonts w:ascii="Arial Narrow" w:hAnsi="Arial Narrow" w:cs="Arial Narrow" w:eastAsia="Arial Narrow" w:hint="default"/>
                <w:sz w:val="21"/>
                <w:szCs w:val="21"/>
              </w:rPr>
            </w:pPr>
            <w:r>
              <w:rPr>
                <w:rFonts w:ascii="Arial Narrow"/>
                <w:sz w:val="21"/>
              </w:rPr>
              <w:t>17,090,761.78</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1"/>
              <w:jc w:val="right"/>
              <w:rPr>
                <w:rFonts w:ascii="Arial Narrow" w:hAnsi="Arial Narrow" w:cs="Arial Narrow" w:eastAsia="Arial Narrow" w:hint="default"/>
                <w:sz w:val="21"/>
                <w:szCs w:val="21"/>
              </w:rPr>
            </w:pPr>
            <w:r>
              <w:rPr>
                <w:rFonts w:ascii="Arial Narrow"/>
                <w:w w:val="100"/>
                <w:sz w:val="21"/>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52" w:right="0"/>
              <w:jc w:val="left"/>
              <w:rPr>
                <w:rFonts w:ascii="Arial Narrow" w:hAnsi="Arial Narrow" w:cs="Arial Narrow" w:eastAsia="Arial Narrow" w:hint="default"/>
                <w:sz w:val="21"/>
                <w:szCs w:val="21"/>
              </w:rPr>
            </w:pPr>
            <w:r>
              <w:rPr>
                <w:rFonts w:ascii="Arial Narrow"/>
                <w:sz w:val="21"/>
              </w:rPr>
              <w:t>17,090,761.78</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39"/>
              <w:jc w:val="right"/>
              <w:rPr>
                <w:rFonts w:ascii="Arial Narrow" w:hAnsi="Arial Narrow" w:cs="Arial Narrow" w:eastAsia="Arial Narrow" w:hint="default"/>
                <w:sz w:val="21"/>
                <w:szCs w:val="21"/>
              </w:rPr>
            </w:pPr>
            <w:r>
              <w:rPr>
                <w:rFonts w:ascii="Arial Narrow"/>
                <w:spacing w:val="-1"/>
                <w:sz w:val="21"/>
              </w:rPr>
              <w:t>36.60</w:t>
            </w:r>
            <w:r>
              <w:rPr>
                <w:rFonts w:ascii="Arial Narrow"/>
                <w:sz w:val="21"/>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84"/>
              <w:jc w:val="right"/>
              <w:rPr>
                <w:rFonts w:ascii="Arial Narrow" w:hAnsi="Arial Narrow" w:cs="Arial Narrow" w:eastAsia="Arial Narrow" w:hint="default"/>
                <w:sz w:val="21"/>
                <w:szCs w:val="21"/>
              </w:rPr>
            </w:pPr>
            <w:r>
              <w:rPr>
                <w:rFonts w:ascii="Arial Narrow"/>
                <w:spacing w:val="-1"/>
                <w:sz w:val="21"/>
              </w:rPr>
              <w:t>36.60</w:t>
            </w:r>
            <w:r>
              <w:rPr>
                <w:rFonts w:ascii="Arial Narrow"/>
                <w:sz w:val="21"/>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0"/>
              <w:jc w:val="right"/>
              <w:rPr>
                <w:rFonts w:ascii="Arial Narrow" w:hAnsi="Arial Narrow" w:cs="Arial Narrow" w:eastAsia="Arial Narrow" w:hint="default"/>
                <w:sz w:val="21"/>
                <w:szCs w:val="21"/>
              </w:rPr>
            </w:pPr>
            <w:r>
              <w:rPr>
                <w:rFonts w:ascii="Arial Narrow"/>
                <w:w w:val="100"/>
                <w:sz w:val="21"/>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13"/>
              <w:jc w:val="right"/>
              <w:rPr>
                <w:rFonts w:ascii="Arial Narrow" w:hAnsi="Arial Narrow" w:cs="Arial Narrow" w:eastAsia="Arial Narrow" w:hint="default"/>
                <w:sz w:val="21"/>
                <w:szCs w:val="21"/>
              </w:rPr>
            </w:pPr>
            <w:r>
              <w:rPr>
                <w:rFonts w:ascii="Arial Narrow"/>
                <w:w w:val="100"/>
                <w:sz w:val="21"/>
              </w:rPr>
              <w:t>-</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09"/>
              <w:jc w:val="right"/>
              <w:rPr>
                <w:rFonts w:ascii="Arial Narrow" w:hAnsi="Arial Narrow" w:cs="Arial Narrow" w:eastAsia="Arial Narrow" w:hint="default"/>
                <w:sz w:val="21"/>
                <w:szCs w:val="21"/>
              </w:rPr>
            </w:pPr>
            <w:r>
              <w:rPr>
                <w:rFonts w:ascii="Arial Narrow"/>
                <w:w w:val="100"/>
                <w:sz w:val="21"/>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6"/>
              <w:jc w:val="right"/>
              <w:rPr>
                <w:rFonts w:ascii="Arial Narrow" w:hAnsi="Arial Narrow" w:cs="Arial Narrow" w:eastAsia="Arial Narrow" w:hint="default"/>
                <w:sz w:val="21"/>
                <w:szCs w:val="21"/>
              </w:rPr>
            </w:pPr>
            <w:r>
              <w:rPr>
                <w:rFonts w:ascii="Arial Narrow"/>
                <w:w w:val="100"/>
                <w:sz w:val="21"/>
              </w:rPr>
              <w:t>-</w:t>
            </w:r>
          </w:p>
        </w:tc>
      </w:tr>
      <w:tr>
        <w:trPr>
          <w:trHeight w:val="817" w:hRule="exact"/>
        </w:trPr>
        <w:tc>
          <w:tcPr>
            <w:tcW w:w="442"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② 对</w:t>
            </w:r>
            <w:r>
              <w:rPr>
                <w:rFonts w:ascii="宋体" w:hAnsi="宋体" w:cs="宋体" w:eastAsia="宋体" w:hint="default"/>
                <w:spacing w:val="-4"/>
                <w:sz w:val="21"/>
                <w:szCs w:val="21"/>
              </w:rPr>
              <w:t> </w:t>
            </w:r>
            <w:r>
              <w:rPr>
                <w:rFonts w:ascii="宋体" w:hAnsi="宋体" w:cs="宋体" w:eastAsia="宋体" w:hint="default"/>
                <w:sz w:val="21"/>
                <w:szCs w:val="21"/>
              </w:rPr>
              <w:t>联</w:t>
            </w:r>
          </w:p>
          <w:p>
            <w:pPr>
              <w:pStyle w:val="TableParagraph"/>
              <w:spacing w:line="272" w:lineRule="exact" w:before="27"/>
              <w:ind w:left="115" w:right="85"/>
              <w:jc w:val="left"/>
              <w:rPr>
                <w:rFonts w:ascii="宋体" w:hAnsi="宋体" w:cs="宋体" w:eastAsia="宋体" w:hint="default"/>
                <w:sz w:val="21"/>
                <w:szCs w:val="21"/>
              </w:rPr>
            </w:pPr>
            <w:r>
              <w:rPr>
                <w:rFonts w:ascii="宋体" w:hAnsi="宋体" w:cs="宋体" w:eastAsia="宋体" w:hint="default"/>
                <w:sz w:val="21"/>
                <w:szCs w:val="21"/>
              </w:rPr>
              <w:t>营 企</w:t>
            </w:r>
            <w:r>
              <w:rPr>
                <w:rFonts w:ascii="宋体" w:hAnsi="宋体" w:cs="宋体" w:eastAsia="宋体" w:hint="default"/>
                <w:spacing w:val="-4"/>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投资</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100"/>
                <w:sz w:val="21"/>
              </w:rPr>
              <w:t>-</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2"/>
              <w:jc w:val="right"/>
              <w:rPr>
                <w:rFonts w:ascii="Arial Narrow" w:hAnsi="Arial Narrow" w:cs="Arial Narrow" w:eastAsia="Arial Narrow" w:hint="default"/>
                <w:sz w:val="21"/>
                <w:szCs w:val="21"/>
              </w:rPr>
            </w:pPr>
            <w:r>
              <w:rPr>
                <w:rFonts w:ascii="Arial Narrow"/>
                <w:w w:val="100"/>
                <w:sz w:val="21"/>
              </w:rPr>
              <w:t>-</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1"/>
              <w:jc w:val="right"/>
              <w:rPr>
                <w:rFonts w:ascii="Arial Narrow" w:hAnsi="Arial Narrow" w:cs="Arial Narrow" w:eastAsia="Arial Narrow" w:hint="default"/>
                <w:sz w:val="21"/>
                <w:szCs w:val="21"/>
              </w:rPr>
            </w:pPr>
            <w:r>
              <w:rPr>
                <w:rFonts w:ascii="Arial Narrow"/>
                <w:w w:val="100"/>
                <w:sz w:val="21"/>
              </w:rPr>
              <w:t>-</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6"/>
              <w:jc w:val="right"/>
              <w:rPr>
                <w:rFonts w:ascii="Arial Narrow" w:hAnsi="Arial Narrow" w:cs="Arial Narrow" w:eastAsia="Arial Narrow" w:hint="default"/>
                <w:sz w:val="21"/>
                <w:szCs w:val="21"/>
              </w:rPr>
            </w:pPr>
            <w:r>
              <w:rPr>
                <w:rFonts w:ascii="Arial Narrow"/>
                <w:w w:val="100"/>
                <w:sz w:val="21"/>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4"/>
              <w:jc w:val="right"/>
              <w:rPr>
                <w:rFonts w:ascii="Arial Narrow" w:hAnsi="Arial Narrow" w:cs="Arial Narrow" w:eastAsia="Arial Narrow" w:hint="default"/>
                <w:sz w:val="21"/>
                <w:szCs w:val="21"/>
              </w:rPr>
            </w:pPr>
            <w:r>
              <w:rPr>
                <w:rFonts w:ascii="Arial Narrow"/>
                <w:w w:val="100"/>
                <w:sz w:val="21"/>
              </w:rPr>
              <w:t>-</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39"/>
              <w:jc w:val="right"/>
              <w:rPr>
                <w:rFonts w:ascii="Arial Narrow" w:hAnsi="Arial Narrow" w:cs="Arial Narrow" w:eastAsia="Arial Narrow" w:hint="default"/>
                <w:sz w:val="21"/>
                <w:szCs w:val="21"/>
              </w:rPr>
            </w:pPr>
            <w:r>
              <w:rPr>
                <w:rFonts w:ascii="Arial Narrow"/>
                <w:w w:val="100"/>
                <w:sz w:val="21"/>
              </w:rPr>
              <w:t>-</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84"/>
              <w:jc w:val="right"/>
              <w:rPr>
                <w:rFonts w:ascii="Arial Narrow" w:hAnsi="Arial Narrow" w:cs="Arial Narrow" w:eastAsia="Arial Narrow" w:hint="default"/>
                <w:sz w:val="21"/>
                <w:szCs w:val="21"/>
              </w:rPr>
            </w:pPr>
            <w:r>
              <w:rPr>
                <w:rFonts w:ascii="Arial Narrow"/>
                <w:w w:val="100"/>
                <w:sz w:val="21"/>
              </w:rPr>
              <w:t>-</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0"/>
              <w:jc w:val="right"/>
              <w:rPr>
                <w:rFonts w:ascii="Arial Narrow" w:hAnsi="Arial Narrow" w:cs="Arial Narrow" w:eastAsia="Arial Narrow" w:hint="default"/>
                <w:sz w:val="21"/>
                <w:szCs w:val="21"/>
              </w:rPr>
            </w:pPr>
            <w:r>
              <w:rPr>
                <w:rFonts w:ascii="Arial Narrow"/>
                <w:w w:val="100"/>
                <w:sz w:val="21"/>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3"/>
              <w:jc w:val="right"/>
              <w:rPr>
                <w:rFonts w:ascii="Arial Narrow" w:hAnsi="Arial Narrow" w:cs="Arial Narrow" w:eastAsia="Arial Narrow" w:hint="default"/>
                <w:sz w:val="21"/>
                <w:szCs w:val="21"/>
              </w:rPr>
            </w:pPr>
            <w:r>
              <w:rPr>
                <w:rFonts w:ascii="Arial Narrow"/>
                <w:w w:val="100"/>
                <w:sz w:val="21"/>
              </w:rPr>
              <w:t>-</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9"/>
              <w:jc w:val="right"/>
              <w:rPr>
                <w:rFonts w:ascii="Arial Narrow" w:hAnsi="Arial Narrow" w:cs="Arial Narrow" w:eastAsia="Arial Narrow" w:hint="default"/>
                <w:sz w:val="21"/>
                <w:szCs w:val="21"/>
              </w:rPr>
            </w:pPr>
            <w:r>
              <w:rPr>
                <w:rFonts w:ascii="Arial Narrow"/>
                <w:w w:val="100"/>
                <w:sz w:val="21"/>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r>
      <w:tr>
        <w:trPr>
          <w:trHeight w:val="817" w:hRule="exact"/>
        </w:trPr>
        <w:tc>
          <w:tcPr>
            <w:tcW w:w="442"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exact"/>
              <w:ind w:left="7"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71"/>
                <w:sz w:val="21"/>
                <w:szCs w:val="21"/>
              </w:rPr>
              <w:t> </w:t>
            </w:r>
            <w:r>
              <w:rPr>
                <w:rFonts w:ascii="宋体" w:hAnsi="宋体" w:cs="宋体" w:eastAsia="宋体" w:hint="default"/>
                <w:sz w:val="21"/>
                <w:szCs w:val="21"/>
              </w:rPr>
              <w:t>江</w:t>
            </w:r>
            <w:r>
              <w:rPr>
                <w:rFonts w:ascii="宋体" w:hAnsi="宋体" w:cs="宋体" w:eastAsia="宋体" w:hint="default"/>
                <w:spacing w:val="-71"/>
                <w:sz w:val="21"/>
                <w:szCs w:val="21"/>
              </w:rPr>
              <w:t> </w:t>
            </w:r>
            <w:r>
              <w:rPr>
                <w:rFonts w:ascii="宋体" w:hAnsi="宋体" w:cs="宋体" w:eastAsia="宋体" w:hint="default"/>
                <w:sz w:val="21"/>
                <w:szCs w:val="21"/>
              </w:rPr>
              <w:t>中</w:t>
            </w:r>
            <w:r>
              <w:rPr>
                <w:rFonts w:ascii="宋体" w:hAnsi="宋体" w:cs="宋体" w:eastAsia="宋体" w:hint="default"/>
                <w:spacing w:val="-69"/>
                <w:sz w:val="21"/>
                <w:szCs w:val="21"/>
              </w:rPr>
              <w:t> </w:t>
            </w:r>
            <w:r>
              <w:rPr>
                <w:rFonts w:ascii="宋体" w:hAnsi="宋体" w:cs="宋体" w:eastAsia="宋体" w:hint="default"/>
                <w:sz w:val="21"/>
                <w:szCs w:val="21"/>
              </w:rPr>
              <w:t>科</w:t>
            </w:r>
          </w:p>
          <w:p>
            <w:pPr>
              <w:pStyle w:val="TableParagraph"/>
              <w:spacing w:line="240" w:lineRule="auto"/>
              <w:ind w:left="7" w:right="83"/>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pacing w:val="-71"/>
                <w:sz w:val="21"/>
                <w:szCs w:val="21"/>
              </w:rPr>
              <w:t> </w:t>
            </w:r>
            <w:r>
              <w:rPr>
                <w:rFonts w:ascii="宋体" w:hAnsi="宋体" w:cs="宋体" w:eastAsia="宋体" w:hint="default"/>
                <w:sz w:val="21"/>
                <w:szCs w:val="21"/>
              </w:rPr>
              <w:t>城</w:t>
            </w:r>
            <w:r>
              <w:rPr>
                <w:rFonts w:ascii="宋体" w:hAnsi="宋体" w:cs="宋体" w:eastAsia="宋体" w:hint="default"/>
                <w:spacing w:val="-71"/>
                <w:sz w:val="21"/>
                <w:szCs w:val="21"/>
              </w:rPr>
              <w:t> </w:t>
            </w:r>
            <w:r>
              <w:rPr>
                <w:rFonts w:ascii="宋体" w:hAnsi="宋体" w:cs="宋体" w:eastAsia="宋体" w:hint="default"/>
                <w:sz w:val="21"/>
                <w:szCs w:val="21"/>
              </w:rPr>
              <w:t>软</w:t>
            </w:r>
            <w:r>
              <w:rPr>
                <w:rFonts w:ascii="宋体" w:hAnsi="宋体" w:cs="宋体" w:eastAsia="宋体" w:hint="default"/>
                <w:spacing w:val="-69"/>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权益法</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01" w:right="0"/>
              <w:jc w:val="left"/>
              <w:rPr>
                <w:rFonts w:ascii="Arial Narrow" w:hAnsi="Arial Narrow" w:cs="Arial Narrow" w:eastAsia="Arial Narrow" w:hint="default"/>
                <w:sz w:val="21"/>
                <w:szCs w:val="21"/>
              </w:rPr>
            </w:pPr>
            <w:r>
              <w:rPr>
                <w:rFonts w:ascii="Arial Narrow"/>
                <w:sz w:val="21"/>
              </w:rPr>
              <w:t>2,336,000.00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2" w:right="0"/>
              <w:jc w:val="left"/>
              <w:rPr>
                <w:rFonts w:ascii="Arial Narrow" w:hAnsi="Arial Narrow" w:cs="Arial Narrow" w:eastAsia="Arial Narrow" w:hint="default"/>
                <w:sz w:val="21"/>
                <w:szCs w:val="21"/>
              </w:rPr>
            </w:pPr>
            <w:r>
              <w:rPr>
                <w:rFonts w:ascii="Arial Narrow"/>
                <w:sz w:val="21"/>
              </w:rPr>
              <w:t>2,665,115.90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39" w:right="0"/>
              <w:jc w:val="left"/>
              <w:rPr>
                <w:rFonts w:ascii="Arial Narrow" w:hAnsi="Arial Narrow" w:cs="Arial Narrow" w:eastAsia="Arial Narrow" w:hint="default"/>
                <w:sz w:val="21"/>
                <w:szCs w:val="21"/>
              </w:rPr>
            </w:pPr>
            <w:r>
              <w:rPr>
                <w:rFonts w:ascii="Arial Narrow"/>
                <w:sz w:val="21"/>
              </w:rPr>
              <w:t>-327,418.55</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8" w:right="0"/>
              <w:jc w:val="left"/>
              <w:rPr>
                <w:rFonts w:ascii="Arial Narrow" w:hAnsi="Arial Narrow" w:cs="Arial Narrow" w:eastAsia="Arial Narrow" w:hint="default"/>
                <w:sz w:val="21"/>
                <w:szCs w:val="21"/>
              </w:rPr>
            </w:pPr>
            <w:r>
              <w:rPr>
                <w:rFonts w:ascii="Arial Narrow"/>
                <w:sz w:val="21"/>
              </w:rPr>
              <w:t>2,337,697.35</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39"/>
              <w:jc w:val="right"/>
              <w:rPr>
                <w:rFonts w:ascii="Arial Narrow" w:hAnsi="Arial Narrow" w:cs="Arial Narrow" w:eastAsia="Arial Narrow" w:hint="default"/>
                <w:sz w:val="21"/>
                <w:szCs w:val="21"/>
              </w:rPr>
            </w:pPr>
            <w:r>
              <w:rPr>
                <w:rFonts w:ascii="Arial Narrow"/>
                <w:spacing w:val="-1"/>
                <w:sz w:val="21"/>
              </w:rPr>
              <w:t>23.36</w:t>
            </w:r>
            <w:r>
              <w:rPr>
                <w:rFonts w:ascii="Arial Narrow"/>
                <w:sz w:val="21"/>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4"/>
              <w:jc w:val="right"/>
              <w:rPr>
                <w:rFonts w:ascii="Arial Narrow" w:hAnsi="Arial Narrow" w:cs="Arial Narrow" w:eastAsia="Arial Narrow" w:hint="default"/>
                <w:sz w:val="21"/>
                <w:szCs w:val="21"/>
              </w:rPr>
            </w:pPr>
            <w:r>
              <w:rPr>
                <w:rFonts w:ascii="Arial Narrow"/>
                <w:spacing w:val="-1"/>
                <w:sz w:val="21"/>
              </w:rPr>
              <w:t>23.36</w:t>
            </w:r>
            <w:r>
              <w:rPr>
                <w:rFonts w:ascii="Arial Narrow"/>
                <w:sz w:val="21"/>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0"/>
              <w:jc w:val="right"/>
              <w:rPr>
                <w:rFonts w:ascii="Arial Narrow" w:hAnsi="Arial Narrow" w:cs="Arial Narrow" w:eastAsia="Arial Narrow" w:hint="default"/>
                <w:sz w:val="21"/>
                <w:szCs w:val="21"/>
              </w:rPr>
            </w:pPr>
            <w:r>
              <w:rPr>
                <w:rFonts w:ascii="Arial Narrow"/>
                <w:w w:val="100"/>
                <w:sz w:val="21"/>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13"/>
              <w:jc w:val="right"/>
              <w:rPr>
                <w:rFonts w:ascii="Arial Narrow" w:hAnsi="Arial Narrow" w:cs="Arial Narrow" w:eastAsia="Arial Narrow" w:hint="default"/>
                <w:sz w:val="21"/>
                <w:szCs w:val="21"/>
              </w:rPr>
            </w:pPr>
            <w:r>
              <w:rPr>
                <w:rFonts w:ascii="Arial Narrow"/>
                <w:w w:val="100"/>
                <w:sz w:val="21"/>
              </w:rPr>
              <w:t>-</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9"/>
              <w:jc w:val="right"/>
              <w:rPr>
                <w:rFonts w:ascii="Arial Narrow" w:hAnsi="Arial Narrow" w:cs="Arial Narrow" w:eastAsia="Arial Narrow" w:hint="default"/>
                <w:sz w:val="21"/>
                <w:szCs w:val="21"/>
              </w:rPr>
            </w:pPr>
            <w:r>
              <w:rPr>
                <w:rFonts w:ascii="Arial Narrow"/>
                <w:w w:val="100"/>
                <w:sz w:val="21"/>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r>
      <w:tr>
        <w:trPr>
          <w:trHeight w:val="1095" w:hRule="exact"/>
        </w:trPr>
        <w:tc>
          <w:tcPr>
            <w:tcW w:w="442"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single" w:sz="4" w:space="0" w:color="000000"/>
              <w:right w:val="nil" w:sz="6" w:space="0" w:color="auto"/>
            </w:tcBorders>
          </w:tcPr>
          <w:p>
            <w:pPr>
              <w:pStyle w:val="TableParagraph"/>
              <w:spacing w:line="240" w:lineRule="exact"/>
              <w:ind w:left="7"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1"/>
                <w:sz w:val="21"/>
                <w:szCs w:val="21"/>
              </w:rPr>
              <w:t> </w:t>
            </w:r>
            <w:r>
              <w:rPr>
                <w:rFonts w:ascii="宋体" w:hAnsi="宋体" w:cs="宋体" w:eastAsia="宋体" w:hint="default"/>
                <w:sz w:val="21"/>
                <w:szCs w:val="21"/>
              </w:rPr>
              <w:t>京</w:t>
            </w:r>
            <w:r>
              <w:rPr>
                <w:rFonts w:ascii="宋体" w:hAnsi="宋体" w:cs="宋体" w:eastAsia="宋体" w:hint="default"/>
                <w:spacing w:val="-71"/>
                <w:sz w:val="21"/>
                <w:szCs w:val="21"/>
              </w:rPr>
              <w:t> </w:t>
            </w:r>
            <w:r>
              <w:rPr>
                <w:rFonts w:ascii="宋体" w:hAnsi="宋体" w:cs="宋体" w:eastAsia="宋体" w:hint="default"/>
                <w:sz w:val="21"/>
                <w:szCs w:val="21"/>
              </w:rPr>
              <w:t>国</w:t>
            </w:r>
            <w:r>
              <w:rPr>
                <w:rFonts w:ascii="宋体" w:hAnsi="宋体" w:cs="宋体" w:eastAsia="宋体" w:hint="default"/>
                <w:spacing w:val="-69"/>
                <w:sz w:val="21"/>
                <w:szCs w:val="21"/>
              </w:rPr>
              <w:t> </w:t>
            </w:r>
            <w:r>
              <w:rPr>
                <w:rFonts w:ascii="宋体" w:hAnsi="宋体" w:cs="宋体" w:eastAsia="宋体" w:hint="default"/>
                <w:sz w:val="21"/>
                <w:szCs w:val="21"/>
              </w:rPr>
              <w:t>遥</w:t>
            </w:r>
          </w:p>
          <w:p>
            <w:pPr>
              <w:pStyle w:val="TableParagraph"/>
              <w:spacing w:line="237" w:lineRule="auto" w:before="2"/>
              <w:ind w:left="7" w:right="83"/>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71"/>
                <w:sz w:val="21"/>
                <w:szCs w:val="21"/>
              </w:rPr>
              <w:t> </w:t>
            </w:r>
            <w:r>
              <w:rPr>
                <w:rFonts w:ascii="宋体" w:hAnsi="宋体" w:cs="宋体" w:eastAsia="宋体" w:hint="default"/>
                <w:sz w:val="21"/>
                <w:szCs w:val="21"/>
              </w:rPr>
              <w:t>天</w:t>
            </w:r>
            <w:r>
              <w:rPr>
                <w:rFonts w:ascii="宋体" w:hAnsi="宋体" w:cs="宋体" w:eastAsia="宋体" w:hint="default"/>
                <w:spacing w:val="-71"/>
                <w:sz w:val="21"/>
                <w:szCs w:val="21"/>
              </w:rPr>
              <w:t> </w:t>
            </w:r>
            <w:r>
              <w:rPr>
                <w:rFonts w:ascii="宋体" w:hAnsi="宋体" w:cs="宋体" w:eastAsia="宋体" w:hint="default"/>
                <w:sz w:val="21"/>
                <w:szCs w:val="21"/>
              </w:rPr>
              <w:t>地</w:t>
            </w:r>
            <w:r>
              <w:rPr>
                <w:rFonts w:ascii="宋体" w:hAnsi="宋体" w:cs="宋体" w:eastAsia="宋体" w:hint="default"/>
                <w:spacing w:val="-69"/>
                <w:sz w:val="21"/>
                <w:szCs w:val="21"/>
              </w:rPr>
              <w:t> </w:t>
            </w:r>
            <w:r>
              <w:rPr>
                <w:rFonts w:ascii="宋体" w:hAnsi="宋体" w:cs="宋体" w:eastAsia="宋体" w:hint="default"/>
                <w:sz w:val="21"/>
                <w:szCs w:val="21"/>
              </w:rPr>
              <w:t>信</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pacing w:val="-71"/>
                <w:sz w:val="21"/>
                <w:szCs w:val="21"/>
              </w:rPr>
              <w:t> </w:t>
            </w:r>
            <w:r>
              <w:rPr>
                <w:rFonts w:ascii="宋体" w:hAnsi="宋体" w:cs="宋体" w:eastAsia="宋体" w:hint="default"/>
                <w:sz w:val="21"/>
                <w:szCs w:val="21"/>
              </w:rPr>
              <w:t>技</w:t>
            </w:r>
            <w:r>
              <w:rPr>
                <w:rFonts w:ascii="宋体" w:hAnsi="宋体" w:cs="宋体" w:eastAsia="宋体" w:hint="default"/>
                <w:spacing w:val="-71"/>
                <w:sz w:val="21"/>
                <w:szCs w:val="21"/>
              </w:rPr>
              <w:t> </w:t>
            </w:r>
            <w:r>
              <w:rPr>
                <w:rFonts w:ascii="宋体" w:hAnsi="宋体" w:cs="宋体" w:eastAsia="宋体" w:hint="default"/>
                <w:sz w:val="21"/>
                <w:szCs w:val="21"/>
              </w:rPr>
              <w:t>术</w:t>
            </w:r>
            <w:r>
              <w:rPr>
                <w:rFonts w:ascii="宋体" w:hAnsi="宋体" w:cs="宋体" w:eastAsia="宋体" w:hint="default"/>
                <w:spacing w:val="-69"/>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7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权益法</w:t>
            </w:r>
          </w:p>
        </w:tc>
        <w:tc>
          <w:tcPr>
            <w:tcW w:w="137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201" w:right="0"/>
              <w:jc w:val="left"/>
              <w:rPr>
                <w:rFonts w:ascii="Arial Narrow" w:hAnsi="Arial Narrow" w:cs="Arial Narrow" w:eastAsia="Arial Narrow" w:hint="default"/>
                <w:sz w:val="21"/>
                <w:szCs w:val="21"/>
              </w:rPr>
            </w:pPr>
            <w:r>
              <w:rPr>
                <w:rFonts w:ascii="Arial Narrow"/>
                <w:sz w:val="21"/>
              </w:rPr>
              <w:t>2,000,000.00</w:t>
            </w:r>
          </w:p>
        </w:tc>
        <w:tc>
          <w:tcPr>
            <w:tcW w:w="131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150" w:right="0"/>
              <w:jc w:val="left"/>
              <w:rPr>
                <w:rFonts w:ascii="Arial Narrow" w:hAnsi="Arial Narrow" w:cs="Arial Narrow" w:eastAsia="Arial Narrow" w:hint="default"/>
                <w:sz w:val="21"/>
                <w:szCs w:val="21"/>
              </w:rPr>
            </w:pPr>
            <w:r>
              <w:rPr>
                <w:rFonts w:ascii="Arial Narrow"/>
                <w:sz w:val="21"/>
              </w:rPr>
              <w:t>9,522,464.58</w:t>
            </w:r>
          </w:p>
        </w:tc>
        <w:tc>
          <w:tcPr>
            <w:tcW w:w="12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52" w:right="0"/>
              <w:jc w:val="left"/>
              <w:rPr>
                <w:rFonts w:ascii="Arial Narrow" w:hAnsi="Arial Narrow" w:cs="Arial Narrow" w:eastAsia="Arial Narrow" w:hint="default"/>
                <w:sz w:val="21"/>
                <w:szCs w:val="21"/>
              </w:rPr>
            </w:pPr>
            <w:r>
              <w:rPr>
                <w:rFonts w:ascii="Arial Narrow"/>
                <w:sz w:val="21"/>
              </w:rPr>
              <w:t>1,891,743.74</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left="64" w:right="0"/>
              <w:jc w:val="left"/>
              <w:rPr>
                <w:rFonts w:ascii="Arial Narrow" w:hAnsi="Arial Narrow" w:cs="Arial Narrow" w:eastAsia="Arial Narrow" w:hint="default"/>
                <w:sz w:val="21"/>
                <w:szCs w:val="21"/>
              </w:rPr>
            </w:pPr>
            <w:r>
              <w:rPr>
                <w:rFonts w:ascii="Arial Narrow"/>
                <w:sz w:val="21"/>
              </w:rPr>
              <w:t>11,414,208.32</w:t>
            </w:r>
          </w:p>
        </w:tc>
        <w:tc>
          <w:tcPr>
            <w:tcW w:w="93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39"/>
              <w:jc w:val="right"/>
              <w:rPr>
                <w:rFonts w:ascii="Arial Narrow" w:hAnsi="Arial Narrow" w:cs="Arial Narrow" w:eastAsia="Arial Narrow" w:hint="default"/>
                <w:sz w:val="21"/>
                <w:szCs w:val="21"/>
              </w:rPr>
            </w:pPr>
            <w:r>
              <w:rPr>
                <w:rFonts w:ascii="Arial Narrow"/>
                <w:spacing w:val="-1"/>
                <w:sz w:val="21"/>
              </w:rPr>
              <w:t>40.00</w:t>
            </w:r>
            <w:r>
              <w:rPr>
                <w:rFonts w:ascii="Arial Narrow"/>
                <w:sz w:val="21"/>
              </w:rPr>
            </w:r>
          </w:p>
        </w:tc>
        <w:tc>
          <w:tcPr>
            <w:tcW w:w="100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84"/>
              <w:jc w:val="right"/>
              <w:rPr>
                <w:rFonts w:ascii="Arial Narrow" w:hAnsi="Arial Narrow" w:cs="Arial Narrow" w:eastAsia="Arial Narrow" w:hint="default"/>
                <w:sz w:val="21"/>
                <w:szCs w:val="21"/>
              </w:rPr>
            </w:pPr>
            <w:r>
              <w:rPr>
                <w:rFonts w:ascii="Arial Narrow"/>
                <w:spacing w:val="-1"/>
                <w:sz w:val="21"/>
              </w:rPr>
              <w:t>40.00</w:t>
            </w:r>
            <w:r>
              <w:rPr>
                <w:rFonts w:ascii="Arial Narrow"/>
                <w:sz w:val="21"/>
              </w:rPr>
            </w:r>
          </w:p>
        </w:tc>
        <w:tc>
          <w:tcPr>
            <w:tcW w:w="11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60"/>
              <w:jc w:val="right"/>
              <w:rPr>
                <w:rFonts w:ascii="Arial Narrow" w:hAnsi="Arial Narrow" w:cs="Arial Narrow" w:eastAsia="Arial Narrow" w:hint="default"/>
                <w:sz w:val="21"/>
                <w:szCs w:val="21"/>
              </w:rPr>
            </w:pPr>
            <w:r>
              <w:rPr>
                <w:rFonts w:ascii="Arial Narrow"/>
                <w:w w:val="100"/>
                <w:sz w:val="21"/>
              </w:rPr>
              <w:t>-</w:t>
            </w:r>
          </w:p>
        </w:tc>
        <w:tc>
          <w:tcPr>
            <w:tcW w:w="127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13"/>
              <w:jc w:val="right"/>
              <w:rPr>
                <w:rFonts w:ascii="Arial Narrow" w:hAnsi="Arial Narrow" w:cs="Arial Narrow" w:eastAsia="Arial Narrow" w:hint="default"/>
                <w:sz w:val="21"/>
                <w:szCs w:val="21"/>
              </w:rPr>
            </w:pPr>
            <w:r>
              <w:rPr>
                <w:rFonts w:ascii="Arial Narrow"/>
                <w:w w:val="100"/>
                <w:sz w:val="21"/>
              </w:rPr>
              <w:t>-</w:t>
            </w:r>
          </w:p>
        </w:tc>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209"/>
              <w:jc w:val="right"/>
              <w:rPr>
                <w:rFonts w:ascii="Arial Narrow" w:hAnsi="Arial Narrow" w:cs="Arial Narrow" w:eastAsia="Arial Narrow" w:hint="default"/>
                <w:sz w:val="21"/>
                <w:szCs w:val="21"/>
              </w:rPr>
            </w:pPr>
            <w:r>
              <w:rPr>
                <w:rFonts w:ascii="Arial Narrow"/>
                <w:w w:val="100"/>
                <w:sz w:val="21"/>
              </w:rPr>
              <w:t>-</w:t>
            </w:r>
          </w:p>
        </w:tc>
        <w:tc>
          <w:tcPr>
            <w:tcW w:w="94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106"/>
              <w:jc w:val="right"/>
              <w:rPr>
                <w:rFonts w:ascii="Arial Narrow" w:hAnsi="Arial Narrow" w:cs="Arial Narrow" w:eastAsia="Arial Narrow" w:hint="default"/>
                <w:sz w:val="21"/>
                <w:szCs w:val="21"/>
              </w:rPr>
            </w:pPr>
            <w:r>
              <w:rPr>
                <w:rFonts w:ascii="Arial Narrow"/>
                <w:w w:val="100"/>
                <w:sz w:val="21"/>
              </w:rPr>
              <w:t>-</w:t>
            </w:r>
          </w:p>
        </w:tc>
      </w:tr>
      <w:tr>
        <w:trPr>
          <w:trHeight w:val="420" w:hRule="exact"/>
        </w:trPr>
        <w:tc>
          <w:tcPr>
            <w:tcW w:w="442" w:type="dxa"/>
            <w:tcBorders>
              <w:top w:val="nil" w:sz="6" w:space="0" w:color="auto"/>
              <w:left w:val="nil" w:sz="6" w:space="0" w:color="auto"/>
              <w:bottom w:val="nil" w:sz="6" w:space="0" w:color="auto"/>
              <w:right w:val="nil" w:sz="6" w:space="0" w:color="auto"/>
            </w:tcBorders>
          </w:tcPr>
          <w:p>
            <w:pPr/>
          </w:p>
        </w:tc>
        <w:tc>
          <w:tcPr>
            <w:tcW w:w="1040" w:type="dxa"/>
            <w:tcBorders>
              <w:top w:val="single" w:sz="4" w:space="0" w:color="000000"/>
              <w:left w:val="nil" w:sz="6" w:space="0" w:color="auto"/>
              <w:bottom w:val="single" w:sz="8" w:space="0" w:color="000000"/>
              <w:right w:val="nil" w:sz="6" w:space="0" w:color="auto"/>
            </w:tcBorders>
          </w:tcPr>
          <w:p>
            <w:pPr>
              <w:pStyle w:val="TableParagraph"/>
              <w:spacing w:line="240" w:lineRule="auto" w:before="33"/>
              <w:ind w:left="11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077"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05"/>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372"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62"/>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319"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54" w:right="0"/>
              <w:jc w:val="left"/>
              <w:rPr>
                <w:rFonts w:ascii="Arial Narrow" w:hAnsi="Arial Narrow" w:cs="Arial Narrow" w:eastAsia="Arial Narrow" w:hint="default"/>
                <w:sz w:val="21"/>
                <w:szCs w:val="21"/>
              </w:rPr>
            </w:pPr>
            <w:r>
              <w:rPr>
                <w:rFonts w:ascii="Arial Narrow"/>
                <w:b/>
                <w:sz w:val="21"/>
              </w:rPr>
              <w:t>38,581,432.26</w:t>
            </w:r>
            <w:r>
              <w:rPr>
                <w:rFonts w:ascii="Arial Narrow"/>
                <w:sz w:val="21"/>
              </w:rPr>
            </w:r>
          </w:p>
        </w:tc>
        <w:tc>
          <w:tcPr>
            <w:tcW w:w="1222"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52" w:right="0"/>
              <w:jc w:val="left"/>
              <w:rPr>
                <w:rFonts w:ascii="Arial Narrow" w:hAnsi="Arial Narrow" w:cs="Arial Narrow" w:eastAsia="Arial Narrow" w:hint="default"/>
                <w:sz w:val="21"/>
                <w:szCs w:val="21"/>
              </w:rPr>
            </w:pPr>
            <w:r>
              <w:rPr>
                <w:rFonts w:ascii="Arial Narrow"/>
                <w:b/>
                <w:sz w:val="21"/>
              </w:rPr>
              <w:t>1,564,325.19</w:t>
            </w:r>
            <w:r>
              <w:rPr>
                <w:rFonts w:ascii="Arial Narrow"/>
                <w:sz w:val="21"/>
              </w:rPr>
            </w:r>
          </w:p>
        </w:tc>
        <w:tc>
          <w:tcPr>
            <w:tcW w:w="1421"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52" w:right="0"/>
              <w:jc w:val="left"/>
              <w:rPr>
                <w:rFonts w:ascii="Arial Narrow" w:hAnsi="Arial Narrow" w:cs="Arial Narrow" w:eastAsia="Arial Narrow" w:hint="default"/>
                <w:sz w:val="21"/>
                <w:szCs w:val="21"/>
              </w:rPr>
            </w:pPr>
            <w:r>
              <w:rPr>
                <w:rFonts w:ascii="Arial Narrow"/>
                <w:b/>
                <w:sz w:val="21"/>
              </w:rPr>
              <w:t>40,145,757.45</w:t>
            </w:r>
            <w:r>
              <w:rPr>
                <w:rFonts w:ascii="Arial Narrow"/>
                <w:sz w:val="21"/>
              </w:rPr>
            </w:r>
          </w:p>
        </w:tc>
        <w:tc>
          <w:tcPr>
            <w:tcW w:w="932"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39"/>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001"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84"/>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131"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60"/>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275"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left="53" w:right="0"/>
              <w:jc w:val="left"/>
              <w:rPr>
                <w:rFonts w:ascii="Arial Narrow" w:hAnsi="Arial Narrow" w:cs="Arial Narrow" w:eastAsia="Arial Narrow" w:hint="default"/>
                <w:sz w:val="21"/>
                <w:szCs w:val="21"/>
              </w:rPr>
            </w:pPr>
            <w:r>
              <w:rPr>
                <w:rFonts w:ascii="Arial Narrow"/>
                <w:b/>
                <w:sz w:val="21"/>
              </w:rPr>
              <w:t>1,000,000.00</w:t>
            </w:r>
            <w:r>
              <w:rPr>
                <w:rFonts w:ascii="Arial Narrow"/>
                <w:sz w:val="21"/>
              </w:rPr>
            </w:r>
          </w:p>
        </w:tc>
        <w:tc>
          <w:tcPr>
            <w:tcW w:w="1051"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209"/>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946"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06"/>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63"/>
        <w:ind w:left="7256" w:right="6870" w:firstLine="0"/>
        <w:jc w:val="center"/>
        <w:rPr>
          <w:rFonts w:ascii="Calibri" w:hAnsi="Calibri" w:cs="Calibri" w:eastAsia="Calibri" w:hint="default"/>
          <w:sz w:val="18"/>
          <w:szCs w:val="18"/>
        </w:rPr>
      </w:pPr>
      <w:r>
        <w:rPr>
          <w:rFonts w:ascii="Calibri"/>
          <w:sz w:val="18"/>
        </w:rPr>
        <w:t>170</w:t>
      </w:r>
    </w:p>
    <w:p>
      <w:pPr>
        <w:spacing w:after="0"/>
        <w:jc w:val="center"/>
        <w:rPr>
          <w:rFonts w:ascii="Calibri" w:hAnsi="Calibri" w:cs="Calibri" w:eastAsia="Calibri" w:hint="default"/>
          <w:sz w:val="18"/>
          <w:szCs w:val="18"/>
        </w:rPr>
        <w:sectPr>
          <w:headerReference w:type="default" r:id="rId69"/>
          <w:footerReference w:type="default" r:id="rId70"/>
          <w:pgSz w:w="16850" w:h="11900" w:orient="landscape"/>
          <w:pgMar w:header="0" w:footer="0" w:top="680" w:bottom="280" w:left="580" w:right="1820"/>
        </w:sectPr>
      </w:pPr>
    </w:p>
    <w:p>
      <w:pPr>
        <w:pStyle w:val="BodyText"/>
        <w:spacing w:line="240" w:lineRule="auto"/>
        <w:ind w:left="94" w:right="7742"/>
        <w:jc w:val="center"/>
      </w:pPr>
      <w:r>
        <w:rPr/>
        <w:pict>
          <v:group style="position:absolute;margin-left:55.200001pt;margin-top:1.655647pt;width:484.9pt;height:.1pt;mso-position-horizontal-relative:page;mso-position-vertical-relative:paragraph;z-index:-763912" coordorigin="1104,33" coordsize="9698,2">
            <v:shape style="position:absolute;left:1104;top:33;width:9698;height:2" coordorigin="1104,33" coordsize="9698,0" path="m1104,33l10802,33e" filled="false" stroked="true" strokeweight=".72pt" strokecolor="#000000">
              <v:path arrowok="t"/>
            </v:shape>
            <w10:wrap type="none"/>
          </v:group>
        </w:pict>
      </w:r>
      <w:r>
        <w:rPr>
          <w:rFonts w:ascii="Arial Narrow" w:hAnsi="Arial Narrow" w:cs="Arial Narrow" w:eastAsia="Arial Narrow" w:hint="default"/>
        </w:rPr>
        <w:t>4</w:t>
      </w:r>
      <w:r>
        <w:rPr/>
        <w:t>、营业收入和营业成本</w:t>
      </w:r>
    </w:p>
    <w:p>
      <w:pPr>
        <w:spacing w:line="240" w:lineRule="auto" w:before="11"/>
        <w:rPr>
          <w:rFonts w:ascii="宋体" w:hAnsi="宋体" w:cs="宋体" w:eastAsia="宋体" w:hint="default"/>
          <w:sz w:val="19"/>
          <w:szCs w:val="19"/>
        </w:rPr>
      </w:pPr>
    </w:p>
    <w:p>
      <w:pPr>
        <w:pStyle w:val="BodyText"/>
        <w:spacing w:line="240" w:lineRule="auto"/>
        <w:ind w:left="94" w:right="7866"/>
        <w:jc w:val="center"/>
      </w:pPr>
      <w:r>
        <w:rPr/>
        <w:t>（</w:t>
      </w:r>
      <w:r>
        <w:rPr>
          <w:rFonts w:ascii="Arial Narrow" w:hAnsi="Arial Narrow" w:cs="Arial Narrow" w:eastAsia="Arial Narrow" w:hint="default"/>
        </w:rPr>
        <w:t>1</w:t>
      </w:r>
      <w:r>
        <w:rPr/>
        <w:t>）营业收入</w:t>
      </w:r>
    </w:p>
    <w:p>
      <w:pPr>
        <w:spacing w:line="240" w:lineRule="auto" w:before="12"/>
        <w:rPr>
          <w:rFonts w:ascii="宋体" w:hAnsi="宋体" w:cs="宋体" w:eastAsia="宋体" w:hint="default"/>
          <w:sz w:val="22"/>
          <w:szCs w:val="22"/>
        </w:rPr>
      </w:pPr>
    </w:p>
    <w:tbl>
      <w:tblPr>
        <w:tblW w:w="0" w:type="auto"/>
        <w:jc w:val="left"/>
        <w:tblInd w:w="532" w:type="dxa"/>
        <w:tblLayout w:type="fixed"/>
        <w:tblCellMar>
          <w:top w:w="0" w:type="dxa"/>
          <w:left w:w="0" w:type="dxa"/>
          <w:bottom w:w="0" w:type="dxa"/>
          <w:right w:w="0" w:type="dxa"/>
        </w:tblCellMar>
        <w:tblLook w:val="01E0"/>
      </w:tblPr>
      <w:tblGrid>
        <w:gridCol w:w="3082"/>
        <w:gridCol w:w="3748"/>
        <w:gridCol w:w="2306"/>
      </w:tblGrid>
      <w:tr>
        <w:trPr>
          <w:trHeight w:val="394" w:hRule="exact"/>
        </w:trPr>
        <w:tc>
          <w:tcPr>
            <w:tcW w:w="3082"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07" w:lineRule="exact"/>
              <w:ind w:left="107"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3748"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847"/>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2306"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103"/>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9" w:hRule="exact"/>
        </w:trPr>
        <w:tc>
          <w:tcPr>
            <w:tcW w:w="3082" w:type="dxa"/>
            <w:tcBorders>
              <w:top w:val="single" w:sz="4" w:space="0" w:color="000000"/>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74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844"/>
              <w:jc w:val="right"/>
              <w:rPr>
                <w:rFonts w:ascii="Arial Narrow" w:hAnsi="Arial Narrow" w:cs="Arial Narrow" w:eastAsia="Arial Narrow" w:hint="default"/>
                <w:sz w:val="24"/>
                <w:szCs w:val="24"/>
              </w:rPr>
            </w:pPr>
            <w:r>
              <w:rPr>
                <w:rFonts w:ascii="Arial Narrow"/>
                <w:spacing w:val="-1"/>
                <w:sz w:val="24"/>
              </w:rPr>
              <w:t>261,084,007.47</w:t>
            </w:r>
          </w:p>
        </w:tc>
        <w:tc>
          <w:tcPr>
            <w:tcW w:w="230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4"/>
              <w:jc w:val="right"/>
              <w:rPr>
                <w:rFonts w:ascii="Arial Narrow" w:hAnsi="Arial Narrow" w:cs="Arial Narrow" w:eastAsia="Arial Narrow" w:hint="default"/>
                <w:sz w:val="24"/>
                <w:szCs w:val="24"/>
              </w:rPr>
            </w:pPr>
            <w:r>
              <w:rPr>
                <w:rFonts w:ascii="Arial Narrow"/>
                <w:spacing w:val="-2"/>
                <w:sz w:val="24"/>
              </w:rPr>
              <w:t>176,192,811.43</w:t>
            </w:r>
          </w:p>
        </w:tc>
      </w:tr>
      <w:tr>
        <w:trPr>
          <w:trHeight w:val="394"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309" w:lineRule="exact"/>
              <w:ind w:left="107"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7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4"/>
              <w:jc w:val="right"/>
              <w:rPr>
                <w:rFonts w:ascii="Arial Narrow" w:hAnsi="Arial Narrow" w:cs="Arial Narrow" w:eastAsia="Arial Narrow" w:hint="default"/>
                <w:sz w:val="24"/>
                <w:szCs w:val="24"/>
              </w:rPr>
            </w:pPr>
            <w:r>
              <w:rPr>
                <w:rFonts w:ascii="Arial Narrow"/>
                <w:spacing w:val="-1"/>
                <w:sz w:val="24"/>
              </w:rPr>
              <w:t>1,215,500.00</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2"/>
              <w:jc w:val="right"/>
              <w:rPr>
                <w:rFonts w:ascii="Arial Narrow" w:hAnsi="Arial Narrow" w:cs="Arial Narrow" w:eastAsia="Arial Narrow" w:hint="default"/>
                <w:sz w:val="24"/>
                <w:szCs w:val="24"/>
              </w:rPr>
            </w:pPr>
            <w:r>
              <w:rPr>
                <w:rFonts w:ascii="Arial Narrow"/>
                <w:sz w:val="24"/>
              </w:rPr>
              <w:t>-</w:t>
            </w:r>
          </w:p>
        </w:tc>
      </w:tr>
      <w:tr>
        <w:trPr>
          <w:trHeight w:val="403" w:hRule="exact"/>
        </w:trPr>
        <w:tc>
          <w:tcPr>
            <w:tcW w:w="3082" w:type="dxa"/>
            <w:tcBorders>
              <w:top w:val="nil" w:sz="6" w:space="0" w:color="auto"/>
              <w:left w:val="nil" w:sz="6" w:space="0" w:color="auto"/>
              <w:bottom w:val="single" w:sz="8" w:space="0" w:color="000000"/>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3748"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844"/>
              <w:jc w:val="right"/>
              <w:rPr>
                <w:rFonts w:ascii="Arial Narrow" w:hAnsi="Arial Narrow" w:cs="Arial Narrow" w:eastAsia="Arial Narrow" w:hint="default"/>
                <w:sz w:val="24"/>
                <w:szCs w:val="24"/>
              </w:rPr>
            </w:pPr>
            <w:r>
              <w:rPr>
                <w:rFonts w:ascii="Arial Narrow"/>
                <w:spacing w:val="-1"/>
                <w:sz w:val="24"/>
              </w:rPr>
              <w:t>64,585,381.78</w:t>
            </w:r>
          </w:p>
        </w:tc>
        <w:tc>
          <w:tcPr>
            <w:tcW w:w="2306"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3"/>
              <w:jc w:val="right"/>
              <w:rPr>
                <w:rFonts w:ascii="Arial Narrow" w:hAnsi="Arial Narrow" w:cs="Arial Narrow" w:eastAsia="Arial Narrow" w:hint="default"/>
                <w:sz w:val="24"/>
                <w:szCs w:val="24"/>
              </w:rPr>
            </w:pPr>
            <w:r>
              <w:rPr>
                <w:rFonts w:ascii="Arial Narrow"/>
                <w:spacing w:val="-2"/>
                <w:sz w:val="24"/>
              </w:rPr>
              <w:t>46,692,075.11</w:t>
            </w:r>
          </w:p>
        </w:tc>
      </w:tr>
    </w:tbl>
    <w:p>
      <w:pPr>
        <w:spacing w:line="240" w:lineRule="auto" w:before="11"/>
        <w:rPr>
          <w:rFonts w:ascii="宋体" w:hAnsi="宋体" w:cs="宋体" w:eastAsia="宋体" w:hint="default"/>
          <w:sz w:val="6"/>
          <w:szCs w:val="6"/>
        </w:rPr>
      </w:pPr>
    </w:p>
    <w:p>
      <w:pPr>
        <w:pStyle w:val="BodyText"/>
        <w:spacing w:line="240" w:lineRule="auto" w:before="26"/>
        <w:ind w:left="530" w:right="87"/>
        <w:jc w:val="left"/>
      </w:pPr>
      <w:r>
        <w:rPr/>
        <w:t>（</w:t>
      </w:r>
      <w:r>
        <w:rPr>
          <w:rFonts w:ascii="Arial Narrow" w:hAnsi="Arial Narrow" w:cs="Arial Narrow" w:eastAsia="Arial Narrow" w:hint="default"/>
        </w:rPr>
        <w:t>2</w:t>
      </w:r>
      <w:r>
        <w:rPr/>
        <w:t>）主营业务（分行业）</w:t>
      </w:r>
    </w:p>
    <w:p>
      <w:pPr>
        <w:spacing w:line="240" w:lineRule="auto" w:before="1"/>
        <w:rPr>
          <w:rFonts w:ascii="宋体" w:hAnsi="宋体" w:cs="宋体" w:eastAsia="宋体" w:hint="default"/>
          <w:sz w:val="23"/>
          <w:szCs w:val="23"/>
        </w:rPr>
      </w:pPr>
    </w:p>
    <w:p>
      <w:pPr>
        <w:spacing w:line="20" w:lineRule="exact"/>
        <w:ind w:left="523"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1808;height:2" coordorigin="10,10" coordsize="1808,2">
              <v:shape style="position:absolute;left:10;top:10;width:1808;height:2" coordorigin="10,10" coordsize="1808,0" path="m10,10l1817,10e" filled="false" stroked="true" strokeweight=".96001pt" strokecolor="#000000">
                <v:path arrowok="t"/>
              </v:shape>
            </v:group>
            <v:group style="position:absolute;left:1817;top:10;width:20;height:2" coordorigin="1817,10" coordsize="20,2">
              <v:shape style="position:absolute;left:1817;top:10;width:20;height:2" coordorigin="1817,10" coordsize="20,0" path="m1817,10l1836,10e" filled="false" stroked="true" strokeweight=".96001pt" strokecolor="#000000">
                <v:path arrowok="t"/>
              </v:shape>
            </v:group>
            <v:group style="position:absolute;left:1836;top:10;width:3645;height:2" coordorigin="1836,10" coordsize="3645,2">
              <v:shape style="position:absolute;left:1836;top:10;width:3645;height:2" coordorigin="1836,10" coordsize="3645,0" path="m1836,10l5481,10e" filled="false" stroked="true" strokeweight=".96001pt" strokecolor="#000000">
                <v:path arrowok="t"/>
              </v:shape>
            </v:group>
            <v:group style="position:absolute;left:5481;top:10;width:20;height:2" coordorigin="5481,10" coordsize="20,2">
              <v:shape style="position:absolute;left:5481;top:10;width:20;height:2" coordorigin="5481,10" coordsize="20,0" path="m5481,10l5500,10e" filled="false" stroked="true" strokeweight=".96001pt" strokecolor="#000000">
                <v:path arrowok="t"/>
              </v:shape>
            </v:group>
            <v:group style="position:absolute;left:5500;top:10;width:3646;height:2" coordorigin="5500,10" coordsize="3646,2">
              <v:shape style="position:absolute;left:5500;top:10;width:3646;height:2" coordorigin="5500,10" coordsize="3646,0" path="m5500,10l9146,10e" filled="false" stroked="true" strokeweight=".96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headerReference w:type="default" r:id="rId71"/>
          <w:footerReference w:type="default" r:id="rId72"/>
          <w:pgSz w:w="11910" w:h="16840"/>
          <w:pgMar w:header="884" w:footer="929" w:top="1100" w:bottom="1120" w:left="600" w:right="920"/>
          <w:pgNumType w:start="171"/>
        </w:sectPr>
      </w:pPr>
    </w:p>
    <w:p>
      <w:pPr>
        <w:spacing w:line="240" w:lineRule="auto" w:before="8"/>
        <w:rPr>
          <w:rFonts w:ascii="宋体" w:hAnsi="宋体" w:cs="宋体" w:eastAsia="宋体" w:hint="default"/>
          <w:sz w:val="16"/>
          <w:szCs w:val="16"/>
        </w:rPr>
      </w:pPr>
    </w:p>
    <w:p>
      <w:pPr>
        <w:spacing w:before="0"/>
        <w:ind w:left="640" w:right="-18" w:firstLine="0"/>
        <w:jc w:val="left"/>
        <w:rPr>
          <w:rFonts w:ascii="宋体" w:hAnsi="宋体" w:cs="宋体" w:eastAsia="宋体" w:hint="default"/>
          <w:sz w:val="21"/>
          <w:szCs w:val="21"/>
        </w:rPr>
      </w:pPr>
      <w:r>
        <w:rPr/>
        <w:pict>
          <v:shape style="position:absolute;margin-left:56.639999pt;margin-top:12.548645pt;width:456.85pt;height:36.6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2"/>
                    <w:gridCol w:w="2466"/>
                    <w:gridCol w:w="1791"/>
                    <w:gridCol w:w="1882"/>
                    <w:gridCol w:w="1566"/>
                  </w:tblGrid>
                  <w:tr>
                    <w:trPr>
                      <w:trHeight w:val="311" w:hRule="exact"/>
                    </w:trPr>
                    <w:tc>
                      <w:tcPr>
                        <w:tcW w:w="1432" w:type="dxa"/>
                        <w:tcBorders>
                          <w:top w:val="nil" w:sz="6" w:space="0" w:color="auto"/>
                          <w:left w:val="nil" w:sz="6" w:space="0" w:color="auto"/>
                          <w:bottom w:val="single" w:sz="4" w:space="0" w:color="000000"/>
                          <w:right w:val="nil" w:sz="6" w:space="0" w:color="auto"/>
                        </w:tcBorders>
                      </w:tcPr>
                      <w:p>
                        <w:pPr/>
                      </w:p>
                    </w:tc>
                    <w:tc>
                      <w:tcPr>
                        <w:tcW w:w="2466" w:type="dxa"/>
                        <w:tcBorders>
                          <w:top w:val="nil" w:sz="6" w:space="0" w:color="auto"/>
                          <w:left w:val="nil" w:sz="6" w:space="0" w:color="auto"/>
                          <w:bottom w:val="single" w:sz="4" w:space="0" w:color="000000"/>
                          <w:right w:val="nil" w:sz="6" w:space="0" w:color="auto"/>
                        </w:tcBorders>
                      </w:tcPr>
                      <w:p>
                        <w:pPr>
                          <w:pStyle w:val="TableParagraph"/>
                          <w:spacing w:line="211" w:lineRule="exact"/>
                          <w:ind w:right="361"/>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91" w:type="dxa"/>
                        <w:tcBorders>
                          <w:top w:val="nil" w:sz="6" w:space="0" w:color="auto"/>
                          <w:left w:val="nil" w:sz="6" w:space="0" w:color="auto"/>
                          <w:bottom w:val="single" w:sz="4" w:space="0" w:color="000000"/>
                          <w:right w:val="nil" w:sz="6" w:space="0" w:color="auto"/>
                        </w:tcBorders>
                      </w:tcPr>
                      <w:p>
                        <w:pPr>
                          <w:pStyle w:val="TableParagraph"/>
                          <w:spacing w:line="211" w:lineRule="exact"/>
                          <w:ind w:right="322"/>
                          <w:jc w:val="righ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882" w:type="dxa"/>
                        <w:tcBorders>
                          <w:top w:val="nil" w:sz="6" w:space="0" w:color="auto"/>
                          <w:left w:val="nil" w:sz="6" w:space="0" w:color="auto"/>
                          <w:bottom w:val="single" w:sz="4" w:space="0" w:color="000000"/>
                          <w:right w:val="nil" w:sz="6" w:space="0" w:color="auto"/>
                        </w:tcBorders>
                      </w:tcPr>
                      <w:p>
                        <w:pPr>
                          <w:pStyle w:val="TableParagraph"/>
                          <w:spacing w:line="211" w:lineRule="exact"/>
                          <w:ind w:right="369"/>
                          <w:jc w:val="righ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66" w:type="dxa"/>
                        <w:tcBorders>
                          <w:top w:val="nil" w:sz="6" w:space="0" w:color="auto"/>
                          <w:left w:val="nil" w:sz="6" w:space="0" w:color="auto"/>
                          <w:bottom w:val="single" w:sz="4" w:space="0" w:color="000000"/>
                          <w:right w:val="nil" w:sz="6" w:space="0" w:color="auto"/>
                        </w:tcBorders>
                      </w:tcPr>
                      <w:p>
                        <w:pPr>
                          <w:pStyle w:val="TableParagraph"/>
                          <w:spacing w:line="211" w:lineRule="exact"/>
                          <w:ind w:right="101"/>
                          <w:jc w:val="righ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401" w:hRule="exact"/>
                    </w:trPr>
                    <w:tc>
                      <w:tcPr>
                        <w:tcW w:w="1432"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466"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362"/>
                          <w:jc w:val="right"/>
                          <w:rPr>
                            <w:rFonts w:ascii="Arial Narrow" w:hAnsi="Arial Narrow" w:cs="Arial Narrow" w:eastAsia="Arial Narrow" w:hint="default"/>
                            <w:sz w:val="21"/>
                            <w:szCs w:val="21"/>
                          </w:rPr>
                        </w:pPr>
                        <w:r>
                          <w:rPr>
                            <w:rFonts w:ascii="Arial Narrow"/>
                            <w:spacing w:val="-1"/>
                            <w:sz w:val="21"/>
                          </w:rPr>
                          <w:t>261,084,007.47</w:t>
                        </w:r>
                        <w:r>
                          <w:rPr>
                            <w:rFonts w:ascii="Arial Narrow"/>
                            <w:sz w:val="21"/>
                          </w:rPr>
                        </w:r>
                      </w:p>
                    </w:tc>
                    <w:tc>
                      <w:tcPr>
                        <w:tcW w:w="1791"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321"/>
                          <w:jc w:val="right"/>
                          <w:rPr>
                            <w:rFonts w:ascii="Arial Narrow" w:hAnsi="Arial Narrow" w:cs="Arial Narrow" w:eastAsia="Arial Narrow" w:hint="default"/>
                            <w:sz w:val="21"/>
                            <w:szCs w:val="21"/>
                          </w:rPr>
                        </w:pPr>
                        <w:r>
                          <w:rPr>
                            <w:rFonts w:ascii="Arial Narrow"/>
                            <w:spacing w:val="-1"/>
                            <w:sz w:val="21"/>
                          </w:rPr>
                          <w:t>64,585,381.78</w:t>
                        </w:r>
                        <w:r>
                          <w:rPr>
                            <w:rFonts w:ascii="Arial Narrow"/>
                            <w:sz w:val="21"/>
                          </w:rPr>
                        </w:r>
                      </w:p>
                    </w:tc>
                    <w:tc>
                      <w:tcPr>
                        <w:tcW w:w="1882"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369"/>
                          <w:jc w:val="right"/>
                          <w:rPr>
                            <w:rFonts w:ascii="Arial Narrow" w:hAnsi="Arial Narrow" w:cs="Arial Narrow" w:eastAsia="Arial Narrow" w:hint="default"/>
                            <w:sz w:val="21"/>
                            <w:szCs w:val="21"/>
                          </w:rPr>
                        </w:pPr>
                        <w:r>
                          <w:rPr>
                            <w:rFonts w:ascii="Arial Narrow"/>
                            <w:spacing w:val="-2"/>
                            <w:sz w:val="21"/>
                          </w:rPr>
                          <w:t>176,192,811.43</w:t>
                        </w:r>
                        <w:r>
                          <w:rPr>
                            <w:rFonts w:ascii="Arial Narrow"/>
                            <w:sz w:val="21"/>
                          </w:rPr>
                        </w:r>
                      </w:p>
                    </w:tc>
                    <w:tc>
                      <w:tcPr>
                        <w:tcW w:w="1566"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00"/>
                          <w:jc w:val="right"/>
                          <w:rPr>
                            <w:rFonts w:ascii="Arial Narrow" w:hAnsi="Arial Narrow" w:cs="Arial Narrow" w:eastAsia="Arial Narrow" w:hint="default"/>
                            <w:sz w:val="21"/>
                            <w:szCs w:val="21"/>
                          </w:rPr>
                        </w:pPr>
                        <w:r>
                          <w:rPr>
                            <w:rFonts w:ascii="Arial Narrow"/>
                            <w:spacing w:val="-2"/>
                            <w:sz w:val="21"/>
                          </w:rPr>
                          <w:t>46,692,075.11</w:t>
                        </w:r>
                      </w:p>
                    </w:tc>
                  </w:tr>
                </w:tbl>
                <w:p>
                  <w:pPr/>
                </w:p>
              </w:txbxContent>
            </v:textbox>
            <w10:wrap type="none"/>
          </v:shape>
        </w:pict>
      </w:r>
      <w:r>
        <w:rPr>
          <w:rFonts w:ascii="宋体" w:hAnsi="宋体" w:cs="宋体" w:eastAsia="宋体" w:hint="default"/>
          <w:b/>
          <w:bCs/>
          <w:sz w:val="21"/>
          <w:szCs w:val="21"/>
        </w:rPr>
        <w:t>行业名称</w:t>
      </w:r>
      <w:r>
        <w:rPr>
          <w:rFonts w:ascii="宋体" w:hAnsi="宋体" w:cs="宋体" w:eastAsia="宋体" w:hint="default"/>
          <w:sz w:val="21"/>
          <w:szCs w:val="21"/>
        </w:rPr>
      </w:r>
    </w:p>
    <w:p>
      <w:pPr>
        <w:tabs>
          <w:tab w:pos="4305" w:val="left" w:leader="none"/>
        </w:tabs>
        <w:spacing w:before="18"/>
        <w:ind w:left="640"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本期发生额</w:t>
        <w:tab/>
        <w:t>上期发生额</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440" w:bottom="280" w:left="600" w:right="920"/>
          <w:cols w:num="2" w:equalWidth="0">
            <w:col w:w="1486" w:space="1520"/>
            <w:col w:w="7384"/>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BodyText"/>
        <w:spacing w:line="240" w:lineRule="auto" w:before="26"/>
        <w:ind w:left="530" w:right="87"/>
        <w:jc w:val="left"/>
      </w:pPr>
      <w:r>
        <w:rPr/>
        <w:t>（</w:t>
      </w:r>
      <w:r>
        <w:rPr>
          <w:rFonts w:ascii="Arial Narrow" w:hAnsi="Arial Narrow" w:cs="Arial Narrow" w:eastAsia="Arial Narrow" w:hint="default"/>
        </w:rPr>
        <w:t>3</w:t>
      </w:r>
      <w:r>
        <w:rPr/>
        <w:t>）主营业务（分产品）</w:t>
      </w:r>
    </w:p>
    <w:p>
      <w:pPr>
        <w:spacing w:line="240" w:lineRule="auto" w:before="1"/>
        <w:rPr>
          <w:rFonts w:ascii="宋体" w:hAnsi="宋体" w:cs="宋体" w:eastAsia="宋体" w:hint="default"/>
          <w:sz w:val="23"/>
          <w:szCs w:val="23"/>
        </w:rPr>
      </w:pPr>
    </w:p>
    <w:tbl>
      <w:tblPr>
        <w:tblW w:w="0" w:type="auto"/>
        <w:jc w:val="left"/>
        <w:tblInd w:w="518" w:type="dxa"/>
        <w:tblLayout w:type="fixed"/>
        <w:tblCellMar>
          <w:top w:w="0" w:type="dxa"/>
          <w:left w:w="0" w:type="dxa"/>
          <w:bottom w:w="0" w:type="dxa"/>
          <w:right w:w="0" w:type="dxa"/>
        </w:tblCellMar>
        <w:tblLook w:val="01E0"/>
      </w:tblPr>
      <w:tblGrid>
        <w:gridCol w:w="2032"/>
        <w:gridCol w:w="2233"/>
        <w:gridCol w:w="1431"/>
        <w:gridCol w:w="1882"/>
        <w:gridCol w:w="1572"/>
      </w:tblGrid>
      <w:tr>
        <w:trPr>
          <w:trHeight w:val="295" w:hRule="exact"/>
        </w:trPr>
        <w:tc>
          <w:tcPr>
            <w:tcW w:w="2032" w:type="dxa"/>
            <w:tcBorders>
              <w:top w:val="single" w:sz="8" w:space="0" w:color="000000"/>
              <w:left w:val="nil" w:sz="6" w:space="0" w:color="auto"/>
              <w:bottom w:val="nil" w:sz="6" w:space="0" w:color="auto"/>
              <w:right w:val="nil" w:sz="6" w:space="0" w:color="auto"/>
            </w:tcBorders>
          </w:tcPr>
          <w:p>
            <w:pPr/>
          </w:p>
        </w:tc>
        <w:tc>
          <w:tcPr>
            <w:tcW w:w="2233" w:type="dxa"/>
            <w:tcBorders>
              <w:top w:val="single" w:sz="8" w:space="0" w:color="000000"/>
              <w:left w:val="nil" w:sz="6" w:space="0" w:color="auto"/>
              <w:bottom w:val="nil" w:sz="6" w:space="0" w:color="auto"/>
              <w:right w:val="nil" w:sz="6" w:space="0" w:color="auto"/>
            </w:tcBorders>
          </w:tcPr>
          <w:p>
            <w:pPr>
              <w:pStyle w:val="TableParagraph"/>
              <w:spacing w:line="307" w:lineRule="exact"/>
              <w:ind w:left="1019"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1431" w:type="dxa"/>
            <w:tcBorders>
              <w:top w:val="single" w:sz="8" w:space="0" w:color="000000"/>
              <w:left w:val="nil" w:sz="6" w:space="0" w:color="auto"/>
              <w:bottom w:val="nil" w:sz="6" w:space="0" w:color="auto"/>
              <w:right w:val="nil" w:sz="6" w:space="0" w:color="auto"/>
            </w:tcBorders>
          </w:tcPr>
          <w:p>
            <w:pPr/>
          </w:p>
        </w:tc>
        <w:tc>
          <w:tcPr>
            <w:tcW w:w="3454" w:type="dxa"/>
            <w:gridSpan w:val="2"/>
            <w:tcBorders>
              <w:top w:val="single" w:sz="8" w:space="0" w:color="000000"/>
              <w:left w:val="nil" w:sz="6" w:space="0" w:color="auto"/>
              <w:bottom w:val="nil" w:sz="6" w:space="0" w:color="auto"/>
              <w:right w:val="nil" w:sz="6" w:space="0" w:color="auto"/>
            </w:tcBorders>
          </w:tcPr>
          <w:p>
            <w:pPr>
              <w:pStyle w:val="TableParagraph"/>
              <w:spacing w:line="307" w:lineRule="exact"/>
              <w:ind w:left="1019"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92" w:hRule="exact"/>
        </w:trPr>
        <w:tc>
          <w:tcPr>
            <w:tcW w:w="2032" w:type="dxa"/>
            <w:tcBorders>
              <w:top w:val="nil" w:sz="6" w:space="0" w:color="auto"/>
              <w:left w:val="nil" w:sz="6" w:space="0" w:color="auto"/>
              <w:bottom w:val="single" w:sz="4" w:space="0" w:color="000000"/>
              <w:right w:val="nil" w:sz="6" w:space="0" w:color="auto"/>
            </w:tcBorders>
          </w:tcPr>
          <w:p>
            <w:pPr>
              <w:pStyle w:val="TableParagraph"/>
              <w:spacing w:line="218" w:lineRule="exact"/>
              <w:ind w:left="122" w:right="0"/>
              <w:jc w:val="left"/>
              <w:rPr>
                <w:rFonts w:ascii="宋体" w:hAnsi="宋体" w:cs="宋体" w:eastAsia="宋体" w:hint="default"/>
                <w:sz w:val="24"/>
                <w:szCs w:val="24"/>
              </w:rPr>
            </w:pPr>
            <w:r>
              <w:rPr>
                <w:rFonts w:ascii="宋体" w:hAnsi="宋体" w:cs="宋体" w:eastAsia="宋体" w:hint="default"/>
                <w:b/>
                <w:bCs/>
                <w:sz w:val="24"/>
                <w:szCs w:val="24"/>
              </w:rPr>
              <w:t>产品名称</w:t>
            </w:r>
            <w:r>
              <w:rPr>
                <w:rFonts w:ascii="宋体" w:hAnsi="宋体" w:cs="宋体" w:eastAsia="宋体" w:hint="default"/>
                <w:sz w:val="24"/>
                <w:szCs w:val="24"/>
              </w:rPr>
            </w:r>
          </w:p>
        </w:tc>
        <w:tc>
          <w:tcPr>
            <w:tcW w:w="2233"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left="548" w:right="0"/>
              <w:jc w:val="left"/>
              <w:rPr>
                <w:rFonts w:ascii="宋体" w:hAnsi="宋体" w:cs="宋体" w:eastAsia="宋体" w:hint="default"/>
                <w:sz w:val="24"/>
                <w:szCs w:val="24"/>
              </w:rPr>
            </w:pPr>
            <w:r>
              <w:rPr>
                <w:rFonts w:ascii="宋体" w:hAnsi="宋体" w:cs="宋体" w:eastAsia="宋体" w:hint="default"/>
                <w:b/>
                <w:bCs/>
                <w:sz w:val="24"/>
                <w:szCs w:val="24"/>
              </w:rPr>
              <w:t>营业收入</w:t>
            </w:r>
            <w:r>
              <w:rPr>
                <w:rFonts w:ascii="宋体" w:hAnsi="宋体" w:cs="宋体" w:eastAsia="宋体" w:hint="default"/>
                <w:sz w:val="24"/>
                <w:szCs w:val="24"/>
              </w:rPr>
            </w:r>
          </w:p>
        </w:tc>
        <w:tc>
          <w:tcPr>
            <w:tcW w:w="1431"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318"/>
              <w:jc w:val="right"/>
              <w:rPr>
                <w:rFonts w:ascii="宋体" w:hAnsi="宋体" w:cs="宋体" w:eastAsia="宋体" w:hint="default"/>
                <w:sz w:val="24"/>
                <w:szCs w:val="24"/>
              </w:rPr>
            </w:pPr>
            <w:r>
              <w:rPr>
                <w:rFonts w:ascii="宋体" w:hAnsi="宋体" w:cs="宋体" w:eastAsia="宋体" w:hint="default"/>
                <w:b/>
                <w:bCs/>
                <w:sz w:val="24"/>
                <w:szCs w:val="24"/>
              </w:rPr>
              <w:t>营业成本</w:t>
            </w:r>
            <w:r>
              <w:rPr>
                <w:rFonts w:ascii="宋体" w:hAnsi="宋体" w:cs="宋体" w:eastAsia="宋体" w:hint="default"/>
                <w:sz w:val="24"/>
                <w:szCs w:val="24"/>
              </w:rPr>
            </w: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365"/>
              <w:jc w:val="right"/>
              <w:rPr>
                <w:rFonts w:ascii="宋体" w:hAnsi="宋体" w:cs="宋体" w:eastAsia="宋体" w:hint="default"/>
                <w:sz w:val="24"/>
                <w:szCs w:val="24"/>
              </w:rPr>
            </w:pPr>
            <w:r>
              <w:rPr>
                <w:rFonts w:ascii="宋体" w:hAnsi="宋体" w:cs="宋体" w:eastAsia="宋体" w:hint="default"/>
                <w:b/>
                <w:bCs/>
                <w:sz w:val="24"/>
                <w:szCs w:val="24"/>
              </w:rPr>
              <w:t>营业收入</w:t>
            </w:r>
            <w:r>
              <w:rPr>
                <w:rFonts w:ascii="宋体" w:hAnsi="宋体" w:cs="宋体" w:eastAsia="宋体" w:hint="default"/>
                <w:sz w:val="24"/>
                <w:szCs w:val="24"/>
              </w:rPr>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94"/>
              <w:ind w:right="103"/>
              <w:jc w:val="right"/>
              <w:rPr>
                <w:rFonts w:ascii="宋体" w:hAnsi="宋体" w:cs="宋体" w:eastAsia="宋体" w:hint="default"/>
                <w:sz w:val="24"/>
                <w:szCs w:val="24"/>
              </w:rPr>
            </w:pPr>
            <w:r>
              <w:rPr>
                <w:rFonts w:ascii="宋体" w:hAnsi="宋体" w:cs="宋体" w:eastAsia="宋体" w:hint="default"/>
                <w:b/>
                <w:bCs/>
                <w:sz w:val="24"/>
                <w:szCs w:val="24"/>
              </w:rPr>
              <w:t>营业成本</w:t>
            </w:r>
            <w:r>
              <w:rPr>
                <w:rFonts w:ascii="宋体" w:hAnsi="宋体" w:cs="宋体" w:eastAsia="宋体" w:hint="default"/>
                <w:sz w:val="24"/>
                <w:szCs w:val="24"/>
              </w:rPr>
            </w:r>
          </w:p>
        </w:tc>
      </w:tr>
      <w:tr>
        <w:trPr>
          <w:trHeight w:val="402" w:hRule="exact"/>
        </w:trPr>
        <w:tc>
          <w:tcPr>
            <w:tcW w:w="2032"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GIS</w:t>
            </w:r>
            <w:r>
              <w:rPr>
                <w:rFonts w:ascii="Arial Narrow" w:hAnsi="Arial Narrow" w:cs="Arial Narrow" w:eastAsia="Arial Narrow" w:hint="default"/>
                <w:spacing w:val="7"/>
                <w:sz w:val="21"/>
                <w:szCs w:val="21"/>
              </w:rPr>
              <w:t> </w:t>
            </w:r>
            <w:r>
              <w:rPr>
                <w:rFonts w:ascii="宋体" w:hAnsi="宋体" w:cs="宋体" w:eastAsia="宋体" w:hint="default"/>
                <w:sz w:val="21"/>
                <w:szCs w:val="21"/>
              </w:rPr>
              <w:t>软件</w:t>
            </w:r>
          </w:p>
        </w:tc>
        <w:tc>
          <w:tcPr>
            <w:tcW w:w="223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315" w:right="0"/>
              <w:jc w:val="left"/>
              <w:rPr>
                <w:rFonts w:ascii="Arial Narrow" w:hAnsi="Arial Narrow" w:cs="Arial Narrow" w:eastAsia="Arial Narrow" w:hint="default"/>
                <w:sz w:val="21"/>
                <w:szCs w:val="21"/>
              </w:rPr>
            </w:pPr>
            <w:r>
              <w:rPr>
                <w:rFonts w:ascii="Arial Narrow"/>
                <w:sz w:val="21"/>
              </w:rPr>
              <w:t>246,432,939.91</w:t>
            </w:r>
          </w:p>
        </w:tc>
        <w:tc>
          <w:tcPr>
            <w:tcW w:w="143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315"/>
              <w:jc w:val="right"/>
              <w:rPr>
                <w:rFonts w:ascii="Arial Narrow" w:hAnsi="Arial Narrow" w:cs="Arial Narrow" w:eastAsia="Arial Narrow" w:hint="default"/>
                <w:sz w:val="21"/>
                <w:szCs w:val="21"/>
              </w:rPr>
            </w:pPr>
            <w:r>
              <w:rPr>
                <w:rFonts w:ascii="Arial Narrow"/>
                <w:spacing w:val="-1"/>
                <w:sz w:val="21"/>
              </w:rPr>
              <w:t>53,101,930.41</w:t>
            </w:r>
            <w:r>
              <w:rPr>
                <w:rFonts w:ascii="Arial Narrow"/>
                <w:sz w:val="21"/>
              </w:rPr>
            </w:r>
          </w:p>
        </w:tc>
        <w:tc>
          <w:tcPr>
            <w:tcW w:w="188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363"/>
              <w:jc w:val="right"/>
              <w:rPr>
                <w:rFonts w:ascii="Arial Narrow" w:hAnsi="Arial Narrow" w:cs="Arial Narrow" w:eastAsia="Arial Narrow" w:hint="default"/>
                <w:sz w:val="21"/>
                <w:szCs w:val="21"/>
              </w:rPr>
            </w:pPr>
            <w:r>
              <w:rPr>
                <w:rFonts w:ascii="Arial Narrow"/>
                <w:spacing w:val="-1"/>
                <w:sz w:val="21"/>
              </w:rPr>
              <w:t>168,735,172.70</w:t>
            </w:r>
            <w:r>
              <w:rPr>
                <w:rFonts w:ascii="Arial Narrow"/>
                <w:sz w:val="21"/>
              </w:rPr>
            </w:r>
          </w:p>
        </w:tc>
        <w:tc>
          <w:tcPr>
            <w:tcW w:w="157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1"/>
              <w:jc w:val="right"/>
              <w:rPr>
                <w:rFonts w:ascii="Arial Narrow" w:hAnsi="Arial Narrow" w:cs="Arial Narrow" w:eastAsia="Arial Narrow" w:hint="default"/>
                <w:sz w:val="21"/>
                <w:szCs w:val="21"/>
              </w:rPr>
            </w:pPr>
            <w:r>
              <w:rPr>
                <w:rFonts w:ascii="Arial Narrow"/>
                <w:spacing w:val="-1"/>
                <w:sz w:val="21"/>
              </w:rPr>
              <w:t>41,715,759.36</w:t>
            </w:r>
            <w:r>
              <w:rPr>
                <w:rFonts w:ascii="Arial Narrow"/>
                <w:sz w:val="21"/>
              </w:rPr>
            </w:r>
          </w:p>
        </w:tc>
      </w:tr>
      <w:tr>
        <w:trPr>
          <w:trHeight w:val="393" w:hRule="exact"/>
        </w:trPr>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21"/>
                <w:szCs w:val="21"/>
              </w:rPr>
            </w:pPr>
            <w:r>
              <w:rPr>
                <w:rFonts w:ascii="Arial Narrow" w:hAnsi="Arial Narrow" w:cs="Arial Narrow" w:eastAsia="Arial Narrow" w:hint="default"/>
                <w:sz w:val="21"/>
                <w:szCs w:val="21"/>
              </w:rPr>
              <w:t>GIS</w:t>
            </w:r>
            <w:r>
              <w:rPr>
                <w:rFonts w:ascii="Arial Narrow" w:hAnsi="Arial Narrow" w:cs="Arial Narrow" w:eastAsia="Arial Narrow" w:hint="default"/>
                <w:spacing w:val="-14"/>
                <w:sz w:val="21"/>
                <w:szCs w:val="21"/>
              </w:rPr>
              <w:t> </w:t>
            </w:r>
            <w:r>
              <w:rPr>
                <w:rFonts w:ascii="宋体" w:hAnsi="宋体" w:cs="宋体" w:eastAsia="宋体" w:hint="default"/>
                <w:sz w:val="21"/>
                <w:szCs w:val="21"/>
              </w:rPr>
              <w:t>软件配套产品</w:t>
            </w:r>
          </w:p>
        </w:tc>
        <w:tc>
          <w:tcPr>
            <w:tcW w:w="223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411" w:right="0"/>
              <w:jc w:val="left"/>
              <w:rPr>
                <w:rFonts w:ascii="Arial Narrow" w:hAnsi="Arial Narrow" w:cs="Arial Narrow" w:eastAsia="Arial Narrow" w:hint="default"/>
                <w:sz w:val="21"/>
                <w:szCs w:val="21"/>
              </w:rPr>
            </w:pPr>
            <w:r>
              <w:rPr>
                <w:rFonts w:ascii="Arial Narrow"/>
                <w:sz w:val="21"/>
              </w:rPr>
              <w:t>14,651,067.56</w:t>
            </w:r>
          </w:p>
        </w:tc>
        <w:tc>
          <w:tcPr>
            <w:tcW w:w="143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14"/>
              <w:jc w:val="right"/>
              <w:rPr>
                <w:rFonts w:ascii="Arial Narrow" w:hAnsi="Arial Narrow" w:cs="Arial Narrow" w:eastAsia="Arial Narrow" w:hint="default"/>
                <w:sz w:val="21"/>
                <w:szCs w:val="21"/>
              </w:rPr>
            </w:pPr>
            <w:r>
              <w:rPr>
                <w:rFonts w:ascii="Arial Narrow"/>
                <w:spacing w:val="-2"/>
                <w:sz w:val="21"/>
              </w:rPr>
              <w:t>11,483,451.37</w:t>
            </w: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63"/>
              <w:jc w:val="right"/>
              <w:rPr>
                <w:rFonts w:ascii="Arial Narrow" w:hAnsi="Arial Narrow" w:cs="Arial Narrow" w:eastAsia="Arial Narrow" w:hint="default"/>
                <w:sz w:val="21"/>
                <w:szCs w:val="21"/>
              </w:rPr>
            </w:pPr>
            <w:r>
              <w:rPr>
                <w:rFonts w:ascii="Arial Narrow"/>
                <w:spacing w:val="-1"/>
                <w:sz w:val="21"/>
              </w:rPr>
              <w:t>7,457,638.73</w:t>
            </w:r>
            <w:r>
              <w:rPr>
                <w:rFonts w:ascii="Arial Narrow"/>
                <w:sz w:val="21"/>
              </w:rPr>
            </w:r>
          </w:p>
        </w:tc>
        <w:tc>
          <w:tcPr>
            <w:tcW w:w="157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1"/>
              <w:jc w:val="right"/>
              <w:rPr>
                <w:rFonts w:ascii="Arial Narrow" w:hAnsi="Arial Narrow" w:cs="Arial Narrow" w:eastAsia="Arial Narrow" w:hint="default"/>
                <w:sz w:val="21"/>
                <w:szCs w:val="21"/>
              </w:rPr>
            </w:pPr>
            <w:r>
              <w:rPr>
                <w:rFonts w:ascii="Arial Narrow"/>
                <w:spacing w:val="-1"/>
                <w:sz w:val="21"/>
              </w:rPr>
              <w:t>4,976,315.75</w:t>
            </w:r>
            <w:r>
              <w:rPr>
                <w:rFonts w:ascii="Arial Narrow"/>
                <w:sz w:val="21"/>
              </w:rPr>
            </w:r>
          </w:p>
        </w:tc>
      </w:tr>
      <w:tr>
        <w:trPr>
          <w:trHeight w:val="403" w:hRule="exact"/>
        </w:trPr>
        <w:tc>
          <w:tcPr>
            <w:tcW w:w="2032" w:type="dxa"/>
            <w:tcBorders>
              <w:top w:val="single" w:sz="4" w:space="0" w:color="000000"/>
              <w:left w:val="nil" w:sz="6" w:space="0" w:color="auto"/>
              <w:bottom w:val="single" w:sz="8" w:space="0" w:color="000000"/>
              <w:right w:val="nil" w:sz="6" w:space="0" w:color="auto"/>
            </w:tcBorders>
          </w:tcPr>
          <w:p>
            <w:pPr>
              <w:pStyle w:val="TableParagraph"/>
              <w:tabs>
                <w:tab w:pos="545" w:val="left" w:leader="none"/>
              </w:tabs>
              <w:spacing w:line="240" w:lineRule="auto" w:before="26"/>
              <w:ind w:left="122" w:right="0"/>
              <w:jc w:val="left"/>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233"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left="315" w:right="0"/>
              <w:jc w:val="left"/>
              <w:rPr>
                <w:rFonts w:ascii="Arial Narrow" w:hAnsi="Arial Narrow" w:cs="Arial Narrow" w:eastAsia="Arial Narrow" w:hint="default"/>
                <w:sz w:val="21"/>
                <w:szCs w:val="21"/>
              </w:rPr>
            </w:pPr>
            <w:r>
              <w:rPr>
                <w:rFonts w:ascii="Arial Narrow"/>
                <w:b/>
                <w:sz w:val="21"/>
              </w:rPr>
              <w:t>261,084,007.47</w:t>
            </w:r>
            <w:r>
              <w:rPr>
                <w:rFonts w:ascii="Arial Narrow"/>
                <w:sz w:val="21"/>
              </w:rPr>
            </w:r>
          </w:p>
        </w:tc>
        <w:tc>
          <w:tcPr>
            <w:tcW w:w="1431"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315"/>
              <w:jc w:val="right"/>
              <w:rPr>
                <w:rFonts w:ascii="Arial Narrow" w:hAnsi="Arial Narrow" w:cs="Arial Narrow" w:eastAsia="Arial Narrow" w:hint="default"/>
                <w:sz w:val="21"/>
                <w:szCs w:val="21"/>
              </w:rPr>
            </w:pPr>
            <w:r>
              <w:rPr>
                <w:rFonts w:ascii="Arial Narrow"/>
                <w:b/>
                <w:spacing w:val="-1"/>
                <w:sz w:val="21"/>
              </w:rPr>
              <w:t>64,585,381.78</w:t>
            </w:r>
            <w:r>
              <w:rPr>
                <w:rFonts w:ascii="Arial Narrow"/>
                <w:sz w:val="21"/>
              </w:rPr>
            </w:r>
          </w:p>
        </w:tc>
        <w:tc>
          <w:tcPr>
            <w:tcW w:w="1882"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363"/>
              <w:jc w:val="right"/>
              <w:rPr>
                <w:rFonts w:ascii="Arial Narrow" w:hAnsi="Arial Narrow" w:cs="Arial Narrow" w:eastAsia="Arial Narrow" w:hint="default"/>
                <w:sz w:val="21"/>
                <w:szCs w:val="21"/>
              </w:rPr>
            </w:pPr>
            <w:r>
              <w:rPr>
                <w:rFonts w:ascii="Arial Narrow"/>
                <w:b/>
                <w:spacing w:val="-2"/>
                <w:sz w:val="21"/>
              </w:rPr>
              <w:t>176,192,811.43</w:t>
            </w:r>
            <w:r>
              <w:rPr>
                <w:rFonts w:ascii="Arial Narrow"/>
                <w:sz w:val="21"/>
              </w:rPr>
            </w:r>
          </w:p>
        </w:tc>
        <w:tc>
          <w:tcPr>
            <w:tcW w:w="1572"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00"/>
              <w:jc w:val="right"/>
              <w:rPr>
                <w:rFonts w:ascii="Arial Narrow" w:hAnsi="Arial Narrow" w:cs="Arial Narrow" w:eastAsia="Arial Narrow" w:hint="default"/>
                <w:sz w:val="21"/>
                <w:szCs w:val="21"/>
              </w:rPr>
            </w:pPr>
            <w:r>
              <w:rPr>
                <w:rFonts w:ascii="Arial Narrow"/>
                <w:b/>
                <w:spacing w:val="-2"/>
                <w:sz w:val="21"/>
              </w:rPr>
              <w:t>46,692,075.11</w:t>
            </w:r>
            <w:r>
              <w:rPr>
                <w:rFonts w:ascii="Arial Narrow"/>
                <w:spacing w:val="-2"/>
                <w:sz w:val="21"/>
              </w:rPr>
            </w:r>
          </w:p>
        </w:tc>
      </w:tr>
    </w:tbl>
    <w:p>
      <w:pPr>
        <w:spacing w:line="240" w:lineRule="auto" w:before="11"/>
        <w:rPr>
          <w:rFonts w:ascii="宋体" w:hAnsi="宋体" w:cs="宋体" w:eastAsia="宋体" w:hint="default"/>
          <w:sz w:val="6"/>
          <w:szCs w:val="6"/>
        </w:rPr>
      </w:pPr>
    </w:p>
    <w:p>
      <w:pPr>
        <w:pStyle w:val="BodyText"/>
        <w:spacing w:line="240" w:lineRule="auto" w:before="26"/>
        <w:ind w:left="530" w:right="87"/>
        <w:jc w:val="left"/>
      </w:pPr>
      <w:r>
        <w:rPr/>
        <w:t>（</w:t>
      </w:r>
      <w:r>
        <w:rPr>
          <w:rFonts w:ascii="Arial Narrow" w:hAnsi="Arial Narrow" w:cs="Arial Narrow" w:eastAsia="Arial Narrow" w:hint="default"/>
        </w:rPr>
        <w:t>4</w:t>
      </w:r>
      <w:r>
        <w:rPr/>
        <w:t>）主营业务（分地区）</w:t>
      </w:r>
    </w:p>
    <w:p>
      <w:pPr>
        <w:spacing w:line="240" w:lineRule="auto" w:before="12"/>
        <w:rPr>
          <w:rFonts w:ascii="宋体" w:hAnsi="宋体" w:cs="宋体" w:eastAsia="宋体" w:hint="default"/>
          <w:sz w:val="22"/>
          <w:szCs w:val="22"/>
        </w:rPr>
      </w:pPr>
    </w:p>
    <w:tbl>
      <w:tblPr>
        <w:tblW w:w="0" w:type="auto"/>
        <w:jc w:val="left"/>
        <w:tblInd w:w="518" w:type="dxa"/>
        <w:tblLayout w:type="fixed"/>
        <w:tblCellMar>
          <w:top w:w="0" w:type="dxa"/>
          <w:left w:w="0" w:type="dxa"/>
          <w:bottom w:w="0" w:type="dxa"/>
          <w:right w:w="0" w:type="dxa"/>
        </w:tblCellMar>
        <w:tblLook w:val="01E0"/>
      </w:tblPr>
      <w:tblGrid>
        <w:gridCol w:w="1632"/>
        <w:gridCol w:w="2200"/>
        <w:gridCol w:w="1783"/>
        <w:gridCol w:w="1883"/>
        <w:gridCol w:w="1653"/>
      </w:tblGrid>
      <w:tr>
        <w:trPr>
          <w:trHeight w:val="297" w:hRule="exact"/>
        </w:trPr>
        <w:tc>
          <w:tcPr>
            <w:tcW w:w="1632" w:type="dxa"/>
            <w:tcBorders>
              <w:top w:val="single" w:sz="8" w:space="0" w:color="000000"/>
              <w:left w:val="nil" w:sz="6" w:space="0" w:color="auto"/>
              <w:bottom w:val="nil" w:sz="6" w:space="0" w:color="auto"/>
              <w:right w:val="nil" w:sz="6" w:space="0" w:color="auto"/>
            </w:tcBorders>
          </w:tcPr>
          <w:p>
            <w:pPr/>
          </w:p>
        </w:tc>
        <w:tc>
          <w:tcPr>
            <w:tcW w:w="3983" w:type="dxa"/>
            <w:gridSpan w:val="2"/>
            <w:tcBorders>
              <w:top w:val="single" w:sz="8" w:space="0" w:color="000000"/>
              <w:left w:val="nil" w:sz="6" w:space="0" w:color="auto"/>
              <w:bottom w:val="nil" w:sz="6" w:space="0" w:color="auto"/>
              <w:right w:val="nil" w:sz="6" w:space="0" w:color="auto"/>
            </w:tcBorders>
          </w:tcPr>
          <w:p>
            <w:pPr>
              <w:pStyle w:val="TableParagraph"/>
              <w:spacing w:line="307" w:lineRule="exact"/>
              <w:ind w:left="59" w:right="0"/>
              <w:jc w:val="center"/>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3535" w:type="dxa"/>
            <w:gridSpan w:val="2"/>
            <w:tcBorders>
              <w:top w:val="single" w:sz="8" w:space="0" w:color="000000"/>
              <w:left w:val="nil" w:sz="6" w:space="0" w:color="auto"/>
              <w:bottom w:val="nil" w:sz="6" w:space="0" w:color="auto"/>
              <w:right w:val="nil" w:sz="6" w:space="0" w:color="auto"/>
            </w:tcBorders>
          </w:tcPr>
          <w:p>
            <w:pPr>
              <w:pStyle w:val="TableParagraph"/>
              <w:spacing w:line="307" w:lineRule="exact"/>
              <w:ind w:left="1101" w:right="0"/>
              <w:jc w:val="lef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93" w:hRule="exact"/>
        </w:trPr>
        <w:tc>
          <w:tcPr>
            <w:tcW w:w="1632" w:type="dxa"/>
            <w:tcBorders>
              <w:top w:val="nil" w:sz="6" w:space="0" w:color="auto"/>
              <w:left w:val="nil" w:sz="6" w:space="0" w:color="auto"/>
              <w:bottom w:val="single" w:sz="4" w:space="0" w:color="000000"/>
              <w:right w:val="nil" w:sz="6" w:space="0" w:color="auto"/>
            </w:tcBorders>
          </w:tcPr>
          <w:p>
            <w:pPr>
              <w:pStyle w:val="TableParagraph"/>
              <w:spacing w:line="220" w:lineRule="exact"/>
              <w:ind w:left="122" w:right="0"/>
              <w:jc w:val="left"/>
              <w:rPr>
                <w:rFonts w:ascii="宋体" w:hAnsi="宋体" w:cs="宋体" w:eastAsia="宋体" w:hint="default"/>
                <w:sz w:val="24"/>
                <w:szCs w:val="24"/>
              </w:rPr>
            </w:pPr>
            <w:r>
              <w:rPr>
                <w:rFonts w:ascii="宋体" w:hAnsi="宋体" w:cs="宋体" w:eastAsia="宋体" w:hint="default"/>
                <w:b/>
                <w:bCs/>
                <w:sz w:val="24"/>
                <w:szCs w:val="24"/>
              </w:rPr>
              <w:t>地区名称</w:t>
            </w:r>
            <w:r>
              <w:rPr>
                <w:rFonts w:ascii="宋体" w:hAnsi="宋体" w:cs="宋体" w:eastAsia="宋体" w:hint="default"/>
                <w:sz w:val="24"/>
                <w:szCs w:val="24"/>
              </w:rPr>
            </w:r>
          </w:p>
        </w:tc>
        <w:tc>
          <w:tcPr>
            <w:tcW w:w="2200"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285"/>
              <w:jc w:val="right"/>
              <w:rPr>
                <w:rFonts w:ascii="宋体" w:hAnsi="宋体" w:cs="宋体" w:eastAsia="宋体" w:hint="default"/>
                <w:sz w:val="24"/>
                <w:szCs w:val="24"/>
              </w:rPr>
            </w:pPr>
            <w:r>
              <w:rPr>
                <w:rFonts w:ascii="宋体" w:hAnsi="宋体" w:cs="宋体" w:eastAsia="宋体" w:hint="default"/>
                <w:b/>
                <w:bCs/>
                <w:sz w:val="24"/>
                <w:szCs w:val="24"/>
              </w:rPr>
              <w:t>营业收入</w:t>
            </w:r>
            <w:r>
              <w:rPr>
                <w:rFonts w:ascii="宋体" w:hAnsi="宋体" w:cs="宋体" w:eastAsia="宋体" w:hint="default"/>
                <w:sz w:val="24"/>
                <w:szCs w:val="24"/>
              </w:rPr>
            </w: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236"/>
              <w:jc w:val="right"/>
              <w:rPr>
                <w:rFonts w:ascii="宋体" w:hAnsi="宋体" w:cs="宋体" w:eastAsia="宋体" w:hint="default"/>
                <w:sz w:val="24"/>
                <w:szCs w:val="24"/>
              </w:rPr>
            </w:pPr>
            <w:r>
              <w:rPr>
                <w:rFonts w:ascii="宋体" w:hAnsi="宋体" w:cs="宋体" w:eastAsia="宋体" w:hint="default"/>
                <w:b/>
                <w:bCs/>
                <w:sz w:val="24"/>
                <w:szCs w:val="24"/>
              </w:rPr>
              <w:t>营业成本</w:t>
            </w:r>
            <w:r>
              <w:rPr>
                <w:rFonts w:ascii="宋体" w:hAnsi="宋体" w:cs="宋体" w:eastAsia="宋体" w:hint="default"/>
                <w:sz w:val="24"/>
                <w:szCs w:val="24"/>
              </w:rPr>
            </w:r>
          </w:p>
        </w:tc>
        <w:tc>
          <w:tcPr>
            <w:tcW w:w="1883"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285"/>
              <w:jc w:val="right"/>
              <w:rPr>
                <w:rFonts w:ascii="宋体" w:hAnsi="宋体" w:cs="宋体" w:eastAsia="宋体" w:hint="default"/>
                <w:sz w:val="24"/>
                <w:szCs w:val="24"/>
              </w:rPr>
            </w:pPr>
            <w:r>
              <w:rPr>
                <w:rFonts w:ascii="宋体" w:hAnsi="宋体" w:cs="宋体" w:eastAsia="宋体" w:hint="default"/>
                <w:b/>
                <w:bCs/>
                <w:sz w:val="24"/>
                <w:szCs w:val="24"/>
              </w:rPr>
              <w:t>营业收入</w:t>
            </w:r>
            <w:r>
              <w:rPr>
                <w:rFonts w:ascii="宋体" w:hAnsi="宋体" w:cs="宋体" w:eastAsia="宋体" w:hint="default"/>
                <w:sz w:val="24"/>
                <w:szCs w:val="24"/>
              </w:rPr>
            </w: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3"/>
              <w:jc w:val="right"/>
              <w:rPr>
                <w:rFonts w:ascii="宋体" w:hAnsi="宋体" w:cs="宋体" w:eastAsia="宋体" w:hint="default"/>
                <w:sz w:val="24"/>
                <w:szCs w:val="24"/>
              </w:rPr>
            </w:pPr>
            <w:r>
              <w:rPr>
                <w:rFonts w:ascii="宋体" w:hAnsi="宋体" w:cs="宋体" w:eastAsia="宋体" w:hint="default"/>
                <w:b/>
                <w:bCs/>
                <w:sz w:val="24"/>
                <w:szCs w:val="24"/>
              </w:rPr>
              <w:t>营业成本</w:t>
            </w:r>
            <w:r>
              <w:rPr>
                <w:rFonts w:ascii="宋体" w:hAnsi="宋体" w:cs="宋体" w:eastAsia="宋体" w:hint="default"/>
                <w:sz w:val="24"/>
                <w:szCs w:val="24"/>
              </w:rPr>
            </w:r>
          </w:p>
        </w:tc>
      </w:tr>
      <w:tr>
        <w:trPr>
          <w:trHeight w:val="399" w:hRule="exact"/>
        </w:trPr>
        <w:tc>
          <w:tcPr>
            <w:tcW w:w="1632"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北京</w:t>
            </w:r>
          </w:p>
        </w:tc>
        <w:tc>
          <w:tcPr>
            <w:tcW w:w="220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5"/>
              <w:jc w:val="right"/>
              <w:rPr>
                <w:rFonts w:ascii="Arial Narrow" w:hAnsi="Arial Narrow" w:cs="Arial Narrow" w:eastAsia="Arial Narrow" w:hint="default"/>
                <w:sz w:val="24"/>
                <w:szCs w:val="24"/>
              </w:rPr>
            </w:pPr>
            <w:r>
              <w:rPr>
                <w:rFonts w:ascii="Arial Narrow"/>
                <w:spacing w:val="-1"/>
                <w:sz w:val="24"/>
              </w:rPr>
              <w:t>76,310,886.65</w:t>
            </w: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36"/>
              <w:jc w:val="right"/>
              <w:rPr>
                <w:rFonts w:ascii="Arial Narrow" w:hAnsi="Arial Narrow" w:cs="Arial Narrow" w:eastAsia="Arial Narrow" w:hint="default"/>
                <w:sz w:val="24"/>
                <w:szCs w:val="24"/>
              </w:rPr>
            </w:pPr>
            <w:r>
              <w:rPr>
                <w:rFonts w:ascii="Arial Narrow"/>
                <w:spacing w:val="-1"/>
                <w:sz w:val="24"/>
              </w:rPr>
              <w:t>10,159,209.51</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5"/>
              <w:jc w:val="right"/>
              <w:rPr>
                <w:rFonts w:ascii="Arial Narrow" w:hAnsi="Arial Narrow" w:cs="Arial Narrow" w:eastAsia="Arial Narrow" w:hint="default"/>
                <w:sz w:val="24"/>
                <w:szCs w:val="24"/>
              </w:rPr>
            </w:pPr>
            <w:r>
              <w:rPr>
                <w:rFonts w:ascii="Arial Narrow"/>
                <w:spacing w:val="-1"/>
                <w:sz w:val="24"/>
              </w:rPr>
              <w:t>71,840,848.83</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3"/>
              <w:jc w:val="right"/>
              <w:rPr>
                <w:rFonts w:ascii="Arial Narrow" w:hAnsi="Arial Narrow" w:cs="Arial Narrow" w:eastAsia="Arial Narrow" w:hint="default"/>
                <w:sz w:val="24"/>
                <w:szCs w:val="24"/>
              </w:rPr>
            </w:pPr>
            <w:r>
              <w:rPr>
                <w:rFonts w:ascii="Arial Narrow"/>
                <w:spacing w:val="-1"/>
                <w:sz w:val="24"/>
              </w:rPr>
              <w:t>19,038,224.55</w:t>
            </w:r>
          </w:p>
        </w:tc>
      </w:tr>
      <w:tr>
        <w:trPr>
          <w:trHeight w:val="395"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309" w:lineRule="exact"/>
              <w:ind w:left="122" w:right="0"/>
              <w:jc w:val="left"/>
              <w:rPr>
                <w:rFonts w:ascii="宋体" w:hAnsi="宋体" w:cs="宋体" w:eastAsia="宋体" w:hint="default"/>
                <w:sz w:val="24"/>
                <w:szCs w:val="24"/>
              </w:rPr>
            </w:pPr>
            <w:r>
              <w:rPr>
                <w:rFonts w:ascii="宋体" w:hAnsi="宋体" w:cs="宋体" w:eastAsia="宋体" w:hint="default"/>
                <w:sz w:val="24"/>
                <w:szCs w:val="24"/>
              </w:rPr>
              <w:t>东北</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4"/>
              <w:jc w:val="right"/>
              <w:rPr>
                <w:rFonts w:ascii="Arial Narrow" w:hAnsi="Arial Narrow" w:cs="Arial Narrow" w:eastAsia="Arial Narrow" w:hint="default"/>
                <w:sz w:val="24"/>
                <w:szCs w:val="24"/>
              </w:rPr>
            </w:pPr>
            <w:r>
              <w:rPr>
                <w:rFonts w:ascii="Arial Narrow"/>
                <w:spacing w:val="-1"/>
                <w:sz w:val="24"/>
              </w:rPr>
              <w:t>7,657,707.76</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36"/>
              <w:jc w:val="right"/>
              <w:rPr>
                <w:rFonts w:ascii="Arial Narrow" w:hAnsi="Arial Narrow" w:cs="Arial Narrow" w:eastAsia="Arial Narrow" w:hint="default"/>
                <w:sz w:val="24"/>
                <w:szCs w:val="24"/>
              </w:rPr>
            </w:pPr>
            <w:r>
              <w:rPr>
                <w:rFonts w:ascii="Arial Narrow"/>
                <w:spacing w:val="-1"/>
                <w:sz w:val="24"/>
              </w:rPr>
              <w:t>1,492,325.71</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5"/>
              <w:jc w:val="right"/>
              <w:rPr>
                <w:rFonts w:ascii="Arial Narrow" w:hAnsi="Arial Narrow" w:cs="Arial Narrow" w:eastAsia="Arial Narrow" w:hint="default"/>
                <w:sz w:val="24"/>
                <w:szCs w:val="24"/>
              </w:rPr>
            </w:pPr>
            <w:r>
              <w:rPr>
                <w:rFonts w:ascii="Arial Narrow"/>
                <w:spacing w:val="-1"/>
                <w:sz w:val="24"/>
              </w:rPr>
              <w:t>6,269,601.01</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
              <w:jc w:val="right"/>
              <w:rPr>
                <w:rFonts w:ascii="Arial Narrow" w:hAnsi="Arial Narrow" w:cs="Arial Narrow" w:eastAsia="Arial Narrow" w:hint="default"/>
                <w:sz w:val="24"/>
                <w:szCs w:val="24"/>
              </w:rPr>
            </w:pPr>
            <w:r>
              <w:rPr>
                <w:rFonts w:ascii="Arial Narrow"/>
                <w:spacing w:val="-1"/>
                <w:sz w:val="24"/>
              </w:rPr>
              <w:t>1,661,479.14</w:t>
            </w:r>
          </w:p>
        </w:tc>
      </w:tr>
      <w:tr>
        <w:trPr>
          <w:trHeight w:val="398"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华北</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5"/>
              <w:jc w:val="right"/>
              <w:rPr>
                <w:rFonts w:ascii="Arial Narrow" w:hAnsi="Arial Narrow" w:cs="Arial Narrow" w:eastAsia="Arial Narrow" w:hint="default"/>
                <w:sz w:val="24"/>
                <w:szCs w:val="24"/>
              </w:rPr>
            </w:pPr>
            <w:r>
              <w:rPr>
                <w:rFonts w:ascii="Arial Narrow"/>
                <w:spacing w:val="-1"/>
                <w:sz w:val="24"/>
              </w:rPr>
              <w:t>33,803,293.34</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6"/>
              <w:jc w:val="right"/>
              <w:rPr>
                <w:rFonts w:ascii="Arial Narrow" w:hAnsi="Arial Narrow" w:cs="Arial Narrow" w:eastAsia="Arial Narrow" w:hint="default"/>
                <w:sz w:val="24"/>
                <w:szCs w:val="24"/>
              </w:rPr>
            </w:pPr>
            <w:r>
              <w:rPr>
                <w:rFonts w:ascii="Arial Narrow"/>
                <w:spacing w:val="-1"/>
                <w:sz w:val="24"/>
              </w:rPr>
              <w:t>12,543,654.02</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5"/>
              <w:jc w:val="right"/>
              <w:rPr>
                <w:rFonts w:ascii="Arial Narrow" w:hAnsi="Arial Narrow" w:cs="Arial Narrow" w:eastAsia="Arial Narrow" w:hint="default"/>
                <w:sz w:val="24"/>
                <w:szCs w:val="24"/>
              </w:rPr>
            </w:pPr>
            <w:r>
              <w:rPr>
                <w:rFonts w:ascii="Arial Narrow"/>
                <w:spacing w:val="-1"/>
                <w:sz w:val="24"/>
              </w:rPr>
              <w:t>18,176,265.86</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Arial Narrow" w:hAnsi="Arial Narrow" w:cs="Arial Narrow" w:eastAsia="Arial Narrow" w:hint="default"/>
                <w:sz w:val="24"/>
                <w:szCs w:val="24"/>
              </w:rPr>
            </w:pPr>
            <w:r>
              <w:rPr>
                <w:rFonts w:ascii="Arial Narrow"/>
                <w:spacing w:val="-2"/>
                <w:sz w:val="24"/>
              </w:rPr>
              <w:t>4,816,811.56</w:t>
            </w:r>
          </w:p>
        </w:tc>
      </w:tr>
      <w:tr>
        <w:trPr>
          <w:trHeight w:val="398"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华东</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5"/>
              <w:jc w:val="right"/>
              <w:rPr>
                <w:rFonts w:ascii="Arial Narrow" w:hAnsi="Arial Narrow" w:cs="Arial Narrow" w:eastAsia="Arial Narrow" w:hint="default"/>
                <w:sz w:val="24"/>
                <w:szCs w:val="24"/>
              </w:rPr>
            </w:pPr>
            <w:r>
              <w:rPr>
                <w:rFonts w:ascii="Arial Narrow"/>
                <w:spacing w:val="-1"/>
                <w:sz w:val="24"/>
              </w:rPr>
              <w:t>33,960,155.53</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6"/>
              <w:jc w:val="right"/>
              <w:rPr>
                <w:rFonts w:ascii="Arial Narrow" w:hAnsi="Arial Narrow" w:cs="Arial Narrow" w:eastAsia="Arial Narrow" w:hint="default"/>
                <w:sz w:val="24"/>
                <w:szCs w:val="24"/>
              </w:rPr>
            </w:pPr>
            <w:r>
              <w:rPr>
                <w:rFonts w:ascii="Arial Narrow"/>
                <w:spacing w:val="-2"/>
                <w:sz w:val="24"/>
              </w:rPr>
              <w:t>11,346,630.05</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5"/>
              <w:jc w:val="right"/>
              <w:rPr>
                <w:rFonts w:ascii="Arial Narrow" w:hAnsi="Arial Narrow" w:cs="Arial Narrow" w:eastAsia="Arial Narrow" w:hint="default"/>
                <w:sz w:val="24"/>
                <w:szCs w:val="24"/>
              </w:rPr>
            </w:pPr>
            <w:r>
              <w:rPr>
                <w:rFonts w:ascii="Arial Narrow"/>
                <w:spacing w:val="-1"/>
                <w:sz w:val="24"/>
              </w:rPr>
              <w:t>22,297,531.64</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3"/>
              <w:jc w:val="right"/>
              <w:rPr>
                <w:rFonts w:ascii="Arial Narrow" w:hAnsi="Arial Narrow" w:cs="Arial Narrow" w:eastAsia="Arial Narrow" w:hint="default"/>
                <w:sz w:val="24"/>
                <w:szCs w:val="24"/>
              </w:rPr>
            </w:pPr>
            <w:r>
              <w:rPr>
                <w:rFonts w:ascii="Arial Narrow"/>
                <w:spacing w:val="-1"/>
                <w:sz w:val="24"/>
              </w:rPr>
              <w:t>5,908,969.92</w:t>
            </w:r>
          </w:p>
        </w:tc>
      </w:tr>
      <w:tr>
        <w:trPr>
          <w:trHeight w:val="397"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华南</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2"/>
              <w:jc w:val="right"/>
              <w:rPr>
                <w:rFonts w:ascii="Arial Narrow" w:hAnsi="Arial Narrow" w:cs="Arial Narrow" w:eastAsia="Arial Narrow" w:hint="default"/>
                <w:sz w:val="24"/>
                <w:szCs w:val="24"/>
              </w:rPr>
            </w:pPr>
            <w:r>
              <w:rPr>
                <w:rFonts w:ascii="Arial Narrow"/>
                <w:spacing w:val="-1"/>
                <w:sz w:val="24"/>
              </w:rPr>
              <w:t>57,344,257.53</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6"/>
              <w:jc w:val="right"/>
              <w:rPr>
                <w:rFonts w:ascii="Arial Narrow" w:hAnsi="Arial Narrow" w:cs="Arial Narrow" w:eastAsia="Arial Narrow" w:hint="default"/>
                <w:sz w:val="24"/>
                <w:szCs w:val="24"/>
              </w:rPr>
            </w:pPr>
            <w:r>
              <w:rPr>
                <w:rFonts w:ascii="Arial Narrow"/>
                <w:spacing w:val="-2"/>
                <w:sz w:val="24"/>
              </w:rPr>
              <w:t>4,113,820.62</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5"/>
              <w:jc w:val="right"/>
              <w:rPr>
                <w:rFonts w:ascii="Arial Narrow" w:hAnsi="Arial Narrow" w:cs="Arial Narrow" w:eastAsia="Arial Narrow" w:hint="default"/>
                <w:sz w:val="24"/>
                <w:szCs w:val="24"/>
              </w:rPr>
            </w:pPr>
            <w:r>
              <w:rPr>
                <w:rFonts w:ascii="Arial Narrow"/>
                <w:spacing w:val="-1"/>
                <w:sz w:val="24"/>
              </w:rPr>
              <w:t>20,425,416.53</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Arial Narrow" w:hAnsi="Arial Narrow" w:cs="Arial Narrow" w:eastAsia="Arial Narrow" w:hint="default"/>
                <w:sz w:val="24"/>
                <w:szCs w:val="24"/>
              </w:rPr>
            </w:pPr>
            <w:r>
              <w:rPr>
                <w:rFonts w:ascii="Arial Narrow"/>
                <w:spacing w:val="-1"/>
                <w:sz w:val="24"/>
              </w:rPr>
              <w:t>5,412,849.00</w:t>
            </w:r>
          </w:p>
        </w:tc>
      </w:tr>
      <w:tr>
        <w:trPr>
          <w:trHeight w:val="396"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华中</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5"/>
              <w:jc w:val="right"/>
              <w:rPr>
                <w:rFonts w:ascii="Arial Narrow" w:hAnsi="Arial Narrow" w:cs="Arial Narrow" w:eastAsia="Arial Narrow" w:hint="default"/>
                <w:sz w:val="24"/>
                <w:szCs w:val="24"/>
              </w:rPr>
            </w:pPr>
            <w:r>
              <w:rPr>
                <w:rFonts w:ascii="Arial Narrow"/>
                <w:spacing w:val="-1"/>
                <w:sz w:val="24"/>
              </w:rPr>
              <w:t>10,401,481.16</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6"/>
              <w:jc w:val="right"/>
              <w:rPr>
                <w:rFonts w:ascii="Arial Narrow" w:hAnsi="Arial Narrow" w:cs="Arial Narrow" w:eastAsia="Arial Narrow" w:hint="default"/>
                <w:sz w:val="24"/>
                <w:szCs w:val="24"/>
              </w:rPr>
            </w:pPr>
            <w:r>
              <w:rPr>
                <w:rFonts w:ascii="Arial Narrow"/>
                <w:spacing w:val="-1"/>
                <w:sz w:val="24"/>
              </w:rPr>
              <w:t>3,842,179.29</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5"/>
              <w:jc w:val="right"/>
              <w:rPr>
                <w:rFonts w:ascii="Arial Narrow" w:hAnsi="Arial Narrow" w:cs="Arial Narrow" w:eastAsia="Arial Narrow" w:hint="default"/>
                <w:sz w:val="24"/>
                <w:szCs w:val="24"/>
              </w:rPr>
            </w:pPr>
            <w:r>
              <w:rPr>
                <w:rFonts w:ascii="Arial Narrow"/>
                <w:spacing w:val="-1"/>
                <w:sz w:val="24"/>
              </w:rPr>
              <w:t>6,707,906.46</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3"/>
              <w:jc w:val="right"/>
              <w:rPr>
                <w:rFonts w:ascii="Arial Narrow" w:hAnsi="Arial Narrow" w:cs="Arial Narrow" w:eastAsia="Arial Narrow" w:hint="default"/>
                <w:sz w:val="24"/>
                <w:szCs w:val="24"/>
              </w:rPr>
            </w:pPr>
            <w:r>
              <w:rPr>
                <w:rFonts w:ascii="Arial Narrow"/>
                <w:spacing w:val="-1"/>
                <w:sz w:val="24"/>
              </w:rPr>
              <w:t>1,777,632.53</w:t>
            </w:r>
          </w:p>
        </w:tc>
      </w:tr>
      <w:tr>
        <w:trPr>
          <w:trHeight w:val="397"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西北</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5"/>
              <w:jc w:val="right"/>
              <w:rPr>
                <w:rFonts w:ascii="Arial Narrow" w:hAnsi="Arial Narrow" w:cs="Arial Narrow" w:eastAsia="Arial Narrow" w:hint="default"/>
                <w:sz w:val="24"/>
                <w:szCs w:val="24"/>
              </w:rPr>
            </w:pPr>
            <w:r>
              <w:rPr>
                <w:rFonts w:ascii="Arial Narrow"/>
                <w:spacing w:val="-1"/>
                <w:sz w:val="24"/>
              </w:rPr>
              <w:t>38,004,913.92</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6"/>
              <w:jc w:val="right"/>
              <w:rPr>
                <w:rFonts w:ascii="Arial Narrow" w:hAnsi="Arial Narrow" w:cs="Arial Narrow" w:eastAsia="Arial Narrow" w:hint="default"/>
                <w:sz w:val="24"/>
                <w:szCs w:val="24"/>
              </w:rPr>
            </w:pPr>
            <w:r>
              <w:rPr>
                <w:rFonts w:ascii="Arial Narrow"/>
                <w:spacing w:val="-1"/>
                <w:sz w:val="24"/>
              </w:rPr>
              <w:t>21,087,562.58</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5"/>
              <w:jc w:val="right"/>
              <w:rPr>
                <w:rFonts w:ascii="Arial Narrow" w:hAnsi="Arial Narrow" w:cs="Arial Narrow" w:eastAsia="Arial Narrow" w:hint="default"/>
                <w:sz w:val="24"/>
                <w:szCs w:val="24"/>
              </w:rPr>
            </w:pPr>
            <w:r>
              <w:rPr>
                <w:rFonts w:ascii="Arial Narrow"/>
                <w:spacing w:val="-1"/>
                <w:sz w:val="24"/>
              </w:rPr>
              <w:t>20,301,331.33</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3"/>
              <w:jc w:val="right"/>
              <w:rPr>
                <w:rFonts w:ascii="Arial Narrow" w:hAnsi="Arial Narrow" w:cs="Arial Narrow" w:eastAsia="Arial Narrow" w:hint="default"/>
                <w:sz w:val="24"/>
                <w:szCs w:val="24"/>
              </w:rPr>
            </w:pPr>
            <w:r>
              <w:rPr>
                <w:rFonts w:ascii="Arial Narrow"/>
                <w:spacing w:val="-1"/>
                <w:sz w:val="24"/>
              </w:rPr>
              <w:t>5,379,965.73</w:t>
            </w:r>
          </w:p>
        </w:tc>
      </w:tr>
      <w:tr>
        <w:trPr>
          <w:trHeight w:val="397" w:hRule="exact"/>
        </w:trPr>
        <w:tc>
          <w:tcPr>
            <w:tcW w:w="1632"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西南</w:t>
            </w:r>
          </w:p>
        </w:tc>
        <w:tc>
          <w:tcPr>
            <w:tcW w:w="22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4"/>
              <w:jc w:val="right"/>
              <w:rPr>
                <w:rFonts w:ascii="Arial Narrow" w:hAnsi="Arial Narrow" w:cs="Arial Narrow" w:eastAsia="Arial Narrow" w:hint="default"/>
                <w:sz w:val="24"/>
                <w:szCs w:val="24"/>
              </w:rPr>
            </w:pPr>
            <w:r>
              <w:rPr>
                <w:rFonts w:ascii="Arial Narrow"/>
                <w:spacing w:val="-1"/>
                <w:sz w:val="24"/>
              </w:rPr>
              <w:t>2,784,018.20</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5"/>
              <w:jc w:val="right"/>
              <w:rPr>
                <w:rFonts w:ascii="Arial Narrow" w:hAnsi="Arial Narrow" w:cs="Arial Narrow" w:eastAsia="Arial Narrow" w:hint="default"/>
                <w:sz w:val="24"/>
                <w:szCs w:val="24"/>
              </w:rPr>
            </w:pPr>
            <w:r>
              <w:rPr>
                <w:rFonts w:ascii="Arial Narrow"/>
                <w:sz w:val="24"/>
              </w:rPr>
              <w:t>-</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5"/>
              <w:jc w:val="right"/>
              <w:rPr>
                <w:rFonts w:ascii="Arial Narrow" w:hAnsi="Arial Narrow" w:cs="Arial Narrow" w:eastAsia="Arial Narrow" w:hint="default"/>
                <w:sz w:val="24"/>
                <w:szCs w:val="24"/>
              </w:rPr>
            </w:pPr>
            <w:r>
              <w:rPr>
                <w:rFonts w:ascii="Arial Narrow"/>
                <w:spacing w:val="-1"/>
                <w:sz w:val="24"/>
              </w:rPr>
              <w:t>7,361,330.61</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3"/>
              <w:jc w:val="right"/>
              <w:rPr>
                <w:rFonts w:ascii="Arial Narrow" w:hAnsi="Arial Narrow" w:cs="Arial Narrow" w:eastAsia="Arial Narrow" w:hint="default"/>
                <w:sz w:val="24"/>
                <w:szCs w:val="24"/>
              </w:rPr>
            </w:pPr>
            <w:r>
              <w:rPr>
                <w:rFonts w:ascii="Arial Narrow"/>
                <w:spacing w:val="-1"/>
                <w:sz w:val="24"/>
              </w:rPr>
              <w:t>1,950,793.56</w:t>
            </w:r>
          </w:p>
        </w:tc>
      </w:tr>
      <w:tr>
        <w:trPr>
          <w:trHeight w:val="398" w:hRule="exact"/>
        </w:trPr>
        <w:tc>
          <w:tcPr>
            <w:tcW w:w="1632" w:type="dxa"/>
            <w:tcBorders>
              <w:top w:val="nil" w:sz="6" w:space="0" w:color="auto"/>
              <w:left w:val="nil" w:sz="6" w:space="0" w:color="auto"/>
              <w:bottom w:val="single" w:sz="4" w:space="0" w:color="000000"/>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国际</w:t>
            </w:r>
          </w:p>
        </w:tc>
        <w:tc>
          <w:tcPr>
            <w:tcW w:w="220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4"/>
              <w:jc w:val="right"/>
              <w:rPr>
                <w:rFonts w:ascii="Arial Narrow" w:hAnsi="Arial Narrow" w:cs="Arial Narrow" w:eastAsia="Arial Narrow" w:hint="default"/>
                <w:sz w:val="24"/>
                <w:szCs w:val="24"/>
              </w:rPr>
            </w:pPr>
            <w:r>
              <w:rPr>
                <w:rFonts w:ascii="Arial Narrow"/>
                <w:spacing w:val="-1"/>
                <w:sz w:val="24"/>
              </w:rPr>
              <w:t>817,293.39</w:t>
            </w:r>
          </w:p>
        </w:tc>
        <w:tc>
          <w:tcPr>
            <w:tcW w:w="178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35"/>
              <w:jc w:val="right"/>
              <w:rPr>
                <w:rFonts w:ascii="Arial Narrow" w:hAnsi="Arial Narrow" w:cs="Arial Narrow" w:eastAsia="Arial Narrow" w:hint="default"/>
                <w:sz w:val="24"/>
                <w:szCs w:val="24"/>
              </w:rPr>
            </w:pPr>
            <w:r>
              <w:rPr>
                <w:rFonts w:ascii="Arial Narrow"/>
                <w:sz w:val="24"/>
              </w:rPr>
              <w:t>-</w:t>
            </w:r>
          </w:p>
        </w:tc>
        <w:tc>
          <w:tcPr>
            <w:tcW w:w="188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85"/>
              <w:jc w:val="right"/>
              <w:rPr>
                <w:rFonts w:ascii="Arial Narrow" w:hAnsi="Arial Narrow" w:cs="Arial Narrow" w:eastAsia="Arial Narrow" w:hint="default"/>
                <w:sz w:val="24"/>
                <w:szCs w:val="24"/>
              </w:rPr>
            </w:pPr>
            <w:r>
              <w:rPr>
                <w:rFonts w:ascii="Arial Narrow"/>
                <w:spacing w:val="-1"/>
                <w:sz w:val="24"/>
              </w:rPr>
              <w:t>2,812,579.16</w:t>
            </w: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3"/>
              <w:jc w:val="right"/>
              <w:rPr>
                <w:rFonts w:ascii="Arial Narrow" w:hAnsi="Arial Narrow" w:cs="Arial Narrow" w:eastAsia="Arial Narrow" w:hint="default"/>
                <w:sz w:val="24"/>
                <w:szCs w:val="24"/>
              </w:rPr>
            </w:pPr>
            <w:r>
              <w:rPr>
                <w:rFonts w:ascii="Arial Narrow"/>
                <w:spacing w:val="-1"/>
                <w:sz w:val="24"/>
              </w:rPr>
              <w:t>745,349.12</w:t>
            </w:r>
          </w:p>
        </w:tc>
      </w:tr>
      <w:tr>
        <w:trPr>
          <w:trHeight w:val="403" w:hRule="exact"/>
        </w:trPr>
        <w:tc>
          <w:tcPr>
            <w:tcW w:w="1632" w:type="dxa"/>
            <w:tcBorders>
              <w:top w:val="single" w:sz="4" w:space="0" w:color="000000"/>
              <w:left w:val="nil" w:sz="6" w:space="0" w:color="auto"/>
              <w:bottom w:val="single" w:sz="8" w:space="0" w:color="000000"/>
              <w:right w:val="nil" w:sz="6" w:space="0" w:color="auto"/>
            </w:tcBorders>
          </w:tcPr>
          <w:p>
            <w:pPr>
              <w:pStyle w:val="TableParagraph"/>
              <w:tabs>
                <w:tab w:pos="605" w:val="left" w:leader="none"/>
              </w:tabs>
              <w:spacing w:line="312" w:lineRule="exact"/>
              <w:ind w:left="122"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200"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83"/>
              <w:jc w:val="right"/>
              <w:rPr>
                <w:rFonts w:ascii="Arial Narrow" w:hAnsi="Arial Narrow" w:cs="Arial Narrow" w:eastAsia="Arial Narrow" w:hint="default"/>
                <w:sz w:val="24"/>
                <w:szCs w:val="24"/>
              </w:rPr>
            </w:pPr>
            <w:r>
              <w:rPr>
                <w:rFonts w:ascii="Arial Narrow"/>
                <w:b/>
                <w:spacing w:val="-1"/>
                <w:sz w:val="24"/>
              </w:rPr>
              <w:t>261,084,007.47</w:t>
            </w:r>
            <w:r>
              <w:rPr>
                <w:rFonts w:ascii="Arial Narrow"/>
                <w:spacing w:val="-1"/>
                <w:sz w:val="24"/>
              </w:rPr>
            </w:r>
          </w:p>
        </w:tc>
        <w:tc>
          <w:tcPr>
            <w:tcW w:w="178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36"/>
              <w:jc w:val="right"/>
              <w:rPr>
                <w:rFonts w:ascii="Arial Narrow" w:hAnsi="Arial Narrow" w:cs="Arial Narrow" w:eastAsia="Arial Narrow" w:hint="default"/>
                <w:sz w:val="24"/>
                <w:szCs w:val="24"/>
              </w:rPr>
            </w:pPr>
            <w:r>
              <w:rPr>
                <w:rFonts w:ascii="Arial Narrow"/>
                <w:b/>
                <w:spacing w:val="-1"/>
                <w:sz w:val="24"/>
              </w:rPr>
              <w:t>64,585,381.78</w:t>
            </w:r>
            <w:r>
              <w:rPr>
                <w:rFonts w:ascii="Arial Narrow"/>
                <w:spacing w:val="-1"/>
                <w:sz w:val="24"/>
              </w:rPr>
            </w:r>
          </w:p>
        </w:tc>
        <w:tc>
          <w:tcPr>
            <w:tcW w:w="1883"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285"/>
              <w:jc w:val="right"/>
              <w:rPr>
                <w:rFonts w:ascii="Arial Narrow" w:hAnsi="Arial Narrow" w:cs="Arial Narrow" w:eastAsia="Arial Narrow" w:hint="default"/>
                <w:sz w:val="24"/>
                <w:szCs w:val="24"/>
              </w:rPr>
            </w:pPr>
            <w:r>
              <w:rPr>
                <w:rFonts w:ascii="Arial Narrow"/>
                <w:b/>
                <w:spacing w:val="-2"/>
                <w:sz w:val="24"/>
              </w:rPr>
              <w:t>176,192,811.43</w:t>
            </w:r>
            <w:r>
              <w:rPr>
                <w:rFonts w:ascii="Arial Narrow"/>
                <w:spacing w:val="-2"/>
                <w:sz w:val="24"/>
              </w:rPr>
            </w:r>
          </w:p>
        </w:tc>
        <w:tc>
          <w:tcPr>
            <w:tcW w:w="1653"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03"/>
              <w:jc w:val="right"/>
              <w:rPr>
                <w:rFonts w:ascii="Arial Narrow" w:hAnsi="Arial Narrow" w:cs="Arial Narrow" w:eastAsia="Arial Narrow" w:hint="default"/>
                <w:sz w:val="24"/>
                <w:szCs w:val="24"/>
              </w:rPr>
            </w:pPr>
            <w:r>
              <w:rPr>
                <w:rFonts w:ascii="Arial Narrow"/>
                <w:b/>
                <w:spacing w:val="-2"/>
                <w:sz w:val="24"/>
              </w:rPr>
              <w:t>46,692,075.11</w:t>
            </w:r>
            <w:r>
              <w:rPr>
                <w:rFonts w:ascii="Arial Narrow"/>
                <w:spacing w:val="-2"/>
                <w:sz w:val="24"/>
              </w:rPr>
            </w:r>
          </w:p>
        </w:tc>
      </w:tr>
    </w:tbl>
    <w:p>
      <w:pPr>
        <w:spacing w:line="240" w:lineRule="auto" w:before="11"/>
        <w:rPr>
          <w:rFonts w:ascii="宋体" w:hAnsi="宋体" w:cs="宋体" w:eastAsia="宋体" w:hint="default"/>
          <w:sz w:val="6"/>
          <w:szCs w:val="6"/>
        </w:rPr>
      </w:pPr>
    </w:p>
    <w:p>
      <w:pPr>
        <w:pStyle w:val="BodyText"/>
        <w:spacing w:line="240" w:lineRule="auto" w:before="26"/>
        <w:ind w:left="530" w:right="87"/>
        <w:jc w:val="left"/>
      </w:pPr>
      <w:r>
        <w:rPr/>
        <w:t>（</w:t>
      </w:r>
      <w:r>
        <w:rPr>
          <w:rFonts w:ascii="Arial Narrow" w:hAnsi="Arial Narrow" w:cs="Arial Narrow" w:eastAsia="Arial Narrow" w:hint="default"/>
        </w:rPr>
        <w:t>5</w:t>
      </w:r>
      <w:r>
        <w:rPr/>
        <w:t>）前五名客户的营业收入情况</w:t>
      </w:r>
    </w:p>
    <w:p>
      <w:pPr>
        <w:spacing w:line="240" w:lineRule="auto" w:before="12"/>
        <w:rPr>
          <w:rFonts w:ascii="宋体" w:hAnsi="宋体" w:cs="宋体" w:eastAsia="宋体" w:hint="default"/>
          <w:sz w:val="22"/>
          <w:szCs w:val="22"/>
        </w:rPr>
      </w:pPr>
    </w:p>
    <w:tbl>
      <w:tblPr>
        <w:tblW w:w="0" w:type="auto"/>
        <w:jc w:val="left"/>
        <w:tblInd w:w="424" w:type="dxa"/>
        <w:tblLayout w:type="fixed"/>
        <w:tblCellMar>
          <w:top w:w="0" w:type="dxa"/>
          <w:left w:w="0" w:type="dxa"/>
          <w:bottom w:w="0" w:type="dxa"/>
          <w:right w:w="0" w:type="dxa"/>
        </w:tblCellMar>
        <w:tblLook w:val="01E0"/>
      </w:tblPr>
      <w:tblGrid>
        <w:gridCol w:w="2790"/>
        <w:gridCol w:w="3528"/>
        <w:gridCol w:w="3538"/>
      </w:tblGrid>
      <w:tr>
        <w:trPr>
          <w:trHeight w:val="328" w:hRule="exact"/>
        </w:trPr>
        <w:tc>
          <w:tcPr>
            <w:tcW w:w="2790" w:type="dxa"/>
            <w:tcBorders>
              <w:top w:val="single" w:sz="8" w:space="0" w:color="000000"/>
              <w:left w:val="nil" w:sz="6" w:space="0" w:color="auto"/>
              <w:bottom w:val="nil" w:sz="6" w:space="0" w:color="auto"/>
              <w:right w:val="nil" w:sz="6" w:space="0" w:color="auto"/>
            </w:tcBorders>
          </w:tcPr>
          <w:p>
            <w:pPr>
              <w:pStyle w:val="TableParagraph"/>
              <w:spacing w:line="307"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客户名称</w:t>
            </w:r>
            <w:r>
              <w:rPr>
                <w:rFonts w:ascii="宋体" w:hAnsi="宋体" w:cs="宋体" w:eastAsia="宋体" w:hint="default"/>
                <w:sz w:val="24"/>
                <w:szCs w:val="24"/>
              </w:rPr>
            </w:r>
          </w:p>
        </w:tc>
        <w:tc>
          <w:tcPr>
            <w:tcW w:w="3528" w:type="dxa"/>
            <w:tcBorders>
              <w:top w:val="single" w:sz="8" w:space="0" w:color="000000"/>
              <w:left w:val="nil" w:sz="6" w:space="0" w:color="auto"/>
              <w:bottom w:val="nil" w:sz="6" w:space="0" w:color="auto"/>
              <w:right w:val="nil" w:sz="6" w:space="0" w:color="auto"/>
            </w:tcBorders>
          </w:tcPr>
          <w:p>
            <w:pPr>
              <w:pStyle w:val="TableParagraph"/>
              <w:spacing w:line="307" w:lineRule="exact"/>
              <w:ind w:left="1717" w:right="0"/>
              <w:jc w:val="left"/>
              <w:rPr>
                <w:rFonts w:ascii="宋体" w:hAnsi="宋体" w:cs="宋体" w:eastAsia="宋体" w:hint="default"/>
                <w:sz w:val="24"/>
                <w:szCs w:val="24"/>
              </w:rPr>
            </w:pPr>
            <w:r>
              <w:rPr>
                <w:rFonts w:ascii="宋体" w:hAnsi="宋体" w:cs="宋体" w:eastAsia="宋体" w:hint="default"/>
                <w:b/>
                <w:bCs/>
                <w:sz w:val="24"/>
                <w:szCs w:val="24"/>
              </w:rPr>
              <w:t>营业收入总额</w:t>
            </w:r>
            <w:r>
              <w:rPr>
                <w:rFonts w:ascii="宋体" w:hAnsi="宋体" w:cs="宋体" w:eastAsia="宋体" w:hint="default"/>
                <w:sz w:val="24"/>
                <w:szCs w:val="24"/>
              </w:rPr>
            </w:r>
          </w:p>
        </w:tc>
        <w:tc>
          <w:tcPr>
            <w:tcW w:w="3538" w:type="dxa"/>
            <w:tcBorders>
              <w:top w:val="single" w:sz="8" w:space="0" w:color="000000"/>
              <w:left w:val="nil" w:sz="6" w:space="0" w:color="auto"/>
              <w:bottom w:val="nil" w:sz="6" w:space="0" w:color="auto"/>
              <w:right w:val="nil" w:sz="6" w:space="0" w:color="auto"/>
            </w:tcBorders>
          </w:tcPr>
          <w:p>
            <w:pPr>
              <w:pStyle w:val="TableParagraph"/>
              <w:spacing w:line="324" w:lineRule="exact"/>
              <w:ind w:left="365" w:right="0"/>
              <w:jc w:val="left"/>
              <w:rPr>
                <w:rFonts w:ascii="Arial Narrow" w:hAnsi="Arial Narrow" w:cs="Arial Narrow" w:eastAsia="Arial Narrow" w:hint="default"/>
                <w:sz w:val="24"/>
                <w:szCs w:val="24"/>
              </w:rPr>
            </w:pPr>
            <w:r>
              <w:rPr>
                <w:rFonts w:ascii="宋体" w:hAnsi="宋体" w:cs="宋体" w:eastAsia="宋体" w:hint="default"/>
                <w:b/>
                <w:bCs/>
                <w:sz w:val="24"/>
                <w:szCs w:val="24"/>
              </w:rPr>
              <w:t>占公司全部营业收入的比例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bl>
    <w:p>
      <w:pPr>
        <w:spacing w:after="0" w:line="324" w:lineRule="exact"/>
        <w:jc w:val="left"/>
        <w:rPr>
          <w:rFonts w:ascii="Arial Narrow" w:hAnsi="Arial Narrow" w:cs="Arial Narrow" w:eastAsia="Arial Narrow" w:hint="default"/>
          <w:sz w:val="24"/>
          <w:szCs w:val="24"/>
        </w:rPr>
        <w:sectPr>
          <w:type w:val="continuous"/>
          <w:pgSz w:w="11910" w:h="16840"/>
          <w:pgMar w:top="440" w:bottom="280" w:left="600" w:right="920"/>
        </w:sectPr>
      </w:pPr>
    </w:p>
    <w:tbl>
      <w:tblPr>
        <w:tblW w:w="0" w:type="auto"/>
        <w:jc w:val="left"/>
        <w:tblInd w:w="424" w:type="dxa"/>
        <w:tblLayout w:type="fixed"/>
        <w:tblCellMar>
          <w:top w:w="0" w:type="dxa"/>
          <w:left w:w="0" w:type="dxa"/>
          <w:bottom w:w="0" w:type="dxa"/>
          <w:right w:w="0" w:type="dxa"/>
        </w:tblCellMar>
        <w:tblLook w:val="01E0"/>
      </w:tblPr>
      <w:tblGrid>
        <w:gridCol w:w="4081"/>
        <w:gridCol w:w="3525"/>
        <w:gridCol w:w="2250"/>
      </w:tblGrid>
      <w:tr>
        <w:trPr>
          <w:trHeight w:val="606" w:hRule="exact"/>
        </w:trPr>
        <w:tc>
          <w:tcPr>
            <w:tcW w:w="4081" w:type="dxa"/>
            <w:tcBorders>
              <w:top w:val="single" w:sz="10" w:space="0" w:color="000000"/>
              <w:left w:val="nil" w:sz="6" w:space="0" w:color="auto"/>
              <w:bottom w:val="nil" w:sz="6" w:space="0" w:color="auto"/>
              <w:right w:val="nil" w:sz="6" w:space="0" w:color="auto"/>
            </w:tcBorders>
          </w:tcPr>
          <w:p>
            <w:pPr>
              <w:pStyle w:val="TableParagraph"/>
              <w:spacing w:line="240" w:lineRule="auto" w:before="132"/>
              <w:ind w:left="107" w:right="0"/>
              <w:jc w:val="left"/>
              <w:rPr>
                <w:rFonts w:ascii="宋体" w:hAnsi="宋体" w:cs="宋体" w:eastAsia="宋体" w:hint="default"/>
                <w:sz w:val="24"/>
                <w:szCs w:val="24"/>
              </w:rPr>
            </w:pPr>
            <w:r>
              <w:rPr>
                <w:rFonts w:ascii="宋体" w:hAnsi="宋体" w:cs="宋体" w:eastAsia="宋体" w:hint="default"/>
                <w:sz w:val="24"/>
                <w:szCs w:val="24"/>
              </w:rPr>
              <w:t>西安市城市管理综合行政执法局</w:t>
            </w:r>
          </w:p>
        </w:tc>
        <w:tc>
          <w:tcPr>
            <w:tcW w:w="3525" w:type="dxa"/>
            <w:tcBorders>
              <w:top w:val="single" w:sz="10" w:space="0" w:color="000000"/>
              <w:left w:val="nil" w:sz="6" w:space="0" w:color="auto"/>
              <w:bottom w:val="nil" w:sz="6" w:space="0" w:color="auto"/>
              <w:right w:val="nil" w:sz="6" w:space="0" w:color="auto"/>
            </w:tcBorders>
          </w:tcPr>
          <w:p>
            <w:pPr>
              <w:pStyle w:val="TableParagraph"/>
              <w:spacing w:line="240" w:lineRule="auto" w:before="190"/>
              <w:ind w:right="1651"/>
              <w:jc w:val="right"/>
              <w:rPr>
                <w:rFonts w:ascii="Arial Narrow" w:hAnsi="Arial Narrow" w:cs="Arial Narrow" w:eastAsia="Arial Narrow" w:hint="default"/>
                <w:sz w:val="24"/>
                <w:szCs w:val="24"/>
              </w:rPr>
            </w:pPr>
            <w:r>
              <w:rPr>
                <w:rFonts w:ascii="Arial Narrow"/>
                <w:spacing w:val="-1"/>
                <w:sz w:val="24"/>
              </w:rPr>
              <w:t>26,258,437.98</w:t>
            </w:r>
          </w:p>
        </w:tc>
        <w:tc>
          <w:tcPr>
            <w:tcW w:w="2250" w:type="dxa"/>
            <w:tcBorders>
              <w:top w:val="single" w:sz="10" w:space="0" w:color="000000"/>
              <w:left w:val="nil" w:sz="6" w:space="0" w:color="auto"/>
              <w:bottom w:val="nil" w:sz="6" w:space="0" w:color="auto"/>
              <w:right w:val="nil" w:sz="6" w:space="0" w:color="auto"/>
            </w:tcBorders>
          </w:tcPr>
          <w:p>
            <w:pPr>
              <w:pStyle w:val="TableParagraph"/>
              <w:spacing w:line="240" w:lineRule="auto" w:before="190"/>
              <w:ind w:right="102"/>
              <w:jc w:val="right"/>
              <w:rPr>
                <w:rFonts w:ascii="Arial Narrow" w:hAnsi="Arial Narrow" w:cs="Arial Narrow" w:eastAsia="Arial Narrow" w:hint="default"/>
                <w:sz w:val="24"/>
                <w:szCs w:val="24"/>
              </w:rPr>
            </w:pPr>
            <w:r>
              <w:rPr>
                <w:rFonts w:ascii="Arial Narrow"/>
                <w:spacing w:val="-1"/>
                <w:sz w:val="24"/>
              </w:rPr>
              <w:t>10.01</w:t>
            </w:r>
          </w:p>
        </w:tc>
      </w:tr>
      <w:tr>
        <w:trPr>
          <w:trHeight w:val="460"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7" w:right="0"/>
              <w:jc w:val="left"/>
              <w:rPr>
                <w:rFonts w:ascii="宋体" w:hAnsi="宋体" w:cs="宋体" w:eastAsia="宋体" w:hint="default"/>
                <w:sz w:val="24"/>
                <w:szCs w:val="24"/>
              </w:rPr>
            </w:pPr>
            <w:r>
              <w:rPr>
                <w:rFonts w:ascii="宋体" w:hAnsi="宋体" w:cs="宋体" w:eastAsia="宋体" w:hint="default"/>
                <w:sz w:val="24"/>
                <w:szCs w:val="24"/>
              </w:rPr>
              <w:t>西安曲江新区土地储备中心</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51"/>
              <w:jc w:val="right"/>
              <w:rPr>
                <w:rFonts w:ascii="Arial Narrow" w:hAnsi="Arial Narrow" w:cs="Arial Narrow" w:eastAsia="Arial Narrow" w:hint="default"/>
                <w:sz w:val="24"/>
                <w:szCs w:val="24"/>
              </w:rPr>
            </w:pPr>
            <w:r>
              <w:rPr>
                <w:rFonts w:ascii="Arial Narrow"/>
                <w:spacing w:val="-1"/>
                <w:sz w:val="24"/>
              </w:rPr>
              <w:t>14,985,854.71</w:t>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Arial Narrow" w:hAnsi="Arial Narrow" w:cs="Arial Narrow" w:eastAsia="Arial Narrow" w:hint="default"/>
                <w:sz w:val="24"/>
                <w:szCs w:val="24"/>
              </w:rPr>
            </w:pPr>
            <w:r>
              <w:rPr>
                <w:rFonts w:ascii="Arial Narrow"/>
                <w:sz w:val="24"/>
              </w:rPr>
              <w:t>5.71</w:t>
            </w:r>
          </w:p>
        </w:tc>
      </w:tr>
      <w:tr>
        <w:trPr>
          <w:trHeight w:val="397"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国家气象中心</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50"/>
              <w:jc w:val="right"/>
              <w:rPr>
                <w:rFonts w:ascii="Arial Narrow" w:hAnsi="Arial Narrow" w:cs="Arial Narrow" w:eastAsia="Arial Narrow" w:hint="default"/>
                <w:sz w:val="24"/>
                <w:szCs w:val="24"/>
              </w:rPr>
            </w:pPr>
            <w:r>
              <w:rPr>
                <w:rFonts w:ascii="Arial Narrow"/>
                <w:spacing w:val="-1"/>
                <w:sz w:val="24"/>
              </w:rPr>
              <w:t>9,065,700.00</w:t>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2"/>
              <w:jc w:val="right"/>
              <w:rPr>
                <w:rFonts w:ascii="Arial Narrow" w:hAnsi="Arial Narrow" w:cs="Arial Narrow" w:eastAsia="Arial Narrow" w:hint="default"/>
                <w:sz w:val="24"/>
                <w:szCs w:val="24"/>
              </w:rPr>
            </w:pPr>
            <w:r>
              <w:rPr>
                <w:rFonts w:ascii="Arial Narrow"/>
                <w:sz w:val="24"/>
              </w:rPr>
              <w:t>3.46</w:t>
            </w:r>
          </w:p>
        </w:tc>
      </w:tr>
      <w:tr>
        <w:trPr>
          <w:trHeight w:val="396" w:hRule="exact"/>
        </w:trPr>
        <w:tc>
          <w:tcPr>
            <w:tcW w:w="4081" w:type="dxa"/>
            <w:tcBorders>
              <w:top w:val="nil" w:sz="6" w:space="0" w:color="auto"/>
              <w:left w:val="nil" w:sz="6" w:space="0" w:color="auto"/>
              <w:bottom w:val="nil" w:sz="6" w:space="0" w:color="auto"/>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石家庄市国土资源局</w:t>
            </w:r>
          </w:p>
        </w:tc>
        <w:tc>
          <w:tcPr>
            <w:tcW w:w="352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0"/>
              <w:jc w:val="right"/>
              <w:rPr>
                <w:rFonts w:ascii="Arial Narrow" w:hAnsi="Arial Narrow" w:cs="Arial Narrow" w:eastAsia="Arial Narrow" w:hint="default"/>
                <w:sz w:val="24"/>
                <w:szCs w:val="24"/>
              </w:rPr>
            </w:pPr>
            <w:r>
              <w:rPr>
                <w:rFonts w:ascii="Arial Narrow"/>
                <w:spacing w:val="-1"/>
                <w:sz w:val="24"/>
              </w:rPr>
              <w:t>7,401,261.54</w:t>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2"/>
              <w:jc w:val="right"/>
              <w:rPr>
                <w:rFonts w:ascii="Arial Narrow" w:hAnsi="Arial Narrow" w:cs="Arial Narrow" w:eastAsia="Arial Narrow" w:hint="default"/>
                <w:sz w:val="24"/>
                <w:szCs w:val="24"/>
              </w:rPr>
            </w:pPr>
            <w:r>
              <w:rPr>
                <w:rFonts w:ascii="Arial Narrow"/>
                <w:sz w:val="24"/>
              </w:rPr>
              <w:t>2.82</w:t>
            </w:r>
          </w:p>
        </w:tc>
      </w:tr>
      <w:tr>
        <w:trPr>
          <w:trHeight w:val="398" w:hRule="exact"/>
        </w:trPr>
        <w:tc>
          <w:tcPr>
            <w:tcW w:w="4081" w:type="dxa"/>
            <w:tcBorders>
              <w:top w:val="nil" w:sz="6" w:space="0" w:color="auto"/>
              <w:left w:val="nil" w:sz="6" w:space="0" w:color="auto"/>
              <w:bottom w:val="single" w:sz="4" w:space="0" w:color="000000"/>
              <w:right w:val="nil" w:sz="6" w:space="0" w:color="auto"/>
            </w:tcBorders>
          </w:tcPr>
          <w:p>
            <w:pPr>
              <w:pStyle w:val="TableParagraph"/>
              <w:spacing w:line="312" w:lineRule="exact"/>
              <w:ind w:left="107" w:right="0"/>
              <w:jc w:val="left"/>
              <w:rPr>
                <w:rFonts w:ascii="宋体" w:hAnsi="宋体" w:cs="宋体" w:eastAsia="宋体" w:hint="default"/>
                <w:sz w:val="24"/>
                <w:szCs w:val="24"/>
              </w:rPr>
            </w:pPr>
            <w:r>
              <w:rPr>
                <w:rFonts w:ascii="宋体" w:hAnsi="宋体" w:cs="宋体" w:eastAsia="宋体" w:hint="default"/>
                <w:sz w:val="24"/>
                <w:szCs w:val="24"/>
              </w:rPr>
              <w:t>中关村科技园区管理委员会</w:t>
            </w:r>
          </w:p>
        </w:tc>
        <w:tc>
          <w:tcPr>
            <w:tcW w:w="352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650"/>
              <w:jc w:val="right"/>
              <w:rPr>
                <w:rFonts w:ascii="Arial Narrow" w:hAnsi="Arial Narrow" w:cs="Arial Narrow" w:eastAsia="Arial Narrow" w:hint="default"/>
                <w:sz w:val="24"/>
                <w:szCs w:val="24"/>
              </w:rPr>
            </w:pPr>
            <w:r>
              <w:rPr>
                <w:rFonts w:ascii="Arial Narrow"/>
                <w:spacing w:val="-1"/>
                <w:sz w:val="24"/>
              </w:rPr>
              <w:t>7,264,400.00</w:t>
            </w:r>
          </w:p>
        </w:tc>
        <w:tc>
          <w:tcPr>
            <w:tcW w:w="225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2"/>
              <w:jc w:val="right"/>
              <w:rPr>
                <w:rFonts w:ascii="Arial Narrow" w:hAnsi="Arial Narrow" w:cs="Arial Narrow" w:eastAsia="Arial Narrow" w:hint="default"/>
                <w:sz w:val="24"/>
                <w:szCs w:val="24"/>
              </w:rPr>
            </w:pPr>
            <w:r>
              <w:rPr>
                <w:rFonts w:ascii="Arial Narrow"/>
                <w:sz w:val="24"/>
              </w:rPr>
              <w:t>2.77</w:t>
            </w:r>
          </w:p>
        </w:tc>
      </w:tr>
      <w:tr>
        <w:trPr>
          <w:trHeight w:val="403" w:hRule="exact"/>
        </w:trPr>
        <w:tc>
          <w:tcPr>
            <w:tcW w:w="4081"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2" w:lineRule="exact"/>
              <w:ind w:left="107"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3525"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651"/>
              <w:jc w:val="right"/>
              <w:rPr>
                <w:rFonts w:ascii="Arial Narrow" w:hAnsi="Arial Narrow" w:cs="Arial Narrow" w:eastAsia="Arial Narrow" w:hint="default"/>
                <w:sz w:val="24"/>
                <w:szCs w:val="24"/>
              </w:rPr>
            </w:pPr>
            <w:r>
              <w:rPr>
                <w:rFonts w:ascii="Arial Narrow"/>
                <w:b/>
                <w:spacing w:val="-1"/>
                <w:sz w:val="24"/>
              </w:rPr>
              <w:t>64,975,654.23</w:t>
            </w:r>
            <w:r>
              <w:rPr>
                <w:rFonts w:ascii="Arial Narrow"/>
                <w:spacing w:val="-1"/>
                <w:sz w:val="24"/>
              </w:rPr>
            </w:r>
          </w:p>
        </w:tc>
        <w:tc>
          <w:tcPr>
            <w:tcW w:w="2250"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02"/>
              <w:jc w:val="right"/>
              <w:rPr>
                <w:rFonts w:ascii="Arial Narrow" w:hAnsi="Arial Narrow" w:cs="Arial Narrow" w:eastAsia="Arial Narrow" w:hint="default"/>
                <w:sz w:val="24"/>
                <w:szCs w:val="24"/>
              </w:rPr>
            </w:pPr>
            <w:r>
              <w:rPr>
                <w:rFonts w:ascii="Arial Narrow"/>
                <w:b/>
                <w:spacing w:val="-1"/>
                <w:sz w:val="24"/>
              </w:rPr>
              <w:t>24.77</w:t>
            </w:r>
            <w:r>
              <w:rPr>
                <w:rFonts w:ascii="Arial Narrow"/>
                <w:spacing w:val="-1"/>
                <w:sz w:val="24"/>
              </w:rPr>
            </w:r>
          </w:p>
        </w:tc>
      </w:tr>
    </w:tbl>
    <w:p>
      <w:pPr>
        <w:spacing w:line="240" w:lineRule="auto" w:before="7"/>
        <w:rPr>
          <w:rFonts w:ascii="宋体" w:hAnsi="宋体" w:cs="宋体" w:eastAsia="宋体" w:hint="default"/>
          <w:sz w:val="8"/>
          <w:szCs w:val="8"/>
        </w:rPr>
      </w:pPr>
    </w:p>
    <w:p>
      <w:pPr>
        <w:pStyle w:val="BodyText"/>
        <w:spacing w:line="240" w:lineRule="auto" w:before="26"/>
        <w:ind w:left="112" w:right="87"/>
        <w:jc w:val="left"/>
      </w:pPr>
      <w:r>
        <w:rPr>
          <w:rFonts w:ascii="Arial Narrow" w:hAnsi="Arial Narrow" w:cs="Arial Narrow" w:eastAsia="Arial Narrow" w:hint="default"/>
        </w:rPr>
        <w:t>5</w:t>
      </w:r>
      <w:r>
        <w:rPr/>
        <w:t>、投资收益</w:t>
      </w:r>
    </w:p>
    <w:p>
      <w:pPr>
        <w:spacing w:line="240" w:lineRule="auto" w:before="11"/>
        <w:rPr>
          <w:rFonts w:ascii="宋体" w:hAnsi="宋体" w:cs="宋体" w:eastAsia="宋体" w:hint="default"/>
          <w:sz w:val="19"/>
          <w:szCs w:val="19"/>
        </w:rPr>
      </w:pPr>
    </w:p>
    <w:p>
      <w:pPr>
        <w:pStyle w:val="BodyText"/>
        <w:spacing w:line="240" w:lineRule="auto"/>
        <w:ind w:left="530" w:right="87"/>
        <w:jc w:val="left"/>
      </w:pPr>
      <w:r>
        <w:rPr/>
        <w:t>（</w:t>
      </w:r>
      <w:r>
        <w:rPr>
          <w:rFonts w:ascii="Arial Narrow" w:hAnsi="Arial Narrow" w:cs="Arial Narrow" w:eastAsia="Arial Narrow" w:hint="default"/>
        </w:rPr>
        <w:t>1</w:t>
      </w:r>
      <w:r>
        <w:rPr/>
        <w:t>）投资收益明细</w:t>
      </w:r>
    </w:p>
    <w:p>
      <w:pPr>
        <w:spacing w:line="240" w:lineRule="auto" w:before="2"/>
        <w:rPr>
          <w:rFonts w:ascii="宋体" w:hAnsi="宋体" w:cs="宋体" w:eastAsia="宋体" w:hint="default"/>
          <w:sz w:val="23"/>
          <w:szCs w:val="23"/>
        </w:rPr>
      </w:pPr>
    </w:p>
    <w:tbl>
      <w:tblPr>
        <w:tblW w:w="0" w:type="auto"/>
        <w:jc w:val="left"/>
        <w:tblInd w:w="532" w:type="dxa"/>
        <w:tblLayout w:type="fixed"/>
        <w:tblCellMar>
          <w:top w:w="0" w:type="dxa"/>
          <w:left w:w="0" w:type="dxa"/>
          <w:bottom w:w="0" w:type="dxa"/>
          <w:right w:w="0" w:type="dxa"/>
        </w:tblCellMar>
        <w:tblLook w:val="01E0"/>
      </w:tblPr>
      <w:tblGrid>
        <w:gridCol w:w="4837"/>
        <w:gridCol w:w="2799"/>
        <w:gridCol w:w="1439"/>
      </w:tblGrid>
      <w:tr>
        <w:trPr>
          <w:trHeight w:val="391" w:hRule="exact"/>
        </w:trPr>
        <w:tc>
          <w:tcPr>
            <w:tcW w:w="4837" w:type="dxa"/>
            <w:tcBorders>
              <w:top w:val="single" w:sz="8" w:space="0" w:color="000000"/>
              <w:left w:val="nil" w:sz="6" w:space="0" w:color="auto"/>
              <w:bottom w:val="single" w:sz="4" w:space="0" w:color="000000"/>
              <w:right w:val="nil" w:sz="6" w:space="0" w:color="auto"/>
            </w:tcBorders>
          </w:tcPr>
          <w:p>
            <w:pPr>
              <w:pStyle w:val="TableParagraph"/>
              <w:tabs>
                <w:tab w:pos="511" w:val="left" w:leader="none"/>
              </w:tabs>
              <w:spacing w:line="307" w:lineRule="exact"/>
              <w:ind w:left="28" w:right="0"/>
              <w:jc w:val="left"/>
              <w:rPr>
                <w:rFonts w:ascii="宋体" w:hAnsi="宋体" w:cs="宋体" w:eastAsia="宋体" w:hint="default"/>
                <w:sz w:val="24"/>
                <w:szCs w:val="24"/>
              </w:rPr>
            </w:pPr>
            <w:r>
              <w:rPr>
                <w:rFonts w:ascii="宋体" w:hAnsi="宋体" w:cs="宋体" w:eastAsia="宋体" w:hint="default"/>
                <w:b/>
                <w:bCs/>
                <w:w w:val="95"/>
                <w:sz w:val="24"/>
                <w:szCs w:val="24"/>
              </w:rPr>
              <w:t>项</w:t>
              <w:tab/>
            </w:r>
            <w:r>
              <w:rPr>
                <w:rFonts w:ascii="宋体" w:hAnsi="宋体" w:cs="宋体" w:eastAsia="宋体" w:hint="default"/>
                <w:b/>
                <w:bCs/>
                <w:sz w:val="24"/>
                <w:szCs w:val="24"/>
              </w:rPr>
              <w:t>目</w:t>
            </w:r>
            <w:r>
              <w:rPr>
                <w:rFonts w:ascii="宋体" w:hAnsi="宋体" w:cs="宋体" w:eastAsia="宋体" w:hint="default"/>
                <w:sz w:val="24"/>
                <w:szCs w:val="24"/>
              </w:rPr>
            </w:r>
          </w:p>
        </w:tc>
        <w:tc>
          <w:tcPr>
            <w:tcW w:w="279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06"/>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439" w:type="dxa"/>
            <w:tcBorders>
              <w:top w:val="single" w:sz="8" w:space="0" w:color="000000"/>
              <w:left w:val="nil" w:sz="6" w:space="0" w:color="auto"/>
              <w:bottom w:val="single" w:sz="4" w:space="0" w:color="000000"/>
              <w:right w:val="nil" w:sz="6" w:space="0" w:color="auto"/>
            </w:tcBorders>
          </w:tcPr>
          <w:p>
            <w:pPr>
              <w:pStyle w:val="TableParagraph"/>
              <w:spacing w:line="307" w:lineRule="exact"/>
              <w:ind w:right="27"/>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r>
      <w:tr>
        <w:trPr>
          <w:trHeight w:val="399" w:hRule="exact"/>
        </w:trPr>
        <w:tc>
          <w:tcPr>
            <w:tcW w:w="4837" w:type="dxa"/>
            <w:tcBorders>
              <w:top w:val="single" w:sz="4" w:space="0" w:color="000000"/>
              <w:left w:val="nil" w:sz="6" w:space="0" w:color="auto"/>
              <w:bottom w:val="nil" w:sz="6" w:space="0" w:color="auto"/>
              <w:right w:val="nil" w:sz="6" w:space="0" w:color="auto"/>
            </w:tcBorders>
          </w:tcPr>
          <w:p>
            <w:pPr>
              <w:pStyle w:val="TableParagraph"/>
              <w:spacing w:line="312" w:lineRule="exact"/>
              <w:ind w:left="91"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权益法核算的长期股权投资收益</w:t>
            </w:r>
          </w:p>
        </w:tc>
        <w:tc>
          <w:tcPr>
            <w:tcW w:w="279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03"/>
              <w:jc w:val="right"/>
              <w:rPr>
                <w:rFonts w:ascii="Arial Narrow" w:hAnsi="Arial Narrow" w:cs="Arial Narrow" w:eastAsia="Arial Narrow" w:hint="default"/>
                <w:sz w:val="24"/>
                <w:szCs w:val="24"/>
              </w:rPr>
            </w:pPr>
            <w:r>
              <w:rPr>
                <w:rFonts w:ascii="Arial Narrow"/>
                <w:spacing w:val="-1"/>
                <w:sz w:val="24"/>
              </w:rPr>
              <w:t>1,382,565.19</w:t>
            </w:r>
          </w:p>
        </w:tc>
        <w:tc>
          <w:tcPr>
            <w:tcW w:w="143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6"/>
              <w:jc w:val="right"/>
              <w:rPr>
                <w:rFonts w:ascii="Arial Narrow" w:hAnsi="Arial Narrow" w:cs="Arial Narrow" w:eastAsia="Arial Narrow" w:hint="default"/>
                <w:sz w:val="24"/>
                <w:szCs w:val="24"/>
              </w:rPr>
            </w:pPr>
            <w:r>
              <w:rPr>
                <w:rFonts w:ascii="Arial Narrow"/>
                <w:spacing w:val="-1"/>
                <w:sz w:val="24"/>
              </w:rPr>
              <w:t>2,067,304.16</w:t>
            </w:r>
          </w:p>
        </w:tc>
      </w:tr>
      <w:tr>
        <w:trPr>
          <w:trHeight w:val="395" w:hRule="exact"/>
        </w:trPr>
        <w:tc>
          <w:tcPr>
            <w:tcW w:w="4837" w:type="dxa"/>
            <w:tcBorders>
              <w:top w:val="nil" w:sz="6" w:space="0" w:color="auto"/>
              <w:left w:val="nil" w:sz="6" w:space="0" w:color="auto"/>
              <w:bottom w:val="single" w:sz="4" w:space="0" w:color="000000"/>
              <w:right w:val="nil" w:sz="6" w:space="0" w:color="auto"/>
            </w:tcBorders>
          </w:tcPr>
          <w:p>
            <w:pPr>
              <w:pStyle w:val="TableParagraph"/>
              <w:spacing w:line="309" w:lineRule="exact"/>
              <w:ind w:left="91" w:right="0"/>
              <w:jc w:val="left"/>
              <w:rPr>
                <w:rFonts w:ascii="宋体" w:hAnsi="宋体" w:cs="宋体" w:eastAsia="宋体" w:hint="default"/>
                <w:sz w:val="24"/>
                <w:szCs w:val="24"/>
              </w:rPr>
            </w:pPr>
            <w:r>
              <w:rPr>
                <w:rFonts w:ascii="宋体" w:hAnsi="宋体" w:cs="宋体" w:eastAsia="宋体" w:hint="default"/>
                <w:sz w:val="24"/>
                <w:szCs w:val="24"/>
              </w:rPr>
              <w:t>理财产品收益</w:t>
            </w:r>
          </w:p>
        </w:tc>
        <w:tc>
          <w:tcPr>
            <w:tcW w:w="279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03"/>
              <w:jc w:val="right"/>
              <w:rPr>
                <w:rFonts w:ascii="Arial Narrow" w:hAnsi="Arial Narrow" w:cs="Arial Narrow" w:eastAsia="Arial Narrow" w:hint="default"/>
                <w:sz w:val="24"/>
                <w:szCs w:val="24"/>
              </w:rPr>
            </w:pPr>
            <w:r>
              <w:rPr>
                <w:rFonts w:ascii="Arial Narrow"/>
                <w:sz w:val="24"/>
              </w:rPr>
              <w:t>-</w:t>
            </w: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4"/>
                <w:szCs w:val="24"/>
              </w:rPr>
            </w:pPr>
            <w:r>
              <w:rPr>
                <w:rFonts w:ascii="Arial Narrow"/>
                <w:spacing w:val="-1"/>
                <w:sz w:val="24"/>
              </w:rPr>
              <w:t>35,543.03</w:t>
            </w:r>
          </w:p>
        </w:tc>
      </w:tr>
      <w:tr>
        <w:trPr>
          <w:trHeight w:val="403" w:hRule="exact"/>
        </w:trPr>
        <w:tc>
          <w:tcPr>
            <w:tcW w:w="4837" w:type="dxa"/>
            <w:tcBorders>
              <w:top w:val="single" w:sz="4" w:space="0" w:color="000000"/>
              <w:left w:val="nil" w:sz="6" w:space="0" w:color="auto"/>
              <w:bottom w:val="single" w:sz="8" w:space="0" w:color="000000"/>
              <w:right w:val="nil" w:sz="6" w:space="0" w:color="auto"/>
            </w:tcBorders>
          </w:tcPr>
          <w:p>
            <w:pPr>
              <w:pStyle w:val="TableParagraph"/>
              <w:tabs>
                <w:tab w:pos="573" w:val="left" w:leader="none"/>
              </w:tabs>
              <w:spacing w:line="312" w:lineRule="exact"/>
              <w:ind w:left="91"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2799"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203"/>
              <w:jc w:val="right"/>
              <w:rPr>
                <w:rFonts w:ascii="Arial Narrow" w:hAnsi="Arial Narrow" w:cs="Arial Narrow" w:eastAsia="Arial Narrow" w:hint="default"/>
                <w:sz w:val="24"/>
                <w:szCs w:val="24"/>
              </w:rPr>
            </w:pPr>
            <w:r>
              <w:rPr>
                <w:rFonts w:ascii="Arial Narrow"/>
                <w:b/>
                <w:spacing w:val="-1"/>
                <w:sz w:val="24"/>
              </w:rPr>
              <w:t>1,382,565.19</w:t>
            </w:r>
            <w:r>
              <w:rPr>
                <w:rFonts w:ascii="Arial Narrow"/>
                <w:spacing w:val="-1"/>
                <w:sz w:val="24"/>
              </w:rPr>
            </w:r>
          </w:p>
        </w:tc>
        <w:tc>
          <w:tcPr>
            <w:tcW w:w="1439"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4"/>
                <w:szCs w:val="24"/>
              </w:rPr>
            </w:pPr>
            <w:r>
              <w:rPr>
                <w:rFonts w:ascii="Arial Narrow"/>
                <w:b/>
                <w:spacing w:val="-1"/>
                <w:sz w:val="24"/>
              </w:rPr>
              <w:t>2,102,847.19</w:t>
            </w:r>
            <w:r>
              <w:rPr>
                <w:rFonts w:ascii="Arial Narrow"/>
                <w:spacing w:val="-1"/>
                <w:sz w:val="24"/>
              </w:rPr>
            </w:r>
          </w:p>
        </w:tc>
      </w:tr>
    </w:tbl>
    <w:p>
      <w:pPr>
        <w:spacing w:line="240" w:lineRule="auto" w:before="11"/>
        <w:rPr>
          <w:rFonts w:ascii="宋体" w:hAnsi="宋体" w:cs="宋体" w:eastAsia="宋体" w:hint="default"/>
          <w:sz w:val="6"/>
          <w:szCs w:val="6"/>
        </w:rPr>
      </w:pPr>
    </w:p>
    <w:p>
      <w:pPr>
        <w:pStyle w:val="BodyText"/>
        <w:spacing w:line="240" w:lineRule="auto" w:before="26"/>
        <w:ind w:left="530" w:right="87"/>
        <w:jc w:val="left"/>
      </w:pPr>
      <w:r>
        <w:rPr/>
        <w:t>（</w:t>
      </w:r>
      <w:r>
        <w:rPr>
          <w:rFonts w:ascii="Arial Narrow" w:hAnsi="Arial Narrow" w:cs="Arial Narrow" w:eastAsia="Arial Narrow" w:hint="default"/>
        </w:rPr>
        <w:t>2</w:t>
      </w:r>
      <w:r>
        <w:rPr/>
        <w:t>）按权益法核算的长期股权投资收益</w:t>
      </w:r>
    </w:p>
    <w:p>
      <w:pPr>
        <w:spacing w:line="240" w:lineRule="auto" w:before="12"/>
        <w:rPr>
          <w:rFonts w:ascii="宋体" w:hAnsi="宋体" w:cs="宋体" w:eastAsia="宋体" w:hint="default"/>
          <w:sz w:val="22"/>
          <w:szCs w:val="22"/>
        </w:rPr>
      </w:pPr>
    </w:p>
    <w:tbl>
      <w:tblPr>
        <w:tblW w:w="0" w:type="auto"/>
        <w:jc w:val="left"/>
        <w:tblInd w:w="424" w:type="dxa"/>
        <w:tblLayout w:type="fixed"/>
        <w:tblCellMar>
          <w:top w:w="0" w:type="dxa"/>
          <w:left w:w="0" w:type="dxa"/>
          <w:bottom w:w="0" w:type="dxa"/>
          <w:right w:w="0" w:type="dxa"/>
        </w:tblCellMar>
        <w:tblLook w:val="01E0"/>
      </w:tblPr>
      <w:tblGrid>
        <w:gridCol w:w="3503"/>
        <w:gridCol w:w="1699"/>
        <w:gridCol w:w="1696"/>
        <w:gridCol w:w="2958"/>
      </w:tblGrid>
      <w:tr>
        <w:trPr>
          <w:trHeight w:val="622" w:hRule="exact"/>
        </w:trPr>
        <w:tc>
          <w:tcPr>
            <w:tcW w:w="3503" w:type="dxa"/>
            <w:tcBorders>
              <w:top w:val="single" w:sz="8" w:space="0" w:color="000000"/>
              <w:left w:val="nil" w:sz="6" w:space="0" w:color="auto"/>
              <w:bottom w:val="single" w:sz="4" w:space="0" w:color="000000"/>
              <w:right w:val="nil" w:sz="6" w:space="0" w:color="auto"/>
            </w:tcBorders>
          </w:tcPr>
          <w:p>
            <w:pPr>
              <w:pStyle w:val="TableParagraph"/>
              <w:spacing w:line="240" w:lineRule="auto" w:before="108"/>
              <w:ind w:left="107" w:right="0"/>
              <w:jc w:val="left"/>
              <w:rPr>
                <w:rFonts w:ascii="宋体" w:hAnsi="宋体" w:cs="宋体" w:eastAsia="宋体" w:hint="default"/>
                <w:sz w:val="24"/>
                <w:szCs w:val="24"/>
              </w:rPr>
            </w:pPr>
            <w:r>
              <w:rPr>
                <w:rFonts w:ascii="宋体" w:hAnsi="宋体" w:cs="宋体" w:eastAsia="宋体" w:hint="default"/>
                <w:b/>
                <w:bCs/>
                <w:sz w:val="24"/>
                <w:szCs w:val="24"/>
              </w:rPr>
              <w:t>被投资单位名称</w:t>
            </w:r>
            <w:r>
              <w:rPr>
                <w:rFonts w:ascii="宋体" w:hAnsi="宋体" w:cs="宋体" w:eastAsia="宋体" w:hint="default"/>
                <w:sz w:val="24"/>
                <w:szCs w:val="24"/>
              </w:rPr>
            </w:r>
          </w:p>
        </w:tc>
        <w:tc>
          <w:tcPr>
            <w:tcW w:w="1699" w:type="dxa"/>
            <w:tcBorders>
              <w:top w:val="single" w:sz="8" w:space="0" w:color="000000"/>
              <w:left w:val="nil" w:sz="6" w:space="0" w:color="auto"/>
              <w:bottom w:val="single" w:sz="4" w:space="0" w:color="000000"/>
              <w:right w:val="nil" w:sz="6" w:space="0" w:color="auto"/>
            </w:tcBorders>
          </w:tcPr>
          <w:p>
            <w:pPr>
              <w:pStyle w:val="TableParagraph"/>
              <w:spacing w:line="240" w:lineRule="auto" w:before="108"/>
              <w:ind w:right="382"/>
              <w:jc w:val="right"/>
              <w:rPr>
                <w:rFonts w:ascii="宋体" w:hAnsi="宋体" w:cs="宋体" w:eastAsia="宋体" w:hint="default"/>
                <w:sz w:val="24"/>
                <w:szCs w:val="24"/>
              </w:rPr>
            </w:pPr>
            <w:r>
              <w:rPr>
                <w:rFonts w:ascii="宋体" w:hAnsi="宋体" w:cs="宋体" w:eastAsia="宋体" w:hint="default"/>
                <w:b/>
                <w:bCs/>
                <w:w w:val="95"/>
                <w:sz w:val="24"/>
                <w:szCs w:val="24"/>
              </w:rPr>
              <w:t>本期发生额</w:t>
            </w:r>
            <w:r>
              <w:rPr>
                <w:rFonts w:ascii="宋体" w:hAnsi="宋体" w:cs="宋体" w:eastAsia="宋体" w:hint="default"/>
                <w:sz w:val="24"/>
                <w:szCs w:val="24"/>
              </w:rPr>
            </w:r>
          </w:p>
        </w:tc>
        <w:tc>
          <w:tcPr>
            <w:tcW w:w="1696" w:type="dxa"/>
            <w:tcBorders>
              <w:top w:val="single" w:sz="8" w:space="0" w:color="000000"/>
              <w:left w:val="nil" w:sz="6" w:space="0" w:color="auto"/>
              <w:bottom w:val="single" w:sz="4" w:space="0" w:color="000000"/>
              <w:right w:val="nil" w:sz="6" w:space="0" w:color="auto"/>
            </w:tcBorders>
          </w:tcPr>
          <w:p>
            <w:pPr>
              <w:pStyle w:val="TableParagraph"/>
              <w:spacing w:line="240" w:lineRule="auto" w:before="108"/>
              <w:ind w:right="107"/>
              <w:jc w:val="right"/>
              <w:rPr>
                <w:rFonts w:ascii="宋体" w:hAnsi="宋体" w:cs="宋体" w:eastAsia="宋体" w:hint="default"/>
                <w:sz w:val="24"/>
                <w:szCs w:val="24"/>
              </w:rPr>
            </w:pPr>
            <w:r>
              <w:rPr>
                <w:rFonts w:ascii="宋体" w:hAnsi="宋体" w:cs="宋体" w:eastAsia="宋体" w:hint="default"/>
                <w:b/>
                <w:bCs/>
                <w:w w:val="95"/>
                <w:sz w:val="24"/>
                <w:szCs w:val="24"/>
              </w:rPr>
              <w:t>上期发生额</w:t>
            </w:r>
            <w:r>
              <w:rPr>
                <w:rFonts w:ascii="宋体" w:hAnsi="宋体" w:cs="宋体" w:eastAsia="宋体" w:hint="default"/>
                <w:sz w:val="24"/>
                <w:szCs w:val="24"/>
              </w:rPr>
            </w:r>
          </w:p>
        </w:tc>
        <w:tc>
          <w:tcPr>
            <w:tcW w:w="2958" w:type="dxa"/>
            <w:tcBorders>
              <w:top w:val="single" w:sz="8" w:space="0" w:color="000000"/>
              <w:left w:val="nil" w:sz="6" w:space="0" w:color="auto"/>
              <w:bottom w:val="single" w:sz="4" w:space="0" w:color="000000"/>
              <w:right w:val="nil" w:sz="6" w:space="0" w:color="auto"/>
            </w:tcBorders>
          </w:tcPr>
          <w:p>
            <w:pPr>
              <w:pStyle w:val="TableParagraph"/>
              <w:spacing w:line="273" w:lineRule="exact"/>
              <w:ind w:left="109" w:right="0"/>
              <w:jc w:val="left"/>
              <w:rPr>
                <w:rFonts w:ascii="宋体" w:hAnsi="宋体" w:cs="宋体" w:eastAsia="宋体" w:hint="default"/>
                <w:sz w:val="24"/>
                <w:szCs w:val="24"/>
              </w:rPr>
            </w:pPr>
            <w:r>
              <w:rPr>
                <w:rFonts w:ascii="宋体" w:hAnsi="宋体" w:cs="宋体" w:eastAsia="宋体" w:hint="default"/>
                <w:b/>
                <w:bCs/>
                <w:spacing w:val="8"/>
                <w:sz w:val="24"/>
                <w:szCs w:val="24"/>
              </w:rPr>
              <w:t>本期比上期增减变动的原</w:t>
            </w:r>
            <w:r>
              <w:rPr>
                <w:rFonts w:ascii="宋体" w:hAnsi="宋体" w:cs="宋体" w:eastAsia="宋体" w:hint="default"/>
                <w:spacing w:val="8"/>
                <w:sz w:val="24"/>
                <w:szCs w:val="24"/>
              </w:rPr>
            </w:r>
          </w:p>
          <w:p>
            <w:pPr>
              <w:pStyle w:val="TableParagraph"/>
              <w:spacing w:line="313" w:lineRule="exact"/>
              <w:ind w:left="109" w:right="0"/>
              <w:jc w:val="left"/>
              <w:rPr>
                <w:rFonts w:ascii="宋体" w:hAnsi="宋体" w:cs="宋体" w:eastAsia="宋体" w:hint="default"/>
                <w:sz w:val="24"/>
                <w:szCs w:val="24"/>
              </w:rPr>
            </w:pPr>
            <w:r>
              <w:rPr>
                <w:rFonts w:ascii="宋体" w:hAnsi="宋体" w:cs="宋体" w:eastAsia="宋体" w:hint="default"/>
                <w:b/>
                <w:bCs/>
                <w:w w:val="99"/>
                <w:sz w:val="24"/>
                <w:szCs w:val="24"/>
              </w:rPr>
              <w:t>因</w:t>
            </w:r>
            <w:r>
              <w:rPr>
                <w:rFonts w:ascii="宋体" w:hAnsi="宋体" w:cs="宋体" w:eastAsia="宋体" w:hint="default"/>
                <w:sz w:val="24"/>
                <w:szCs w:val="24"/>
              </w:rPr>
            </w:r>
          </w:p>
        </w:tc>
      </w:tr>
      <w:tr>
        <w:trPr>
          <w:trHeight w:val="461" w:hRule="exact"/>
        </w:trPr>
        <w:tc>
          <w:tcPr>
            <w:tcW w:w="350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24"/>
                <w:szCs w:val="24"/>
              </w:rPr>
            </w:pPr>
            <w:r>
              <w:rPr>
                <w:rFonts w:ascii="宋体" w:hAnsi="宋体" w:cs="宋体" w:eastAsia="宋体" w:hint="default"/>
                <w:sz w:val="24"/>
                <w:szCs w:val="24"/>
              </w:rPr>
              <w:t>浙江中科数城软件有限公司</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379"/>
              <w:jc w:val="right"/>
              <w:rPr>
                <w:rFonts w:ascii="Arial Narrow" w:hAnsi="Arial Narrow" w:cs="Arial Narrow" w:eastAsia="Arial Narrow" w:hint="default"/>
                <w:sz w:val="24"/>
                <w:szCs w:val="24"/>
              </w:rPr>
            </w:pPr>
            <w:r>
              <w:rPr>
                <w:rFonts w:ascii="Arial Narrow"/>
                <w:spacing w:val="-1"/>
                <w:sz w:val="24"/>
              </w:rPr>
              <w:t>-327,418.55</w:t>
            </w: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111"/>
              <w:ind w:right="107"/>
              <w:jc w:val="right"/>
              <w:rPr>
                <w:rFonts w:ascii="Arial Narrow" w:hAnsi="Arial Narrow" w:cs="Arial Narrow" w:eastAsia="Arial Narrow" w:hint="default"/>
                <w:sz w:val="24"/>
                <w:szCs w:val="24"/>
              </w:rPr>
            </w:pPr>
            <w:r>
              <w:rPr>
                <w:rFonts w:ascii="Arial Narrow"/>
                <w:spacing w:val="-1"/>
                <w:sz w:val="24"/>
              </w:rPr>
              <w:t>-143,499.29</w:t>
            </w:r>
          </w:p>
        </w:tc>
        <w:tc>
          <w:tcPr>
            <w:tcW w:w="295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5"/>
              <w:jc w:val="right"/>
              <w:rPr>
                <w:rFonts w:ascii="宋体" w:hAnsi="宋体" w:cs="宋体" w:eastAsia="宋体" w:hint="default"/>
                <w:sz w:val="24"/>
                <w:szCs w:val="24"/>
              </w:rPr>
            </w:pPr>
            <w:r>
              <w:rPr>
                <w:rFonts w:ascii="宋体" w:hAnsi="宋体" w:cs="宋体" w:eastAsia="宋体" w:hint="default"/>
                <w:sz w:val="24"/>
                <w:szCs w:val="24"/>
              </w:rPr>
              <w:t>被投资单位净利润变化</w:t>
            </w:r>
          </w:p>
        </w:tc>
      </w:tr>
      <w:tr>
        <w:trPr>
          <w:trHeight w:val="665" w:hRule="exact"/>
        </w:trPr>
        <w:tc>
          <w:tcPr>
            <w:tcW w:w="3503" w:type="dxa"/>
            <w:tcBorders>
              <w:top w:val="nil" w:sz="6" w:space="0" w:color="auto"/>
              <w:left w:val="nil" w:sz="6" w:space="0" w:color="auto"/>
              <w:bottom w:val="single" w:sz="4" w:space="0" w:color="000000"/>
              <w:right w:val="nil" w:sz="6" w:space="0" w:color="auto"/>
            </w:tcBorders>
          </w:tcPr>
          <w:p>
            <w:pPr>
              <w:pStyle w:val="TableParagraph"/>
              <w:spacing w:line="312" w:lineRule="exact" w:before="31"/>
              <w:ind w:left="107" w:right="107"/>
              <w:jc w:val="left"/>
              <w:rPr>
                <w:rFonts w:ascii="宋体" w:hAnsi="宋体" w:cs="宋体" w:eastAsia="宋体" w:hint="default"/>
                <w:sz w:val="24"/>
                <w:szCs w:val="24"/>
              </w:rPr>
            </w:pPr>
            <w:r>
              <w:rPr>
                <w:rFonts w:ascii="宋体" w:hAnsi="宋体" w:cs="宋体" w:eastAsia="宋体" w:hint="default"/>
                <w:spacing w:val="12"/>
                <w:sz w:val="24"/>
                <w:szCs w:val="24"/>
              </w:rPr>
              <w:t>北京国遥新天地信息技术有限</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公司</w:t>
            </w:r>
          </w:p>
        </w:tc>
        <w:tc>
          <w:tcPr>
            <w:tcW w:w="1699" w:type="dxa"/>
            <w:tcBorders>
              <w:top w:val="nil" w:sz="6" w:space="0" w:color="auto"/>
              <w:left w:val="nil" w:sz="6" w:space="0" w:color="auto"/>
              <w:bottom w:val="single" w:sz="4" w:space="0" w:color="000000"/>
              <w:right w:val="nil" w:sz="6" w:space="0" w:color="auto"/>
            </w:tcBorders>
          </w:tcPr>
          <w:p>
            <w:pPr>
              <w:pStyle w:val="TableParagraph"/>
              <w:spacing w:line="240" w:lineRule="auto" w:before="212"/>
              <w:ind w:right="379"/>
              <w:jc w:val="right"/>
              <w:rPr>
                <w:rFonts w:ascii="Arial Narrow" w:hAnsi="Arial Narrow" w:cs="Arial Narrow" w:eastAsia="Arial Narrow" w:hint="default"/>
                <w:sz w:val="24"/>
                <w:szCs w:val="24"/>
              </w:rPr>
            </w:pPr>
            <w:r>
              <w:rPr>
                <w:rFonts w:ascii="Arial Narrow"/>
                <w:spacing w:val="-1"/>
                <w:sz w:val="24"/>
              </w:rPr>
              <w:t>1,709,983.74</w:t>
            </w: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212"/>
              <w:ind w:right="107"/>
              <w:jc w:val="right"/>
              <w:rPr>
                <w:rFonts w:ascii="Arial Narrow" w:hAnsi="Arial Narrow" w:cs="Arial Narrow" w:eastAsia="Arial Narrow" w:hint="default"/>
                <w:sz w:val="24"/>
                <w:szCs w:val="24"/>
              </w:rPr>
            </w:pPr>
            <w:r>
              <w:rPr>
                <w:rFonts w:ascii="Arial Narrow"/>
                <w:spacing w:val="-1"/>
                <w:sz w:val="24"/>
              </w:rPr>
              <w:t>2,210,803.45</w:t>
            </w:r>
          </w:p>
        </w:tc>
        <w:tc>
          <w:tcPr>
            <w:tcW w:w="2958"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right="105"/>
              <w:jc w:val="right"/>
              <w:rPr>
                <w:rFonts w:ascii="宋体" w:hAnsi="宋体" w:cs="宋体" w:eastAsia="宋体" w:hint="default"/>
                <w:sz w:val="24"/>
                <w:szCs w:val="24"/>
              </w:rPr>
            </w:pPr>
            <w:r>
              <w:rPr>
                <w:rFonts w:ascii="宋体" w:hAnsi="宋体" w:cs="宋体" w:eastAsia="宋体" w:hint="default"/>
                <w:sz w:val="24"/>
                <w:szCs w:val="24"/>
              </w:rPr>
              <w:t>被投资单位净利润变化</w:t>
            </w:r>
          </w:p>
        </w:tc>
      </w:tr>
      <w:tr>
        <w:trPr>
          <w:trHeight w:val="403" w:hRule="exact"/>
        </w:trPr>
        <w:tc>
          <w:tcPr>
            <w:tcW w:w="3503"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12" w:lineRule="exact"/>
              <w:ind w:left="107" w:right="0"/>
              <w:jc w:val="left"/>
              <w:rPr>
                <w:rFonts w:ascii="宋体" w:hAnsi="宋体" w:cs="宋体" w:eastAsia="宋体" w:hint="default"/>
                <w:sz w:val="24"/>
                <w:szCs w:val="24"/>
              </w:rPr>
            </w:pPr>
            <w:r>
              <w:rPr>
                <w:rFonts w:ascii="宋体" w:hAnsi="宋体" w:cs="宋体" w:eastAsia="宋体" w:hint="default"/>
                <w:b/>
                <w:bCs/>
                <w:w w:val="95"/>
                <w:sz w:val="24"/>
                <w:szCs w:val="24"/>
              </w:rPr>
              <w:t>合</w:t>
              <w:tab/>
            </w:r>
            <w:r>
              <w:rPr>
                <w:rFonts w:ascii="宋体" w:hAnsi="宋体" w:cs="宋体" w:eastAsia="宋体" w:hint="default"/>
                <w:b/>
                <w:bCs/>
                <w:sz w:val="24"/>
                <w:szCs w:val="24"/>
              </w:rPr>
              <w:t>计</w:t>
            </w:r>
            <w:r>
              <w:rPr>
                <w:rFonts w:ascii="宋体" w:hAnsi="宋体" w:cs="宋体" w:eastAsia="宋体" w:hint="default"/>
                <w:sz w:val="24"/>
                <w:szCs w:val="24"/>
              </w:rPr>
            </w:r>
          </w:p>
        </w:tc>
        <w:tc>
          <w:tcPr>
            <w:tcW w:w="169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379"/>
              <w:jc w:val="right"/>
              <w:rPr>
                <w:rFonts w:ascii="Arial Narrow" w:hAnsi="Arial Narrow" w:cs="Arial Narrow" w:eastAsia="Arial Narrow" w:hint="default"/>
                <w:sz w:val="24"/>
                <w:szCs w:val="24"/>
              </w:rPr>
            </w:pPr>
            <w:r>
              <w:rPr>
                <w:rFonts w:ascii="Arial Narrow"/>
                <w:b/>
                <w:spacing w:val="-1"/>
                <w:sz w:val="24"/>
              </w:rPr>
              <w:t>1,382,565.19</w:t>
            </w:r>
            <w:r>
              <w:rPr>
                <w:rFonts w:ascii="Arial Narrow"/>
                <w:spacing w:val="-1"/>
                <w:sz w:val="24"/>
              </w:rPr>
            </w:r>
          </w:p>
        </w:tc>
        <w:tc>
          <w:tcPr>
            <w:tcW w:w="169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4"/>
                <w:szCs w:val="24"/>
              </w:rPr>
            </w:pPr>
            <w:r>
              <w:rPr>
                <w:rFonts w:ascii="Arial Narrow"/>
                <w:b/>
                <w:spacing w:val="-1"/>
                <w:sz w:val="24"/>
              </w:rPr>
              <w:t>2,067,304.16</w:t>
            </w:r>
            <w:r>
              <w:rPr>
                <w:rFonts w:ascii="Arial Narrow"/>
                <w:spacing w:val="-1"/>
                <w:sz w:val="24"/>
              </w:rPr>
            </w:r>
          </w:p>
        </w:tc>
        <w:tc>
          <w:tcPr>
            <w:tcW w:w="2958"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2"/>
              <w:jc w:val="right"/>
              <w:rPr>
                <w:rFonts w:ascii="Arial Narrow" w:hAnsi="Arial Narrow" w:cs="Arial Narrow" w:eastAsia="Arial Narrow" w:hint="default"/>
                <w:sz w:val="24"/>
                <w:szCs w:val="24"/>
              </w:rPr>
            </w:pPr>
            <w:r>
              <w:rPr>
                <w:rFonts w:ascii="Arial Narrow"/>
                <w:b/>
                <w:sz w:val="24"/>
              </w:rPr>
              <w:t>-</w:t>
            </w:r>
            <w:r>
              <w:rPr>
                <w:rFonts w:ascii="Arial Narrow"/>
                <w:sz w:val="24"/>
              </w:rPr>
            </w:r>
          </w:p>
        </w:tc>
      </w:tr>
    </w:tbl>
    <w:p>
      <w:pPr>
        <w:spacing w:line="240" w:lineRule="auto" w:before="11"/>
        <w:rPr>
          <w:rFonts w:ascii="宋体" w:hAnsi="宋体" w:cs="宋体" w:eastAsia="宋体" w:hint="default"/>
          <w:sz w:val="6"/>
          <w:szCs w:val="6"/>
        </w:rPr>
      </w:pPr>
    </w:p>
    <w:p>
      <w:pPr>
        <w:pStyle w:val="BodyText"/>
        <w:spacing w:line="240" w:lineRule="auto" w:before="26"/>
        <w:ind w:left="112" w:right="87"/>
        <w:jc w:val="left"/>
      </w:pPr>
      <w:r>
        <w:rPr>
          <w:rFonts w:ascii="Arial Narrow" w:hAnsi="Arial Narrow" w:cs="Arial Narrow" w:eastAsia="Arial Narrow" w:hint="default"/>
        </w:rPr>
        <w:t>6</w:t>
      </w:r>
      <w:r>
        <w:rPr/>
        <w:t>、现金流量表补充资料</w:t>
      </w:r>
    </w:p>
    <w:p>
      <w:pPr>
        <w:spacing w:line="240" w:lineRule="auto" w:before="12"/>
        <w:rPr>
          <w:rFonts w:ascii="宋体" w:hAnsi="宋体" w:cs="宋体" w:eastAsia="宋体" w:hint="default"/>
          <w:sz w:val="22"/>
          <w:szCs w:val="22"/>
        </w:rPr>
      </w:pPr>
    </w:p>
    <w:tbl>
      <w:tblPr>
        <w:tblW w:w="0" w:type="auto"/>
        <w:jc w:val="left"/>
        <w:tblInd w:w="532" w:type="dxa"/>
        <w:tblLayout w:type="fixed"/>
        <w:tblCellMar>
          <w:top w:w="0" w:type="dxa"/>
          <w:left w:w="0" w:type="dxa"/>
          <w:bottom w:w="0" w:type="dxa"/>
          <w:right w:w="0" w:type="dxa"/>
        </w:tblCellMar>
        <w:tblLook w:val="01E0"/>
      </w:tblPr>
      <w:tblGrid>
        <w:gridCol w:w="5280"/>
        <w:gridCol w:w="2206"/>
        <w:gridCol w:w="1656"/>
      </w:tblGrid>
      <w:tr>
        <w:trPr>
          <w:trHeight w:val="415" w:hRule="exact"/>
        </w:trPr>
        <w:tc>
          <w:tcPr>
            <w:tcW w:w="5280" w:type="dxa"/>
            <w:tcBorders>
              <w:top w:val="single" w:sz="8" w:space="0" w:color="000000"/>
              <w:left w:val="nil" w:sz="6" w:space="0" w:color="auto"/>
              <w:bottom w:val="single" w:sz="4" w:space="0" w:color="000000"/>
              <w:right w:val="nil" w:sz="6" w:space="0" w:color="auto"/>
            </w:tcBorders>
          </w:tcPr>
          <w:p>
            <w:pPr>
              <w:pStyle w:val="TableParagraph"/>
              <w:spacing w:line="240" w:lineRule="auto" w:before="33"/>
              <w:ind w:left="88"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206"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551"/>
              <w:jc w:val="righ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56"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0"/>
              <w:jc w:val="righ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02" w:hRule="exact"/>
        </w:trPr>
        <w:tc>
          <w:tcPr>
            <w:tcW w:w="528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Arial Narrow" w:hAnsi="Arial Narrow" w:cs="Arial Narrow" w:eastAsia="Arial Narrow"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206" w:type="dxa"/>
            <w:tcBorders>
              <w:top w:val="single" w:sz="4" w:space="0" w:color="000000"/>
              <w:left w:val="nil" w:sz="6" w:space="0" w:color="auto"/>
              <w:bottom w:val="nil" w:sz="6" w:space="0" w:color="auto"/>
              <w:right w:val="nil" w:sz="6" w:space="0" w:color="auto"/>
            </w:tcBorders>
          </w:tcPr>
          <w:p>
            <w:pPr/>
          </w:p>
        </w:tc>
        <w:tc>
          <w:tcPr>
            <w:tcW w:w="1656" w:type="dxa"/>
            <w:tcBorders>
              <w:top w:val="single" w:sz="4" w:space="0" w:color="000000"/>
              <w:left w:val="nil" w:sz="6" w:space="0" w:color="auto"/>
              <w:bottom w:val="nil" w:sz="6" w:space="0" w:color="auto"/>
              <w:right w:val="nil" w:sz="6" w:space="0" w:color="auto"/>
            </w:tcBorders>
          </w:tcPr>
          <w:p>
            <w:pPr/>
          </w:p>
        </w:tc>
      </w:tr>
      <w:tr>
        <w:trPr>
          <w:trHeight w:val="394"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49"/>
              <w:jc w:val="right"/>
              <w:rPr>
                <w:rFonts w:ascii="Arial Narrow" w:hAnsi="Arial Narrow" w:cs="Arial Narrow" w:eastAsia="Arial Narrow" w:hint="default"/>
                <w:sz w:val="21"/>
                <w:szCs w:val="21"/>
              </w:rPr>
            </w:pPr>
            <w:r>
              <w:rPr>
                <w:rFonts w:ascii="Arial Narrow"/>
                <w:spacing w:val="-1"/>
                <w:sz w:val="21"/>
              </w:rPr>
              <w:t>41,779,333.72</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0"/>
              <w:jc w:val="right"/>
              <w:rPr>
                <w:rFonts w:ascii="Arial Narrow" w:hAnsi="Arial Narrow" w:cs="Arial Narrow" w:eastAsia="Arial Narrow" w:hint="default"/>
                <w:sz w:val="21"/>
                <w:szCs w:val="21"/>
              </w:rPr>
            </w:pPr>
            <w:r>
              <w:rPr>
                <w:rFonts w:ascii="Arial Narrow"/>
                <w:spacing w:val="-1"/>
                <w:sz w:val="21"/>
              </w:rPr>
              <w:t>41,868,281.92</w:t>
            </w:r>
            <w:r>
              <w:rPr>
                <w:rFonts w:ascii="Arial Narrow"/>
                <w:sz w:val="21"/>
              </w:rPr>
            </w:r>
          </w:p>
        </w:tc>
      </w:tr>
      <w:tr>
        <w:trPr>
          <w:trHeight w:val="376"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49"/>
              <w:jc w:val="right"/>
              <w:rPr>
                <w:rFonts w:ascii="Arial Narrow" w:hAnsi="Arial Narrow" w:cs="Arial Narrow" w:eastAsia="Arial Narrow" w:hint="default"/>
                <w:sz w:val="21"/>
                <w:szCs w:val="21"/>
              </w:rPr>
            </w:pPr>
            <w:r>
              <w:rPr>
                <w:rFonts w:ascii="Arial Narrow"/>
                <w:spacing w:val="-1"/>
                <w:sz w:val="21"/>
              </w:rPr>
              <w:t>10,166,741.27</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spacing w:val="-2"/>
                <w:sz w:val="21"/>
              </w:rPr>
              <w:t>8,868,058.11</w:t>
            </w:r>
          </w:p>
        </w:tc>
      </w:tr>
      <w:tr>
        <w:trPr>
          <w:trHeight w:val="657"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73" w:lineRule="auto" w:before="4"/>
              <w:ind w:right="652"/>
              <w:jc w:val="left"/>
              <w:rPr>
                <w:rFonts w:ascii="宋体" w:hAnsi="宋体" w:cs="宋体" w:eastAsia="宋体" w:hint="default"/>
                <w:sz w:val="21"/>
                <w:szCs w:val="21"/>
              </w:rPr>
            </w:pPr>
            <w:r>
              <w:rPr>
                <w:rFonts w:ascii="宋体" w:hAnsi="宋体" w:cs="宋体" w:eastAsia="宋体" w:hint="default"/>
                <w:spacing w:val="-2"/>
                <w:sz w:val="21"/>
                <w:szCs w:val="21"/>
              </w:rPr>
              <w:t>固定资产折旧、投资性房地产折旧、油气资产折耗</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生产性生物资产折旧</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549"/>
              <w:jc w:val="right"/>
              <w:rPr>
                <w:rFonts w:ascii="Arial Narrow" w:hAnsi="Arial Narrow" w:cs="Arial Narrow" w:eastAsia="Arial Narrow" w:hint="default"/>
                <w:sz w:val="21"/>
                <w:szCs w:val="21"/>
              </w:rPr>
            </w:pPr>
            <w:r>
              <w:rPr>
                <w:rFonts w:ascii="Arial Narrow"/>
                <w:spacing w:val="-1"/>
                <w:sz w:val="21"/>
              </w:rPr>
              <w:t>4,973,395.78</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right"/>
              <w:rPr>
                <w:rFonts w:ascii="Arial Narrow" w:hAnsi="Arial Narrow" w:cs="Arial Narrow" w:eastAsia="Arial Narrow" w:hint="default"/>
                <w:sz w:val="21"/>
                <w:szCs w:val="21"/>
              </w:rPr>
            </w:pPr>
            <w:r>
              <w:rPr>
                <w:rFonts w:ascii="Arial Narrow"/>
                <w:spacing w:val="-1"/>
                <w:sz w:val="21"/>
              </w:rPr>
              <w:t>2,428,161.06</w:t>
            </w:r>
            <w:r>
              <w:rPr>
                <w:rFonts w:ascii="Arial Narrow"/>
                <w:sz w:val="21"/>
              </w:rPr>
            </w:r>
          </w:p>
        </w:tc>
      </w:tr>
      <w:tr>
        <w:trPr>
          <w:trHeight w:val="373"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49"/>
              <w:jc w:val="right"/>
              <w:rPr>
                <w:rFonts w:ascii="Arial Narrow" w:hAnsi="Arial Narrow" w:cs="Arial Narrow" w:eastAsia="Arial Narrow" w:hint="default"/>
                <w:sz w:val="21"/>
                <w:szCs w:val="21"/>
              </w:rPr>
            </w:pPr>
            <w:r>
              <w:rPr>
                <w:rFonts w:ascii="Arial Narrow"/>
                <w:spacing w:val="-1"/>
                <w:sz w:val="21"/>
              </w:rPr>
              <w:t>124,212.16</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Arial Narrow" w:hAnsi="Arial Narrow" w:cs="Arial Narrow" w:eastAsia="Arial Narrow" w:hint="default"/>
                <w:sz w:val="21"/>
                <w:szCs w:val="21"/>
              </w:rPr>
            </w:pPr>
            <w:r>
              <w:rPr>
                <w:rFonts w:ascii="Arial Narrow"/>
                <w:spacing w:val="-1"/>
                <w:sz w:val="21"/>
              </w:rPr>
              <w:t>54,289.74</w:t>
            </w:r>
            <w:r>
              <w:rPr>
                <w:rFonts w:ascii="Arial Narrow"/>
                <w:sz w:val="21"/>
              </w:rPr>
            </w:r>
          </w:p>
        </w:tc>
      </w:tr>
      <w:tr>
        <w:trPr>
          <w:trHeight w:val="376"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49"/>
              <w:jc w:val="right"/>
              <w:rPr>
                <w:rFonts w:ascii="Arial Narrow" w:hAnsi="Arial Narrow" w:cs="Arial Narrow" w:eastAsia="Arial Narrow" w:hint="default"/>
                <w:sz w:val="21"/>
                <w:szCs w:val="21"/>
              </w:rPr>
            </w:pPr>
            <w:r>
              <w:rPr>
                <w:rFonts w:ascii="Arial Narrow"/>
                <w:spacing w:val="-1"/>
                <w:sz w:val="21"/>
              </w:rPr>
              <w:t>207,774.94</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right"/>
              <w:rPr>
                <w:rFonts w:ascii="Arial Narrow" w:hAnsi="Arial Narrow" w:cs="Arial Narrow" w:eastAsia="Arial Narrow" w:hint="default"/>
                <w:sz w:val="21"/>
                <w:szCs w:val="21"/>
              </w:rPr>
            </w:pPr>
            <w:r>
              <w:rPr>
                <w:rFonts w:ascii="Arial Narrow"/>
                <w:w w:val="100"/>
                <w:sz w:val="21"/>
              </w:rPr>
              <w:t>-</w:t>
            </w:r>
          </w:p>
        </w:tc>
      </w:tr>
      <w:tr>
        <w:trPr>
          <w:trHeight w:val="662"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73" w:lineRule="auto" w:before="3"/>
              <w:ind w:right="549"/>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处置固定资产、无形资产和其他长期资产的损失（收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49"/>
              <w:jc w:val="right"/>
              <w:rPr>
                <w:rFonts w:ascii="Arial Narrow" w:hAnsi="Arial Narrow" w:cs="Arial Narrow" w:eastAsia="Arial Narrow" w:hint="default"/>
                <w:sz w:val="21"/>
                <w:szCs w:val="21"/>
              </w:rPr>
            </w:pPr>
            <w:r>
              <w:rPr>
                <w:rFonts w:ascii="Arial Narrow"/>
                <w:spacing w:val="-1"/>
                <w:sz w:val="21"/>
              </w:rPr>
              <w:t>418,216.93</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right"/>
              <w:rPr>
                <w:rFonts w:ascii="Arial Narrow" w:hAnsi="Arial Narrow" w:cs="Arial Narrow" w:eastAsia="Arial Narrow" w:hint="default"/>
                <w:sz w:val="21"/>
                <w:szCs w:val="21"/>
              </w:rPr>
            </w:pPr>
            <w:r>
              <w:rPr>
                <w:rFonts w:ascii="Arial Narrow"/>
                <w:spacing w:val="-1"/>
                <w:sz w:val="21"/>
              </w:rPr>
              <w:t>-6,684.26</w:t>
            </w:r>
            <w:r>
              <w:rPr>
                <w:rFonts w:ascii="Arial Narrow"/>
                <w:sz w:val="21"/>
              </w:rPr>
            </w:r>
          </w:p>
        </w:tc>
      </w:tr>
      <w:tr>
        <w:trPr>
          <w:trHeight w:val="371"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88" w:lineRule="exact"/>
              <w:ind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51"/>
              <w:jc w:val="right"/>
              <w:rPr>
                <w:rFonts w:ascii="Arial Narrow" w:hAnsi="Arial Narrow" w:cs="Arial Narrow" w:eastAsia="Arial Narrow" w:hint="default"/>
                <w:sz w:val="21"/>
                <w:szCs w:val="21"/>
              </w:rPr>
            </w:pPr>
            <w:r>
              <w:rPr>
                <w:rFonts w:ascii="Arial Narrow"/>
                <w:w w:val="100"/>
                <w:sz w:val="21"/>
              </w:rPr>
              <w:t>-</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Arial Narrow" w:hAnsi="Arial Narrow" w:cs="Arial Narrow" w:eastAsia="Arial Narrow" w:hint="default"/>
                <w:sz w:val="21"/>
                <w:szCs w:val="21"/>
              </w:rPr>
            </w:pPr>
            <w:r>
              <w:rPr>
                <w:rFonts w:ascii="Arial Narrow"/>
                <w:w w:val="100"/>
                <w:sz w:val="21"/>
              </w:rPr>
              <w:t>-</w:t>
            </w:r>
          </w:p>
        </w:tc>
      </w:tr>
      <w:tr>
        <w:trPr>
          <w:trHeight w:val="396"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51"/>
              <w:jc w:val="right"/>
              <w:rPr>
                <w:rFonts w:ascii="Arial Narrow" w:hAnsi="Arial Narrow" w:cs="Arial Narrow" w:eastAsia="Arial Narrow" w:hint="default"/>
                <w:sz w:val="21"/>
                <w:szCs w:val="21"/>
              </w:rPr>
            </w:pPr>
            <w:r>
              <w:rPr>
                <w:rFonts w:ascii="Arial Narrow"/>
                <w:w w:val="100"/>
                <w:sz w:val="21"/>
              </w:rPr>
              <w:t>-</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49"/>
              <w:jc w:val="right"/>
              <w:rPr>
                <w:rFonts w:ascii="Arial Narrow" w:hAnsi="Arial Narrow" w:cs="Arial Narrow" w:eastAsia="Arial Narrow" w:hint="default"/>
                <w:sz w:val="21"/>
                <w:szCs w:val="21"/>
              </w:rPr>
            </w:pPr>
            <w:r>
              <w:rPr>
                <w:rFonts w:ascii="Arial Narrow"/>
                <w:spacing w:val="-1"/>
                <w:sz w:val="21"/>
              </w:rPr>
              <w:t>-7,519,272.46</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-6,527,143.90</w:t>
            </w:r>
            <w:r>
              <w:rPr>
                <w:rFonts w:ascii="Arial Narrow"/>
                <w:sz w:val="21"/>
              </w:rPr>
            </w:r>
          </w:p>
        </w:tc>
      </w:tr>
      <w:tr>
        <w:trPr>
          <w:trHeight w:val="309" w:hRule="exact"/>
        </w:trPr>
        <w:tc>
          <w:tcPr>
            <w:tcW w:w="52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2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49"/>
              <w:jc w:val="right"/>
              <w:rPr>
                <w:rFonts w:ascii="Arial Narrow" w:hAnsi="Arial Narrow" w:cs="Arial Narrow" w:eastAsia="Arial Narrow" w:hint="default"/>
                <w:sz w:val="21"/>
                <w:szCs w:val="21"/>
              </w:rPr>
            </w:pPr>
            <w:r>
              <w:rPr>
                <w:rFonts w:ascii="Arial Narrow"/>
                <w:spacing w:val="-1"/>
                <w:sz w:val="21"/>
              </w:rPr>
              <w:t>-1,382,565.19</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spacing w:val="-1"/>
                <w:sz w:val="21"/>
              </w:rPr>
              <w:t>-2,102,847.19</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929" w:top="1100" w:bottom="1120" w:left="600" w:right="920"/>
        </w:sectPr>
      </w:pPr>
    </w:p>
    <w:p>
      <w:pPr>
        <w:spacing w:line="240" w:lineRule="auto" w:before="7"/>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763864"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504" w:type="dxa"/>
        <w:tblLayout w:type="fixed"/>
        <w:tblCellMar>
          <w:top w:w="0" w:type="dxa"/>
          <w:left w:w="0" w:type="dxa"/>
          <w:bottom w:w="0" w:type="dxa"/>
          <w:right w:w="0" w:type="dxa"/>
        </w:tblCellMar>
        <w:tblLook w:val="01E0"/>
      </w:tblPr>
      <w:tblGrid>
        <w:gridCol w:w="4930"/>
        <w:gridCol w:w="2537"/>
        <w:gridCol w:w="1703"/>
      </w:tblGrid>
      <w:tr>
        <w:trPr>
          <w:trHeight w:val="409"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501"/>
              <w:jc w:val="right"/>
              <w:rPr>
                <w:rFonts w:ascii="Arial Narrow" w:hAnsi="Arial Narrow" w:cs="Arial Narrow" w:eastAsia="Arial Narrow" w:hint="default"/>
                <w:sz w:val="21"/>
                <w:szCs w:val="21"/>
              </w:rPr>
            </w:pPr>
            <w:r>
              <w:rPr>
                <w:rFonts w:ascii="Arial Narrow"/>
                <w:spacing w:val="-1"/>
                <w:sz w:val="21"/>
              </w:rPr>
              <w:t>-1,016,674.13</w:t>
            </w:r>
            <w:r>
              <w:rPr>
                <w:rFonts w:ascii="Arial Narrow"/>
                <w:sz w:val="21"/>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right"/>
              <w:rPr>
                <w:rFonts w:ascii="Arial Narrow" w:hAnsi="Arial Narrow" w:cs="Arial Narrow" w:eastAsia="Arial Narrow" w:hint="default"/>
                <w:sz w:val="21"/>
                <w:szCs w:val="21"/>
              </w:rPr>
            </w:pPr>
            <w:r>
              <w:rPr>
                <w:rFonts w:ascii="Arial Narrow"/>
                <w:spacing w:val="-1"/>
                <w:sz w:val="21"/>
              </w:rPr>
              <w:t>-886,805.81</w:t>
            </w:r>
            <w:r>
              <w:rPr>
                <w:rFonts w:ascii="Arial Narrow"/>
                <w:sz w:val="21"/>
              </w:rPr>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3"/>
              <w:jc w:val="right"/>
              <w:rPr>
                <w:rFonts w:ascii="Arial Narrow" w:hAnsi="Arial Narrow" w:cs="Arial Narrow" w:eastAsia="Arial Narrow" w:hint="default"/>
                <w:sz w:val="21"/>
                <w:szCs w:val="21"/>
              </w:rPr>
            </w:pPr>
            <w:r>
              <w:rPr>
                <w:rFonts w:ascii="Arial Narrow"/>
                <w:w w:val="100"/>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3"/>
              <w:jc w:val="right"/>
              <w:rPr>
                <w:rFonts w:ascii="Arial Narrow" w:hAnsi="Arial Narrow" w:cs="Arial Narrow" w:eastAsia="Arial Narrow" w:hint="default"/>
                <w:sz w:val="21"/>
                <w:szCs w:val="21"/>
              </w:rPr>
            </w:pPr>
            <w:r>
              <w:rPr>
                <w:rFonts w:ascii="Arial Narrow"/>
                <w:w w:val="100"/>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0"/>
              <w:jc w:val="right"/>
              <w:rPr>
                <w:rFonts w:ascii="Arial Narrow" w:hAnsi="Arial Narrow" w:cs="Arial Narrow" w:eastAsia="Arial Narrow" w:hint="default"/>
                <w:sz w:val="21"/>
                <w:szCs w:val="21"/>
              </w:rPr>
            </w:pPr>
            <w:r>
              <w:rPr>
                <w:rFonts w:ascii="Arial Narrow"/>
                <w:spacing w:val="-2"/>
                <w:sz w:val="21"/>
              </w:rPr>
              <w:t>-115,821,139.15</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spacing w:val="-1"/>
                <w:sz w:val="21"/>
              </w:rPr>
              <w:t>-66,317,724.33</w:t>
            </w:r>
            <w:r>
              <w:rPr>
                <w:rFonts w:ascii="Arial Narrow"/>
                <w:sz w:val="21"/>
              </w:rPr>
            </w:r>
          </w:p>
        </w:tc>
      </w:tr>
      <w:tr>
        <w:trPr>
          <w:trHeight w:val="39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Narrow" w:hAnsi="Arial Narrow" w:cs="Arial Narrow" w:eastAsia="Arial Narrow" w:hint="default"/>
                <w:sz w:val="21"/>
                <w:szCs w:val="21"/>
              </w:rPr>
              <w:t>“</w:t>
            </w:r>
            <w:r>
              <w:rPr>
                <w:rFonts w:ascii="宋体" w:hAnsi="宋体" w:cs="宋体" w:eastAsia="宋体" w:hint="default"/>
                <w:sz w:val="21"/>
                <w:szCs w:val="21"/>
              </w:rPr>
              <w:t>－</w:t>
            </w:r>
            <w:r>
              <w:rPr>
                <w:rFonts w:ascii="Arial Narrow" w:hAnsi="Arial Narrow" w:cs="Arial Narrow" w:eastAsia="Arial Narrow" w:hint="default"/>
                <w:sz w:val="21"/>
                <w:szCs w:val="21"/>
              </w:rPr>
              <w:t>”</w:t>
            </w:r>
            <w:r>
              <w:rPr>
                <w:rFonts w:ascii="宋体" w:hAnsi="宋体" w:cs="宋体" w:eastAsia="宋体" w:hint="default"/>
                <w:sz w:val="21"/>
                <w:szCs w:val="21"/>
              </w:rPr>
              <w:t>号填列）</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1"/>
              <w:jc w:val="right"/>
              <w:rPr>
                <w:rFonts w:ascii="Arial Narrow" w:hAnsi="Arial Narrow" w:cs="Arial Narrow" w:eastAsia="Arial Narrow" w:hint="default"/>
                <w:sz w:val="21"/>
                <w:szCs w:val="21"/>
              </w:rPr>
            </w:pPr>
            <w:r>
              <w:rPr>
                <w:rFonts w:ascii="Arial Narrow"/>
                <w:spacing w:val="-1"/>
                <w:sz w:val="21"/>
              </w:rPr>
              <w:t>73,143,102.89</w:t>
            </w:r>
            <w:r>
              <w:rPr>
                <w:rFonts w:ascii="Arial Narrow"/>
                <w:sz w:val="21"/>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45,150,763.42</w:t>
            </w:r>
            <w:r>
              <w:rPr>
                <w:rFonts w:ascii="Arial Narrow"/>
                <w:sz w:val="21"/>
              </w:rPr>
            </w:r>
          </w:p>
        </w:tc>
      </w:tr>
      <w:tr>
        <w:trPr>
          <w:trHeight w:val="39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1"/>
              <w:jc w:val="right"/>
              <w:rPr>
                <w:rFonts w:ascii="Arial Narrow" w:hAnsi="Arial Narrow" w:cs="Arial Narrow" w:eastAsia="Arial Narrow" w:hint="default"/>
                <w:sz w:val="21"/>
                <w:szCs w:val="21"/>
              </w:rPr>
            </w:pPr>
            <w:r>
              <w:rPr>
                <w:rFonts w:ascii="Arial Narrow"/>
                <w:spacing w:val="-1"/>
                <w:sz w:val="21"/>
              </w:rPr>
              <w:t>-2,357,983.94</w:t>
            </w:r>
            <w:r>
              <w:rPr>
                <w:rFonts w:ascii="Arial Narrow"/>
                <w:sz w:val="21"/>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-2,685,249.68</w:t>
            </w:r>
            <w:r>
              <w:rPr>
                <w:rFonts w:ascii="Arial Narrow"/>
                <w:sz w:val="21"/>
              </w:rPr>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spacing w:val="-1"/>
                <w:sz w:val="21"/>
              </w:rPr>
              <w:t>2,715,142.82</w:t>
            </w:r>
            <w:r>
              <w:rPr>
                <w:rFonts w:ascii="Arial Narrow"/>
                <w:sz w:val="21"/>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right"/>
              <w:rPr>
                <w:rFonts w:ascii="Arial Narrow" w:hAnsi="Arial Narrow" w:cs="Arial Narrow" w:eastAsia="Arial Narrow" w:hint="default"/>
                <w:sz w:val="21"/>
                <w:szCs w:val="21"/>
              </w:rPr>
            </w:pPr>
            <w:r>
              <w:rPr>
                <w:rFonts w:ascii="Arial Narrow"/>
                <w:spacing w:val="-1"/>
                <w:sz w:val="21"/>
              </w:rPr>
              <w:t>19,843,099.08</w:t>
            </w:r>
            <w:r>
              <w:rPr>
                <w:rFonts w:ascii="Arial Narrow"/>
                <w:sz w:val="21"/>
              </w:rPr>
            </w:r>
          </w:p>
        </w:tc>
      </w:tr>
      <w:tr>
        <w:trPr>
          <w:trHeight w:val="398"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Arial Narrow" w:hAnsi="Arial Narrow" w:cs="Arial Narrow" w:eastAsia="Arial Narrow"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537"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r>
      <w:tr>
        <w:trPr>
          <w:trHeight w:val="39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3"/>
              <w:jc w:val="right"/>
              <w:rPr>
                <w:rFonts w:ascii="Arial Narrow" w:hAnsi="Arial Narrow" w:cs="Arial Narrow" w:eastAsia="Arial Narrow" w:hint="default"/>
                <w:sz w:val="21"/>
                <w:szCs w:val="21"/>
              </w:rPr>
            </w:pPr>
            <w:r>
              <w:rPr>
                <w:rFonts w:ascii="Arial Narrow"/>
                <w:w w:val="100"/>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w w:val="100"/>
                <w:sz w:val="21"/>
              </w:rPr>
              <w:t>-</w:t>
            </w:r>
          </w:p>
        </w:tc>
      </w:tr>
      <w:tr>
        <w:trPr>
          <w:trHeight w:val="398"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3"/>
              <w:jc w:val="right"/>
              <w:rPr>
                <w:rFonts w:ascii="Arial Narrow" w:hAnsi="Arial Narrow" w:cs="Arial Narrow" w:eastAsia="Arial Narrow" w:hint="default"/>
                <w:sz w:val="21"/>
                <w:szCs w:val="21"/>
              </w:rPr>
            </w:pPr>
            <w:r>
              <w:rPr>
                <w:rFonts w:ascii="Arial Narrow"/>
                <w:w w:val="100"/>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3"/>
              <w:jc w:val="right"/>
              <w:rPr>
                <w:rFonts w:ascii="Arial Narrow" w:hAnsi="Arial Narrow" w:cs="Arial Narrow" w:eastAsia="Arial Narrow" w:hint="default"/>
                <w:sz w:val="21"/>
                <w:szCs w:val="21"/>
              </w:rPr>
            </w:pPr>
            <w:r>
              <w:rPr>
                <w:rFonts w:ascii="Arial Narrow"/>
                <w:w w:val="100"/>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537"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
        </w:tc>
      </w:tr>
      <w:tr>
        <w:trPr>
          <w:trHeight w:val="396"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1"/>
              <w:jc w:val="right"/>
              <w:rPr>
                <w:rFonts w:ascii="Arial Narrow" w:hAnsi="Arial Narrow" w:cs="Arial Narrow" w:eastAsia="Arial Narrow" w:hint="default"/>
                <w:sz w:val="21"/>
                <w:szCs w:val="21"/>
              </w:rPr>
            </w:pPr>
            <w:r>
              <w:rPr>
                <w:rFonts w:ascii="Arial Narrow"/>
                <w:spacing w:val="-1"/>
                <w:sz w:val="21"/>
              </w:rPr>
              <w:t>353,400,140.38</w:t>
            </w:r>
            <w:r>
              <w:rPr>
                <w:rFonts w:ascii="Arial Narrow"/>
                <w:sz w:val="21"/>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0"/>
              <w:jc w:val="right"/>
              <w:rPr>
                <w:rFonts w:ascii="Arial Narrow" w:hAnsi="Arial Narrow" w:cs="Arial Narrow" w:eastAsia="Arial Narrow" w:hint="default"/>
                <w:sz w:val="21"/>
                <w:szCs w:val="21"/>
              </w:rPr>
            </w:pPr>
            <w:r>
              <w:rPr>
                <w:rFonts w:ascii="Arial Narrow"/>
                <w:spacing w:val="-1"/>
                <w:sz w:val="21"/>
              </w:rPr>
              <w:t>366,139,319.39</w:t>
            </w:r>
            <w:r>
              <w:rPr>
                <w:rFonts w:ascii="Arial Narrow"/>
                <w:sz w:val="21"/>
              </w:rPr>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1"/>
              <w:jc w:val="right"/>
              <w:rPr>
                <w:rFonts w:ascii="Arial Narrow" w:hAnsi="Arial Narrow" w:cs="Arial Narrow" w:eastAsia="Arial Narrow" w:hint="default"/>
                <w:sz w:val="21"/>
                <w:szCs w:val="21"/>
              </w:rPr>
            </w:pPr>
            <w:r>
              <w:rPr>
                <w:rFonts w:ascii="Arial Narrow"/>
                <w:spacing w:val="-1"/>
                <w:sz w:val="21"/>
              </w:rPr>
              <w:t>366,139,319.39</w:t>
            </w:r>
            <w:r>
              <w:rPr>
                <w:rFonts w:ascii="Arial Narrow"/>
                <w:sz w:val="21"/>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right"/>
              <w:rPr>
                <w:rFonts w:ascii="Arial Narrow" w:hAnsi="Arial Narrow" w:cs="Arial Narrow" w:eastAsia="Arial Narrow" w:hint="default"/>
                <w:sz w:val="21"/>
                <w:szCs w:val="21"/>
              </w:rPr>
            </w:pPr>
            <w:r>
              <w:rPr>
                <w:rFonts w:ascii="Arial Narrow"/>
                <w:spacing w:val="-1"/>
                <w:sz w:val="21"/>
              </w:rPr>
              <w:t>391,012,501.30</w:t>
            </w:r>
            <w:r>
              <w:rPr>
                <w:rFonts w:ascii="Arial Narrow"/>
                <w:sz w:val="21"/>
              </w:rPr>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03"/>
              <w:jc w:val="right"/>
              <w:rPr>
                <w:rFonts w:ascii="Arial Narrow" w:hAnsi="Arial Narrow" w:cs="Arial Narrow" w:eastAsia="Arial Narrow" w:hint="default"/>
                <w:sz w:val="21"/>
                <w:szCs w:val="21"/>
              </w:rPr>
            </w:pPr>
            <w:r>
              <w:rPr>
                <w:rFonts w:ascii="Arial Narrow"/>
                <w:w w:val="100"/>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w w:val="100"/>
                <w:sz w:val="21"/>
              </w:rPr>
              <w:t>-</w:t>
            </w:r>
          </w:p>
        </w:tc>
      </w:tr>
      <w:tr>
        <w:trPr>
          <w:trHeight w:val="397" w:hRule="exact"/>
        </w:trPr>
        <w:tc>
          <w:tcPr>
            <w:tcW w:w="49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03"/>
              <w:jc w:val="right"/>
              <w:rPr>
                <w:rFonts w:ascii="Arial Narrow" w:hAnsi="Arial Narrow" w:cs="Arial Narrow" w:eastAsia="Arial Narrow" w:hint="default"/>
                <w:sz w:val="21"/>
                <w:szCs w:val="21"/>
              </w:rPr>
            </w:pPr>
            <w:r>
              <w:rPr>
                <w:rFonts w:ascii="Arial Narrow"/>
                <w:w w:val="100"/>
                <w:sz w:val="21"/>
              </w:rPr>
              <w:t>-</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right"/>
              <w:rPr>
                <w:rFonts w:ascii="Arial Narrow" w:hAnsi="Arial Narrow" w:cs="Arial Narrow" w:eastAsia="Arial Narrow" w:hint="default"/>
                <w:sz w:val="21"/>
                <w:szCs w:val="21"/>
              </w:rPr>
            </w:pPr>
            <w:r>
              <w:rPr>
                <w:rFonts w:ascii="Arial Narrow"/>
                <w:spacing w:val="-1"/>
                <w:sz w:val="21"/>
              </w:rPr>
              <w:t>28,000,000.00</w:t>
            </w:r>
            <w:r>
              <w:rPr>
                <w:rFonts w:ascii="Arial Narrow"/>
                <w:sz w:val="21"/>
              </w:rPr>
            </w:r>
          </w:p>
        </w:tc>
      </w:tr>
      <w:tr>
        <w:trPr>
          <w:trHeight w:val="402" w:hRule="exact"/>
        </w:trPr>
        <w:tc>
          <w:tcPr>
            <w:tcW w:w="4930" w:type="dxa"/>
            <w:tcBorders>
              <w:top w:val="nil" w:sz="6" w:space="0" w:color="auto"/>
              <w:left w:val="nil" w:sz="6" w:space="0" w:color="auto"/>
              <w:bottom w:val="single" w:sz="8" w:space="0" w:color="000000"/>
              <w:right w:val="nil" w:sz="6" w:space="0" w:color="auto"/>
            </w:tcBorders>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37"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501"/>
              <w:jc w:val="right"/>
              <w:rPr>
                <w:rFonts w:ascii="Arial Narrow" w:hAnsi="Arial Narrow" w:cs="Arial Narrow" w:eastAsia="Arial Narrow" w:hint="default"/>
                <w:sz w:val="21"/>
                <w:szCs w:val="21"/>
              </w:rPr>
            </w:pPr>
            <w:r>
              <w:rPr>
                <w:rFonts w:ascii="Arial Narrow"/>
                <w:spacing w:val="-1"/>
                <w:sz w:val="21"/>
              </w:rPr>
              <w:t>-12,739,179.01</w:t>
            </w:r>
            <w:r>
              <w:rPr>
                <w:rFonts w:ascii="Arial Narrow"/>
                <w:sz w:val="21"/>
              </w:rPr>
            </w:r>
          </w:p>
        </w:tc>
        <w:tc>
          <w:tcPr>
            <w:tcW w:w="1703" w:type="dxa"/>
            <w:tcBorders>
              <w:top w:val="nil" w:sz="6" w:space="0" w:color="auto"/>
              <w:left w:val="nil" w:sz="6" w:space="0" w:color="auto"/>
              <w:bottom w:val="single" w:sz="8" w:space="0" w:color="000000"/>
              <w:right w:val="nil" w:sz="6" w:space="0" w:color="auto"/>
            </w:tcBorders>
          </w:tcPr>
          <w:p>
            <w:pPr>
              <w:pStyle w:val="TableParagraph"/>
              <w:spacing w:line="240" w:lineRule="auto" w:before="71"/>
              <w:ind w:right="0"/>
              <w:jc w:val="right"/>
              <w:rPr>
                <w:rFonts w:ascii="Arial Narrow" w:hAnsi="Arial Narrow" w:cs="Arial Narrow" w:eastAsia="Arial Narrow" w:hint="default"/>
                <w:sz w:val="21"/>
                <w:szCs w:val="21"/>
              </w:rPr>
            </w:pPr>
            <w:r>
              <w:rPr>
                <w:rFonts w:ascii="Arial Narrow"/>
                <w:spacing w:val="-1"/>
                <w:sz w:val="21"/>
              </w:rPr>
              <w:t>-52,873,181.91</w:t>
            </w:r>
            <w:r>
              <w:rPr>
                <w:rFonts w:ascii="Arial Narrow"/>
                <w:sz w:val="21"/>
              </w:rPr>
            </w:r>
          </w:p>
        </w:tc>
      </w:tr>
    </w:tbl>
    <w:p>
      <w:pPr>
        <w:spacing w:line="240" w:lineRule="auto" w:before="12"/>
        <w:rPr>
          <w:rFonts w:ascii="宋体" w:hAnsi="宋体" w:cs="宋体" w:eastAsia="宋体" w:hint="default"/>
          <w:sz w:val="6"/>
          <w:szCs w:val="6"/>
        </w:rPr>
      </w:pPr>
    </w:p>
    <w:p>
      <w:pPr>
        <w:pStyle w:val="Heading5"/>
        <w:spacing w:line="240" w:lineRule="auto" w:before="26"/>
        <w:ind w:left="112" w:right="0"/>
        <w:jc w:val="left"/>
        <w:rPr>
          <w:b w:val="0"/>
          <w:bCs w:val="0"/>
        </w:rPr>
      </w:pPr>
      <w:r>
        <w:rPr/>
        <w:t>十三、补充资料</w:t>
      </w:r>
      <w:r>
        <w:rPr>
          <w:b w:val="0"/>
          <w:bCs w:val="0"/>
        </w:rPr>
      </w:r>
    </w:p>
    <w:p>
      <w:pPr>
        <w:spacing w:line="240" w:lineRule="auto" w:before="2"/>
        <w:rPr>
          <w:rFonts w:ascii="宋体" w:hAnsi="宋体" w:cs="宋体" w:eastAsia="宋体" w:hint="default"/>
          <w:b/>
          <w:bCs/>
          <w:sz w:val="21"/>
          <w:szCs w:val="21"/>
        </w:rPr>
      </w:pPr>
    </w:p>
    <w:p>
      <w:pPr>
        <w:pStyle w:val="BodyText"/>
        <w:spacing w:line="240" w:lineRule="auto"/>
        <w:ind w:left="112" w:right="0"/>
        <w:jc w:val="left"/>
      </w:pPr>
      <w:r>
        <w:rPr>
          <w:rFonts w:ascii="Arial Narrow" w:hAnsi="Arial Narrow" w:cs="Arial Narrow" w:eastAsia="Arial Narrow" w:hint="default"/>
        </w:rPr>
        <w:t>1</w:t>
      </w:r>
      <w:r>
        <w:rPr/>
        <w:t>、当期非经常性损益明细表</w:t>
      </w:r>
    </w:p>
    <w:p>
      <w:pPr>
        <w:spacing w:line="240" w:lineRule="auto" w:before="1"/>
        <w:rPr>
          <w:rFonts w:ascii="宋体" w:hAnsi="宋体" w:cs="宋体" w:eastAsia="宋体" w:hint="default"/>
          <w:sz w:val="23"/>
          <w:szCs w:val="23"/>
        </w:rPr>
      </w:pPr>
    </w:p>
    <w:tbl>
      <w:tblPr>
        <w:tblW w:w="0" w:type="auto"/>
        <w:jc w:val="left"/>
        <w:tblInd w:w="532" w:type="dxa"/>
        <w:tblLayout w:type="fixed"/>
        <w:tblCellMar>
          <w:top w:w="0" w:type="dxa"/>
          <w:left w:w="0" w:type="dxa"/>
          <w:bottom w:w="0" w:type="dxa"/>
          <w:right w:w="0" w:type="dxa"/>
        </w:tblCellMar>
        <w:tblLook w:val="01E0"/>
      </w:tblPr>
      <w:tblGrid>
        <w:gridCol w:w="4879"/>
        <w:gridCol w:w="2685"/>
        <w:gridCol w:w="1502"/>
      </w:tblGrid>
      <w:tr>
        <w:trPr>
          <w:trHeight w:val="391" w:hRule="exact"/>
        </w:trPr>
        <w:tc>
          <w:tcPr>
            <w:tcW w:w="4879" w:type="dxa"/>
            <w:tcBorders>
              <w:top w:val="single" w:sz="8"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18"/>
              <w:ind w:left="107"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2685"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970"/>
              <w:jc w:val="righ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0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972"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390" w:hRule="exact"/>
        </w:trPr>
        <w:tc>
          <w:tcPr>
            <w:tcW w:w="4879"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非流动性资产处置损益</w:t>
            </w:r>
          </w:p>
        </w:tc>
        <w:tc>
          <w:tcPr>
            <w:tcW w:w="268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970"/>
              <w:jc w:val="right"/>
              <w:rPr>
                <w:rFonts w:ascii="Arial Narrow" w:hAnsi="Arial Narrow" w:cs="Arial Narrow" w:eastAsia="Arial Narrow" w:hint="default"/>
                <w:sz w:val="21"/>
                <w:szCs w:val="21"/>
              </w:rPr>
            </w:pPr>
            <w:r>
              <w:rPr>
                <w:rFonts w:ascii="Arial Narrow"/>
                <w:spacing w:val="-1"/>
                <w:sz w:val="21"/>
              </w:rPr>
              <w:t>-423,261.20</w:t>
            </w:r>
            <w:r>
              <w:rPr>
                <w:rFonts w:ascii="Arial Narrow"/>
                <w:sz w:val="21"/>
              </w:rPr>
            </w:r>
          </w:p>
        </w:tc>
        <w:tc>
          <w:tcPr>
            <w:tcW w:w="1502" w:type="dxa"/>
            <w:tcBorders>
              <w:top w:val="single" w:sz="4" w:space="0" w:color="000000"/>
              <w:left w:val="nil" w:sz="6" w:space="0" w:color="auto"/>
              <w:bottom w:val="nil" w:sz="6" w:space="0" w:color="auto"/>
              <w:right w:val="nil" w:sz="6" w:space="0" w:color="auto"/>
            </w:tcBorders>
          </w:tcPr>
          <w:p>
            <w:pPr/>
          </w:p>
        </w:tc>
      </w:tr>
      <w:tr>
        <w:trPr>
          <w:trHeight w:val="643"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72" w:lineRule="exact" w:before="41"/>
              <w:ind w:left="107" w:right="654"/>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越权审批，或无正式批准文件，或偶发性的税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收返还、减免</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72"/>
              <w:jc w:val="right"/>
              <w:rPr>
                <w:rFonts w:ascii="Arial Narrow" w:hAnsi="Arial Narrow" w:cs="Arial Narrow" w:eastAsia="Arial Narrow" w:hint="default"/>
                <w:sz w:val="21"/>
                <w:szCs w:val="21"/>
              </w:rPr>
            </w:pPr>
            <w:r>
              <w:rPr>
                <w:rFonts w:ascii="Arial Narrow"/>
                <w:w w:val="100"/>
                <w:sz w:val="21"/>
              </w:rPr>
              <w:t>-</w:t>
            </w:r>
          </w:p>
        </w:tc>
        <w:tc>
          <w:tcPr>
            <w:tcW w:w="1502" w:type="dxa"/>
            <w:tcBorders>
              <w:top w:val="nil" w:sz="6" w:space="0" w:color="auto"/>
              <w:left w:val="nil" w:sz="6" w:space="0" w:color="auto"/>
              <w:bottom w:val="nil" w:sz="6" w:space="0" w:color="auto"/>
              <w:right w:val="nil" w:sz="6" w:space="0" w:color="auto"/>
            </w:tcBorders>
          </w:tcPr>
          <w:p>
            <w:pPr/>
          </w:p>
        </w:tc>
      </w:tr>
      <w:tr>
        <w:trPr>
          <w:trHeight w:val="393"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7"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70"/>
              <w:jc w:val="right"/>
              <w:rPr>
                <w:rFonts w:ascii="Arial Narrow" w:hAnsi="Arial Narrow" w:cs="Arial Narrow" w:eastAsia="Arial Narrow" w:hint="default"/>
                <w:sz w:val="21"/>
                <w:szCs w:val="21"/>
              </w:rPr>
            </w:pPr>
            <w:r>
              <w:rPr>
                <w:rFonts w:ascii="Arial Narrow"/>
                <w:spacing w:val="-1"/>
                <w:sz w:val="21"/>
              </w:rPr>
              <w:t>4,782,726.00</w:t>
            </w:r>
            <w:r>
              <w:rPr>
                <w:rFonts w:ascii="Arial Narrow"/>
                <w:sz w:val="21"/>
              </w:rPr>
            </w:r>
          </w:p>
        </w:tc>
        <w:tc>
          <w:tcPr>
            <w:tcW w:w="1502" w:type="dxa"/>
            <w:tcBorders>
              <w:top w:val="nil" w:sz="6" w:space="0" w:color="auto"/>
              <w:left w:val="nil" w:sz="6" w:space="0" w:color="auto"/>
              <w:bottom w:val="nil" w:sz="6" w:space="0" w:color="auto"/>
              <w:right w:val="nil" w:sz="6" w:space="0" w:color="auto"/>
            </w:tcBorders>
          </w:tcPr>
          <w:p>
            <w:pPr/>
          </w:p>
        </w:tc>
      </w:tr>
      <w:tr>
        <w:trPr>
          <w:trHeight w:val="395"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对非金融企业收取的资金占用费</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972"/>
              <w:jc w:val="right"/>
              <w:rPr>
                <w:rFonts w:ascii="Arial Narrow" w:hAnsi="Arial Narrow" w:cs="Arial Narrow" w:eastAsia="Arial Narrow" w:hint="default"/>
                <w:sz w:val="21"/>
                <w:szCs w:val="21"/>
              </w:rPr>
            </w:pPr>
            <w:r>
              <w:rPr>
                <w:rFonts w:ascii="Arial Narrow"/>
                <w:w w:val="100"/>
                <w:sz w:val="21"/>
              </w:rPr>
              <w:t>-</w:t>
            </w:r>
          </w:p>
        </w:tc>
        <w:tc>
          <w:tcPr>
            <w:tcW w:w="1502" w:type="dxa"/>
            <w:tcBorders>
              <w:top w:val="nil" w:sz="6" w:space="0" w:color="auto"/>
              <w:left w:val="nil" w:sz="6" w:space="0" w:color="auto"/>
              <w:bottom w:val="nil" w:sz="6" w:space="0" w:color="auto"/>
              <w:right w:val="nil" w:sz="6" w:space="0" w:color="auto"/>
            </w:tcBorders>
          </w:tcPr>
          <w:p>
            <w:pPr/>
          </w:p>
        </w:tc>
      </w:tr>
      <w:tr>
        <w:trPr>
          <w:trHeight w:val="935"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37" w:lineRule="auto" w:before="26"/>
              <w:ind w:left="107" w:right="654"/>
              <w:jc w:val="both"/>
              <w:rPr>
                <w:rFonts w:ascii="宋体" w:hAnsi="宋体" w:cs="宋体" w:eastAsia="宋体" w:hint="default"/>
                <w:sz w:val="21"/>
                <w:szCs w:val="21"/>
              </w:rPr>
            </w:pPr>
            <w:r>
              <w:rPr>
                <w:rFonts w:ascii="宋体" w:hAnsi="宋体" w:cs="宋体" w:eastAsia="宋体" w:hint="default"/>
                <w:spacing w:val="-6"/>
                <w:w w:val="100"/>
                <w:sz w:val="21"/>
                <w:szCs w:val="21"/>
              </w:rPr>
              <w:t>取得子公司、联营企业及合营企业的投资成本</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3"/>
                <w:sz w:val="21"/>
                <w:szCs w:val="21"/>
              </w:rPr>
              <w:t>小于取得投资时应享有被投资单位可辨认净</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资产公允价值产生的收益</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972"/>
              <w:jc w:val="right"/>
              <w:rPr>
                <w:rFonts w:ascii="Arial Narrow" w:hAnsi="Arial Narrow" w:cs="Arial Narrow" w:eastAsia="Arial Narrow" w:hint="default"/>
                <w:sz w:val="21"/>
                <w:szCs w:val="21"/>
              </w:rPr>
            </w:pPr>
            <w:r>
              <w:rPr>
                <w:rFonts w:ascii="Arial Narrow"/>
                <w:w w:val="100"/>
                <w:sz w:val="21"/>
              </w:rPr>
              <w:t>-</w:t>
            </w:r>
          </w:p>
        </w:tc>
        <w:tc>
          <w:tcPr>
            <w:tcW w:w="1502" w:type="dxa"/>
            <w:tcBorders>
              <w:top w:val="nil" w:sz="6" w:space="0" w:color="auto"/>
              <w:left w:val="nil" w:sz="6" w:space="0" w:color="auto"/>
              <w:bottom w:val="nil" w:sz="6" w:space="0" w:color="auto"/>
              <w:right w:val="nil" w:sz="6" w:space="0" w:color="auto"/>
            </w:tcBorders>
          </w:tcPr>
          <w:p>
            <w:pPr/>
          </w:p>
        </w:tc>
      </w:tr>
      <w:tr>
        <w:trPr>
          <w:trHeight w:val="398"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2"/>
              <w:jc w:val="right"/>
              <w:rPr>
                <w:rFonts w:ascii="Arial Narrow" w:hAnsi="Arial Narrow" w:cs="Arial Narrow" w:eastAsia="Arial Narrow" w:hint="default"/>
                <w:sz w:val="21"/>
                <w:szCs w:val="21"/>
              </w:rPr>
            </w:pPr>
            <w:r>
              <w:rPr>
                <w:rFonts w:ascii="Arial Narrow"/>
                <w:w w:val="100"/>
                <w:sz w:val="21"/>
              </w:rPr>
              <w:t>-</w:t>
            </w:r>
          </w:p>
        </w:tc>
        <w:tc>
          <w:tcPr>
            <w:tcW w:w="1502" w:type="dxa"/>
            <w:tcBorders>
              <w:top w:val="nil" w:sz="6" w:space="0" w:color="auto"/>
              <w:left w:val="nil" w:sz="6" w:space="0" w:color="auto"/>
              <w:bottom w:val="nil" w:sz="6" w:space="0" w:color="auto"/>
              <w:right w:val="nil" w:sz="6" w:space="0" w:color="auto"/>
            </w:tcBorders>
          </w:tcPr>
          <w:p>
            <w:pPr/>
          </w:p>
        </w:tc>
      </w:tr>
      <w:tr>
        <w:trPr>
          <w:trHeight w:val="382"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72"/>
              <w:jc w:val="right"/>
              <w:rPr>
                <w:rFonts w:ascii="Arial Narrow" w:hAnsi="Arial Narrow" w:cs="Arial Narrow" w:eastAsia="Arial Narrow" w:hint="default"/>
                <w:sz w:val="21"/>
                <w:szCs w:val="21"/>
              </w:rPr>
            </w:pPr>
            <w:r>
              <w:rPr>
                <w:rFonts w:ascii="Arial Narrow"/>
                <w:w w:val="100"/>
                <w:sz w:val="21"/>
              </w:rPr>
              <w:t>-</w:t>
            </w:r>
          </w:p>
        </w:tc>
        <w:tc>
          <w:tcPr>
            <w:tcW w:w="1502" w:type="dxa"/>
            <w:tcBorders>
              <w:top w:val="nil" w:sz="6" w:space="0" w:color="auto"/>
              <w:left w:val="nil" w:sz="6" w:space="0" w:color="auto"/>
              <w:bottom w:val="nil" w:sz="6" w:space="0" w:color="auto"/>
              <w:right w:val="nil" w:sz="6" w:space="0" w:color="auto"/>
            </w:tcBorders>
          </w:tcPr>
          <w:p>
            <w:pPr/>
          </w:p>
        </w:tc>
      </w:tr>
      <w:tr>
        <w:trPr>
          <w:trHeight w:val="631"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72" w:lineRule="exact" w:before="36"/>
              <w:ind w:left="107" w:right="654"/>
              <w:jc w:val="left"/>
              <w:rPr>
                <w:rFonts w:ascii="宋体" w:hAnsi="宋体" w:cs="宋体" w:eastAsia="宋体" w:hint="default"/>
                <w:sz w:val="21"/>
                <w:szCs w:val="21"/>
              </w:rPr>
            </w:pPr>
            <w:r>
              <w:rPr>
                <w:rFonts w:ascii="宋体" w:hAnsi="宋体" w:cs="宋体" w:eastAsia="宋体" w:hint="default"/>
                <w:spacing w:val="-6"/>
                <w:w w:val="100"/>
                <w:sz w:val="21"/>
                <w:szCs w:val="21"/>
              </w:rPr>
              <w:t>因不可抗力因素，如遭受自然灾害而计提的各</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项资产减值准备</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972"/>
              <w:jc w:val="right"/>
              <w:rPr>
                <w:rFonts w:ascii="Arial Narrow" w:hAnsi="Arial Narrow" w:cs="Arial Narrow" w:eastAsia="Arial Narrow" w:hint="default"/>
                <w:sz w:val="21"/>
                <w:szCs w:val="21"/>
              </w:rPr>
            </w:pPr>
            <w:r>
              <w:rPr>
                <w:rFonts w:ascii="Arial Narrow"/>
                <w:w w:val="100"/>
                <w:sz w:val="21"/>
              </w:rPr>
              <w:t>-</w:t>
            </w:r>
          </w:p>
        </w:tc>
        <w:tc>
          <w:tcPr>
            <w:tcW w:w="1502" w:type="dxa"/>
            <w:tcBorders>
              <w:top w:val="nil" w:sz="6" w:space="0" w:color="auto"/>
              <w:left w:val="nil" w:sz="6" w:space="0" w:color="auto"/>
              <w:bottom w:val="nil" w:sz="6" w:space="0" w:color="auto"/>
              <w:right w:val="nil" w:sz="6" w:space="0" w:color="auto"/>
            </w:tcBorders>
          </w:tcPr>
          <w:p>
            <w:pPr/>
          </w:p>
        </w:tc>
      </w:tr>
      <w:tr>
        <w:trPr>
          <w:trHeight w:val="385"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7"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2"/>
              <w:jc w:val="right"/>
              <w:rPr>
                <w:rFonts w:ascii="Arial Narrow" w:hAnsi="Arial Narrow" w:cs="Arial Narrow" w:eastAsia="Arial Narrow" w:hint="default"/>
                <w:sz w:val="21"/>
                <w:szCs w:val="21"/>
              </w:rPr>
            </w:pPr>
            <w:r>
              <w:rPr>
                <w:rFonts w:ascii="Arial Narrow"/>
                <w:w w:val="100"/>
                <w:sz w:val="21"/>
              </w:rPr>
              <w:t>-</w:t>
            </w:r>
          </w:p>
        </w:tc>
        <w:tc>
          <w:tcPr>
            <w:tcW w:w="1502" w:type="dxa"/>
            <w:tcBorders>
              <w:top w:val="nil" w:sz="6" w:space="0" w:color="auto"/>
              <w:left w:val="nil" w:sz="6" w:space="0" w:color="auto"/>
              <w:bottom w:val="nil" w:sz="6" w:space="0" w:color="auto"/>
              <w:right w:val="nil" w:sz="6" w:space="0" w:color="auto"/>
            </w:tcBorders>
          </w:tcPr>
          <w:p>
            <w:pPr/>
          </w:p>
        </w:tc>
      </w:tr>
      <w:tr>
        <w:trPr>
          <w:trHeight w:val="382"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企业重组费用</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972"/>
              <w:jc w:val="right"/>
              <w:rPr>
                <w:rFonts w:ascii="Arial Narrow" w:hAnsi="Arial Narrow" w:cs="Arial Narrow" w:eastAsia="Arial Narrow" w:hint="default"/>
                <w:sz w:val="21"/>
                <w:szCs w:val="21"/>
              </w:rPr>
            </w:pPr>
            <w:r>
              <w:rPr>
                <w:rFonts w:ascii="Arial Narrow"/>
                <w:w w:val="100"/>
                <w:sz w:val="21"/>
              </w:rPr>
              <w:t>-</w:t>
            </w:r>
          </w:p>
        </w:tc>
        <w:tc>
          <w:tcPr>
            <w:tcW w:w="1502" w:type="dxa"/>
            <w:tcBorders>
              <w:top w:val="nil" w:sz="6" w:space="0" w:color="auto"/>
              <w:left w:val="nil" w:sz="6" w:space="0" w:color="auto"/>
              <w:bottom w:val="nil" w:sz="6" w:space="0" w:color="auto"/>
              <w:right w:val="nil" w:sz="6" w:space="0" w:color="auto"/>
            </w:tcBorders>
          </w:tcPr>
          <w:p>
            <w:pPr/>
          </w:p>
        </w:tc>
      </w:tr>
      <w:tr>
        <w:trPr>
          <w:trHeight w:val="556" w:hRule="exact"/>
        </w:trPr>
        <w:tc>
          <w:tcPr>
            <w:tcW w:w="4879" w:type="dxa"/>
            <w:tcBorders>
              <w:top w:val="nil" w:sz="6" w:space="0" w:color="auto"/>
              <w:left w:val="nil" w:sz="6" w:space="0" w:color="auto"/>
              <w:bottom w:val="nil" w:sz="6" w:space="0" w:color="auto"/>
              <w:right w:val="nil" w:sz="6" w:space="0" w:color="auto"/>
            </w:tcBorders>
          </w:tcPr>
          <w:p>
            <w:pPr>
              <w:pStyle w:val="TableParagraph"/>
              <w:spacing w:line="272" w:lineRule="exact" w:before="37"/>
              <w:ind w:left="107" w:right="661"/>
              <w:jc w:val="left"/>
              <w:rPr>
                <w:rFonts w:ascii="宋体" w:hAnsi="宋体" w:cs="宋体" w:eastAsia="宋体" w:hint="default"/>
                <w:sz w:val="21"/>
                <w:szCs w:val="21"/>
              </w:rPr>
            </w:pPr>
            <w:r>
              <w:rPr>
                <w:rFonts w:ascii="宋体" w:hAnsi="宋体" w:cs="宋体" w:eastAsia="宋体" w:hint="default"/>
                <w:spacing w:val="3"/>
                <w:sz w:val="21"/>
                <w:szCs w:val="21"/>
              </w:rPr>
              <w:t>交易价格显失公允的交易产生的超过公允价</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值部分的损益</w:t>
            </w:r>
          </w:p>
        </w:tc>
        <w:tc>
          <w:tcPr>
            <w:tcW w:w="26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72"/>
              <w:jc w:val="right"/>
              <w:rPr>
                <w:rFonts w:ascii="Arial Narrow" w:hAnsi="Arial Narrow" w:cs="Arial Narrow" w:eastAsia="Arial Narrow" w:hint="default"/>
                <w:sz w:val="21"/>
                <w:szCs w:val="21"/>
              </w:rPr>
            </w:pPr>
            <w:r>
              <w:rPr>
                <w:rFonts w:ascii="Arial Narrow"/>
                <w:w w:val="100"/>
                <w:sz w:val="21"/>
              </w:rPr>
              <w:t>-</w:t>
            </w:r>
          </w:p>
        </w:tc>
        <w:tc>
          <w:tcPr>
            <w:tcW w:w="150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4" w:footer="929" w:top="1100" w:bottom="1120" w:left="600" w:right="980"/>
        </w:sectPr>
      </w:pPr>
    </w:p>
    <w:p>
      <w:pPr>
        <w:spacing w:line="240" w:lineRule="auto" w:before="7"/>
        <w:rPr>
          <w:rFonts w:ascii="宋体" w:hAnsi="宋体" w:cs="宋体" w:eastAsia="宋体" w:hint="default"/>
          <w:sz w:val="2"/>
          <w:szCs w:val="2"/>
        </w:rPr>
      </w:pPr>
      <w:r>
        <w:rPr/>
        <w:pict>
          <v:group style="position:absolute;margin-left:55.200001pt;margin-top:57.599983pt;width:484.9pt;height:.1pt;mso-position-horizontal-relative:page;mso-position-vertical-relative:page;z-index:-763840" coordorigin="1104,1152" coordsize="9698,2">
            <v:shape style="position:absolute;left:1104;top:1152;width:9698;height:2" coordorigin="1104,1152" coordsize="9698,0" path="m1104,1152l10802,1152e" filled="false" stroked="true" strokeweight=".72pt" strokecolor="#000000">
              <v:path arrowok="t"/>
            </v:shape>
            <w10:wrap type="none"/>
          </v:group>
        </w:pict>
      </w:r>
    </w:p>
    <w:tbl>
      <w:tblPr>
        <w:tblW w:w="0" w:type="auto"/>
        <w:jc w:val="left"/>
        <w:tblInd w:w="504" w:type="dxa"/>
        <w:tblLayout w:type="fixed"/>
        <w:tblCellMar>
          <w:top w:w="0" w:type="dxa"/>
          <w:left w:w="0" w:type="dxa"/>
          <w:bottom w:w="0" w:type="dxa"/>
          <w:right w:w="0" w:type="dxa"/>
        </w:tblCellMar>
        <w:tblLook w:val="01E0"/>
      </w:tblPr>
      <w:tblGrid>
        <w:gridCol w:w="4932"/>
        <w:gridCol w:w="1888"/>
      </w:tblGrid>
      <w:tr>
        <w:trPr>
          <w:trHeight w:val="615"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36" w:right="685"/>
              <w:jc w:val="left"/>
              <w:rPr>
                <w:rFonts w:ascii="宋体" w:hAnsi="宋体" w:cs="宋体" w:eastAsia="宋体" w:hint="default"/>
                <w:sz w:val="21"/>
                <w:szCs w:val="21"/>
              </w:rPr>
            </w:pPr>
            <w:r>
              <w:rPr>
                <w:rFonts w:ascii="宋体" w:hAnsi="宋体" w:cs="宋体" w:eastAsia="宋体" w:hint="default"/>
                <w:spacing w:val="3"/>
                <w:sz w:val="21"/>
                <w:szCs w:val="21"/>
              </w:rPr>
              <w:t>同一控制下企业合并产生的子公司期初至合</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并日的当期净损益</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0"/>
              <w:jc w:val="right"/>
              <w:rPr>
                <w:rFonts w:ascii="Arial Narrow" w:hAnsi="Arial Narrow" w:cs="Arial Narrow" w:eastAsia="Arial Narrow" w:hint="default"/>
                <w:sz w:val="21"/>
                <w:szCs w:val="21"/>
              </w:rPr>
            </w:pPr>
            <w:r>
              <w:rPr>
                <w:rFonts w:ascii="Arial Narrow"/>
                <w:w w:val="100"/>
                <w:sz w:val="21"/>
              </w:rPr>
              <w:t>-</w:t>
            </w:r>
          </w:p>
        </w:tc>
      </w:tr>
      <w:tr>
        <w:trPr>
          <w:trHeight w:val="559"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72" w:lineRule="exact" w:before="15"/>
              <w:ind w:left="136" w:right="685"/>
              <w:jc w:val="left"/>
              <w:rPr>
                <w:rFonts w:ascii="宋体" w:hAnsi="宋体" w:cs="宋体" w:eastAsia="宋体" w:hint="default"/>
                <w:sz w:val="21"/>
                <w:szCs w:val="21"/>
              </w:rPr>
            </w:pPr>
            <w:r>
              <w:rPr>
                <w:rFonts w:ascii="宋体" w:hAnsi="宋体" w:cs="宋体" w:eastAsia="宋体" w:hint="default"/>
                <w:spacing w:val="3"/>
                <w:sz w:val="21"/>
                <w:szCs w:val="21"/>
              </w:rPr>
              <w:t>与公司正常经营业务无关的或有事项产生的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损益</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00"/>
              <w:jc w:val="right"/>
              <w:rPr>
                <w:rFonts w:ascii="Arial Narrow" w:hAnsi="Arial Narrow" w:cs="Arial Narrow" w:eastAsia="Arial Narrow" w:hint="default"/>
                <w:sz w:val="21"/>
                <w:szCs w:val="21"/>
              </w:rPr>
            </w:pPr>
            <w:r>
              <w:rPr>
                <w:rFonts w:ascii="Arial Narrow"/>
                <w:w w:val="100"/>
                <w:sz w:val="21"/>
              </w:rPr>
              <w:t>-</w:t>
            </w:r>
          </w:p>
        </w:tc>
      </w:tr>
      <w:tr>
        <w:trPr>
          <w:trHeight w:val="838"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34" w:lineRule="exact"/>
              <w:ind w:left="136" w:right="0"/>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w:t>
            </w:r>
          </w:p>
          <w:p>
            <w:pPr>
              <w:pStyle w:val="TableParagraph"/>
              <w:spacing w:line="240" w:lineRule="auto"/>
              <w:ind w:left="136" w:right="679"/>
              <w:jc w:val="left"/>
              <w:rPr>
                <w:rFonts w:ascii="宋体" w:hAnsi="宋体" w:cs="宋体" w:eastAsia="宋体" w:hint="default"/>
                <w:sz w:val="21"/>
                <w:szCs w:val="21"/>
              </w:rPr>
            </w:pPr>
            <w:r>
              <w:rPr>
                <w:rFonts w:ascii="宋体" w:hAnsi="宋体" w:cs="宋体" w:eastAsia="宋体" w:hint="default"/>
                <w:spacing w:val="-6"/>
                <w:sz w:val="21"/>
                <w:szCs w:val="21"/>
              </w:rPr>
              <w:t>业务外，持有交易性金融资产、交易性金融负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债产生的公允价值变动损益</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200"/>
              <w:jc w:val="right"/>
              <w:rPr>
                <w:rFonts w:ascii="Arial Narrow" w:hAnsi="Arial Narrow" w:cs="Arial Narrow" w:eastAsia="Arial Narrow" w:hint="default"/>
                <w:sz w:val="21"/>
                <w:szCs w:val="21"/>
              </w:rPr>
            </w:pPr>
            <w:r>
              <w:rPr>
                <w:rFonts w:ascii="Arial Narrow"/>
                <w:w w:val="100"/>
                <w:sz w:val="21"/>
              </w:rPr>
              <w:t>-</w:t>
            </w:r>
          </w:p>
        </w:tc>
      </w:tr>
      <w:tr>
        <w:trPr>
          <w:trHeight w:val="659"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72" w:lineRule="exact" w:before="20"/>
              <w:ind w:left="136" w:right="679"/>
              <w:jc w:val="left"/>
              <w:rPr>
                <w:rFonts w:ascii="宋体" w:hAnsi="宋体" w:cs="宋体" w:eastAsia="宋体" w:hint="default"/>
                <w:sz w:val="21"/>
                <w:szCs w:val="21"/>
              </w:rPr>
            </w:pPr>
            <w:r>
              <w:rPr>
                <w:rFonts w:ascii="宋体" w:hAnsi="宋体" w:cs="宋体" w:eastAsia="宋体" w:hint="default"/>
                <w:spacing w:val="-6"/>
                <w:w w:val="100"/>
                <w:sz w:val="21"/>
                <w:szCs w:val="21"/>
              </w:rPr>
              <w:t>处置交易性金融资产、交易性金融负债和可供</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出售金融资产取得的投资收益</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00"/>
              <w:jc w:val="right"/>
              <w:rPr>
                <w:rFonts w:ascii="Arial Narrow" w:hAnsi="Arial Narrow" w:cs="Arial Narrow" w:eastAsia="Arial Narrow" w:hint="default"/>
                <w:sz w:val="21"/>
                <w:szCs w:val="21"/>
              </w:rPr>
            </w:pPr>
            <w:r>
              <w:rPr>
                <w:rFonts w:ascii="Arial Narrow"/>
                <w:w w:val="100"/>
                <w:sz w:val="21"/>
              </w:rPr>
              <w:t>-</w:t>
            </w:r>
          </w:p>
        </w:tc>
      </w:tr>
      <w:tr>
        <w:trPr>
          <w:trHeight w:val="467"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36"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0"/>
              <w:jc w:val="right"/>
              <w:rPr>
                <w:rFonts w:ascii="Arial Narrow" w:hAnsi="Arial Narrow" w:cs="Arial Narrow" w:eastAsia="Arial Narrow" w:hint="default"/>
                <w:sz w:val="21"/>
                <w:szCs w:val="21"/>
              </w:rPr>
            </w:pPr>
            <w:r>
              <w:rPr>
                <w:rFonts w:ascii="Arial Narrow"/>
                <w:w w:val="100"/>
                <w:sz w:val="21"/>
              </w:rPr>
              <w:t>-</w:t>
            </w:r>
          </w:p>
        </w:tc>
      </w:tr>
      <w:tr>
        <w:trPr>
          <w:trHeight w:val="418"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36"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Arial Narrow" w:hAnsi="Arial Narrow" w:cs="Arial Narrow" w:eastAsia="Arial Narrow" w:hint="default"/>
                <w:sz w:val="21"/>
                <w:szCs w:val="21"/>
              </w:rPr>
            </w:pPr>
            <w:r>
              <w:rPr>
                <w:rFonts w:ascii="Arial Narrow"/>
                <w:w w:val="100"/>
                <w:sz w:val="21"/>
              </w:rPr>
              <w:t>-</w:t>
            </w:r>
          </w:p>
        </w:tc>
      </w:tr>
      <w:tr>
        <w:trPr>
          <w:trHeight w:val="618"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72" w:lineRule="exact" w:before="35"/>
              <w:ind w:left="136" w:right="685"/>
              <w:jc w:val="left"/>
              <w:rPr>
                <w:rFonts w:ascii="宋体" w:hAnsi="宋体" w:cs="宋体" w:eastAsia="宋体" w:hint="default"/>
                <w:sz w:val="21"/>
                <w:szCs w:val="21"/>
              </w:rPr>
            </w:pPr>
            <w:r>
              <w:rPr>
                <w:rFonts w:ascii="宋体" w:hAnsi="宋体" w:cs="宋体" w:eastAsia="宋体" w:hint="default"/>
                <w:spacing w:val="3"/>
                <w:sz w:val="21"/>
                <w:szCs w:val="21"/>
              </w:rPr>
              <w:t>采用公允价值模式进行后续计量的投资性房</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地产公允价值变动产生的损益</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0"/>
              <w:jc w:val="right"/>
              <w:rPr>
                <w:rFonts w:ascii="Arial Narrow" w:hAnsi="Arial Narrow" w:cs="Arial Narrow" w:eastAsia="Arial Narrow" w:hint="default"/>
                <w:sz w:val="21"/>
                <w:szCs w:val="21"/>
              </w:rPr>
            </w:pPr>
            <w:r>
              <w:rPr>
                <w:rFonts w:ascii="Arial Narrow"/>
                <w:w w:val="100"/>
                <w:sz w:val="21"/>
              </w:rPr>
              <w:t>-</w:t>
            </w:r>
          </w:p>
        </w:tc>
      </w:tr>
      <w:tr>
        <w:trPr>
          <w:trHeight w:val="629"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72" w:lineRule="exact" w:before="28"/>
              <w:ind w:left="136" w:right="679"/>
              <w:jc w:val="left"/>
              <w:rPr>
                <w:rFonts w:ascii="宋体" w:hAnsi="宋体" w:cs="宋体" w:eastAsia="宋体" w:hint="default"/>
                <w:sz w:val="21"/>
                <w:szCs w:val="21"/>
              </w:rPr>
            </w:pPr>
            <w:r>
              <w:rPr>
                <w:rFonts w:ascii="宋体" w:hAnsi="宋体" w:cs="宋体" w:eastAsia="宋体" w:hint="default"/>
                <w:spacing w:val="-6"/>
                <w:sz w:val="21"/>
                <w:szCs w:val="21"/>
              </w:rPr>
              <w:t>根据税收、会计等法律、法规的要求对当期损</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益进行一次性调整对当期损益的影响</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0"/>
              <w:jc w:val="right"/>
              <w:rPr>
                <w:rFonts w:ascii="Arial Narrow" w:hAnsi="Arial Narrow" w:cs="Arial Narrow" w:eastAsia="Arial Narrow" w:hint="default"/>
                <w:sz w:val="21"/>
                <w:szCs w:val="21"/>
              </w:rPr>
            </w:pPr>
            <w:r>
              <w:rPr>
                <w:rFonts w:ascii="Arial Narrow"/>
                <w:w w:val="100"/>
                <w:sz w:val="21"/>
              </w:rPr>
              <w:t>-</w:t>
            </w:r>
          </w:p>
        </w:tc>
      </w:tr>
      <w:tr>
        <w:trPr>
          <w:trHeight w:val="423"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6"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0"/>
              <w:jc w:val="right"/>
              <w:rPr>
                <w:rFonts w:ascii="Arial Narrow" w:hAnsi="Arial Narrow" w:cs="Arial Narrow" w:eastAsia="Arial Narrow" w:hint="default"/>
                <w:sz w:val="21"/>
                <w:szCs w:val="21"/>
              </w:rPr>
            </w:pPr>
            <w:r>
              <w:rPr>
                <w:rFonts w:ascii="Arial Narrow"/>
                <w:w w:val="100"/>
                <w:sz w:val="21"/>
              </w:rPr>
              <w:t>-</w:t>
            </w:r>
          </w:p>
        </w:tc>
      </w:tr>
      <w:tr>
        <w:trPr>
          <w:trHeight w:val="468"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6"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8"/>
              <w:jc w:val="right"/>
              <w:rPr>
                <w:rFonts w:ascii="Arial Narrow" w:hAnsi="Arial Narrow" w:cs="Arial Narrow" w:eastAsia="Arial Narrow" w:hint="default"/>
                <w:sz w:val="21"/>
                <w:szCs w:val="21"/>
              </w:rPr>
            </w:pPr>
            <w:r>
              <w:rPr>
                <w:rFonts w:ascii="Arial Narrow"/>
                <w:spacing w:val="-1"/>
                <w:sz w:val="21"/>
              </w:rPr>
              <w:t>17,873.56</w:t>
            </w:r>
            <w:r>
              <w:rPr>
                <w:rFonts w:ascii="Arial Narrow"/>
                <w:sz w:val="21"/>
              </w:rPr>
            </w:r>
          </w:p>
        </w:tc>
      </w:tr>
      <w:tr>
        <w:trPr>
          <w:trHeight w:val="433"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36"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0"/>
              <w:jc w:val="right"/>
              <w:rPr>
                <w:rFonts w:ascii="Arial Narrow" w:hAnsi="Arial Narrow" w:cs="Arial Narrow" w:eastAsia="Arial Narrow" w:hint="default"/>
                <w:sz w:val="21"/>
                <w:szCs w:val="21"/>
              </w:rPr>
            </w:pPr>
            <w:r>
              <w:rPr>
                <w:rFonts w:ascii="Arial Narrow"/>
                <w:w w:val="100"/>
                <w:sz w:val="21"/>
              </w:rPr>
              <w:t>-</w:t>
            </w:r>
          </w:p>
        </w:tc>
      </w:tr>
      <w:tr>
        <w:trPr>
          <w:trHeight w:val="396"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6"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98"/>
              <w:jc w:val="right"/>
              <w:rPr>
                <w:rFonts w:ascii="Arial Narrow" w:hAnsi="Arial Narrow" w:cs="Arial Narrow" w:eastAsia="Arial Narrow" w:hint="default"/>
                <w:sz w:val="21"/>
                <w:szCs w:val="21"/>
              </w:rPr>
            </w:pPr>
            <w:r>
              <w:rPr>
                <w:rFonts w:ascii="Arial Narrow"/>
                <w:spacing w:val="-1"/>
                <w:sz w:val="21"/>
              </w:rPr>
              <w:t>4,377,338.36</w:t>
            </w:r>
            <w:r>
              <w:rPr>
                <w:rFonts w:ascii="Arial Narrow"/>
                <w:sz w:val="21"/>
              </w:rPr>
            </w:r>
          </w:p>
        </w:tc>
      </w:tr>
      <w:tr>
        <w:trPr>
          <w:trHeight w:val="397"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6"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8"/>
              <w:jc w:val="right"/>
              <w:rPr>
                <w:rFonts w:ascii="Arial Narrow" w:hAnsi="Arial Narrow" w:cs="Arial Narrow" w:eastAsia="Arial Narrow" w:hint="default"/>
                <w:sz w:val="21"/>
                <w:szCs w:val="21"/>
              </w:rPr>
            </w:pPr>
            <w:r>
              <w:rPr>
                <w:rFonts w:ascii="Arial Narrow"/>
                <w:spacing w:val="-1"/>
                <w:sz w:val="21"/>
              </w:rPr>
              <w:t>731,647.50</w:t>
            </w:r>
            <w:r>
              <w:rPr>
                <w:rFonts w:ascii="Arial Narrow"/>
                <w:sz w:val="21"/>
              </w:rPr>
            </w:r>
          </w:p>
        </w:tc>
      </w:tr>
      <w:tr>
        <w:trPr>
          <w:trHeight w:val="378"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6"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98"/>
              <w:jc w:val="right"/>
              <w:rPr>
                <w:rFonts w:ascii="Arial Narrow" w:hAnsi="Arial Narrow" w:cs="Arial Narrow" w:eastAsia="Arial Narrow" w:hint="default"/>
                <w:sz w:val="21"/>
                <w:szCs w:val="21"/>
              </w:rPr>
            </w:pPr>
            <w:r>
              <w:rPr>
                <w:rFonts w:ascii="Arial Narrow"/>
                <w:spacing w:val="-1"/>
                <w:sz w:val="21"/>
              </w:rPr>
              <w:t>3,645,690.86</w:t>
            </w:r>
            <w:r>
              <w:rPr>
                <w:rFonts w:ascii="Arial Narrow"/>
                <w:sz w:val="21"/>
              </w:rPr>
            </w:r>
          </w:p>
        </w:tc>
      </w:tr>
      <w:tr>
        <w:trPr>
          <w:trHeight w:val="627"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73" w:lineRule="exact" w:before="6"/>
              <w:ind w:left="136" w:right="0"/>
              <w:jc w:val="left"/>
              <w:rPr>
                <w:rFonts w:ascii="宋体" w:hAnsi="宋体" w:cs="宋体" w:eastAsia="宋体" w:hint="default"/>
                <w:sz w:val="21"/>
                <w:szCs w:val="21"/>
              </w:rPr>
            </w:pPr>
            <w:r>
              <w:rPr>
                <w:rFonts w:ascii="宋体" w:hAnsi="宋体" w:cs="宋体" w:eastAsia="宋体" w:hint="default"/>
                <w:w w:val="100"/>
                <w:sz w:val="21"/>
                <w:szCs w:val="21"/>
              </w:rPr>
              <w:t>减</w:t>
            </w:r>
            <w:r>
              <w:rPr>
                <w:rFonts w:ascii="宋体" w:hAnsi="宋体" w:cs="宋体" w:eastAsia="宋体" w:hint="default"/>
                <w:spacing w:val="-92"/>
                <w:w w:val="100"/>
                <w:sz w:val="21"/>
                <w:szCs w:val="21"/>
              </w:rPr>
              <w:t>：</w:t>
            </w:r>
            <w:r>
              <w:rPr>
                <w:rFonts w:ascii="宋体" w:hAnsi="宋体" w:cs="宋体" w:eastAsia="宋体" w:hint="default"/>
                <w:w w:val="100"/>
                <w:sz w:val="21"/>
                <w:szCs w:val="21"/>
              </w:rPr>
              <w:t>归</w:t>
            </w:r>
            <w:r>
              <w:rPr>
                <w:rFonts w:ascii="宋体" w:hAnsi="宋体" w:cs="宋体" w:eastAsia="宋体" w:hint="default"/>
                <w:spacing w:val="-3"/>
                <w:w w:val="100"/>
                <w:sz w:val="21"/>
                <w:szCs w:val="21"/>
              </w:rPr>
              <w:t>属</w:t>
            </w:r>
            <w:r>
              <w:rPr>
                <w:rFonts w:ascii="宋体" w:hAnsi="宋体" w:cs="宋体" w:eastAsia="宋体" w:hint="default"/>
                <w:w w:val="100"/>
                <w:sz w:val="21"/>
                <w:szCs w:val="21"/>
              </w:rPr>
              <w:t>于</w:t>
            </w:r>
            <w:r>
              <w:rPr>
                <w:rFonts w:ascii="宋体" w:hAnsi="宋体" w:cs="宋体" w:eastAsia="宋体" w:hint="default"/>
                <w:spacing w:val="-3"/>
                <w:w w:val="100"/>
                <w:sz w:val="21"/>
                <w:szCs w:val="21"/>
              </w:rPr>
              <w:t>少</w:t>
            </w:r>
            <w:r>
              <w:rPr>
                <w:rFonts w:ascii="宋体" w:hAnsi="宋体" w:cs="宋体" w:eastAsia="宋体" w:hint="default"/>
                <w:w w:val="100"/>
                <w:sz w:val="21"/>
                <w:szCs w:val="21"/>
              </w:rPr>
              <w:t>数</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的</w:t>
            </w:r>
            <w:r>
              <w:rPr>
                <w:rFonts w:ascii="宋体" w:hAnsi="宋体" w:cs="宋体" w:eastAsia="宋体" w:hint="default"/>
                <w:w w:val="100"/>
                <w:sz w:val="21"/>
                <w:szCs w:val="21"/>
              </w:rPr>
              <w:t>非</w:t>
            </w:r>
            <w:r>
              <w:rPr>
                <w:rFonts w:ascii="宋体" w:hAnsi="宋体" w:cs="宋体" w:eastAsia="宋体" w:hint="default"/>
                <w:spacing w:val="-3"/>
                <w:w w:val="100"/>
                <w:sz w:val="21"/>
                <w:szCs w:val="21"/>
              </w:rPr>
              <w:t>经</w:t>
            </w:r>
            <w:r>
              <w:rPr>
                <w:rFonts w:ascii="宋体" w:hAnsi="宋体" w:cs="宋体" w:eastAsia="宋体" w:hint="default"/>
                <w:w w:val="100"/>
                <w:sz w:val="21"/>
                <w:szCs w:val="21"/>
              </w:rPr>
              <w:t>常性</w:t>
            </w:r>
            <w:r>
              <w:rPr>
                <w:rFonts w:ascii="宋体" w:hAnsi="宋体" w:cs="宋体" w:eastAsia="宋体" w:hint="default"/>
                <w:spacing w:val="-3"/>
                <w:w w:val="100"/>
                <w:sz w:val="21"/>
                <w:szCs w:val="21"/>
              </w:rPr>
              <w:t>损</w:t>
            </w:r>
            <w:r>
              <w:rPr>
                <w:rFonts w:ascii="宋体" w:hAnsi="宋体" w:cs="宋体" w:eastAsia="宋体" w:hint="default"/>
                <w:w w:val="100"/>
                <w:sz w:val="21"/>
                <w:szCs w:val="21"/>
              </w:rPr>
              <w:t>益</w:t>
            </w:r>
            <w:r>
              <w:rPr>
                <w:rFonts w:ascii="宋体" w:hAnsi="宋体" w:cs="宋体" w:eastAsia="宋体" w:hint="default"/>
                <w:spacing w:val="-2"/>
                <w:w w:val="100"/>
                <w:sz w:val="21"/>
                <w:szCs w:val="21"/>
              </w:rPr>
              <w:t>净</w:t>
            </w:r>
            <w:r>
              <w:rPr>
                <w:rFonts w:ascii="宋体" w:hAnsi="宋体" w:cs="宋体" w:eastAsia="宋体" w:hint="default"/>
                <w:w w:val="100"/>
                <w:sz w:val="21"/>
                <w:szCs w:val="21"/>
              </w:rPr>
              <w:t>影</w:t>
            </w:r>
            <w:r>
              <w:rPr>
                <w:rFonts w:ascii="宋体" w:hAnsi="宋体" w:cs="宋体" w:eastAsia="宋体" w:hint="default"/>
                <w:spacing w:val="-3"/>
                <w:w w:val="100"/>
                <w:sz w:val="21"/>
                <w:szCs w:val="21"/>
              </w:rPr>
              <w:t>响</w:t>
            </w:r>
            <w:r>
              <w:rPr>
                <w:rFonts w:ascii="宋体" w:hAnsi="宋体" w:cs="宋体" w:eastAsia="宋体" w:hint="default"/>
                <w:w w:val="100"/>
                <w:sz w:val="21"/>
                <w:szCs w:val="21"/>
              </w:rPr>
              <w:t>数</w:t>
            </w:r>
          </w:p>
          <w:p>
            <w:pPr>
              <w:pStyle w:val="TableParagraph"/>
              <w:spacing w:line="273" w:lineRule="exact"/>
              <w:ind w:left="136" w:right="0"/>
              <w:jc w:val="left"/>
              <w:rPr>
                <w:rFonts w:ascii="宋体" w:hAnsi="宋体" w:cs="宋体" w:eastAsia="宋体" w:hint="default"/>
                <w:sz w:val="21"/>
                <w:szCs w:val="21"/>
              </w:rPr>
            </w:pPr>
            <w:r>
              <w:rPr>
                <w:rFonts w:ascii="宋体" w:hAnsi="宋体" w:cs="宋体" w:eastAsia="宋体" w:hint="default"/>
                <w:sz w:val="21"/>
                <w:szCs w:val="21"/>
              </w:rPr>
              <w:t>（税后）</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8"/>
              <w:jc w:val="right"/>
              <w:rPr>
                <w:rFonts w:ascii="Arial Narrow" w:hAnsi="Arial Narrow" w:cs="Arial Narrow" w:eastAsia="Arial Narrow" w:hint="default"/>
                <w:sz w:val="21"/>
                <w:szCs w:val="21"/>
              </w:rPr>
            </w:pPr>
            <w:r>
              <w:rPr>
                <w:rFonts w:ascii="Arial Narrow"/>
                <w:spacing w:val="-1"/>
                <w:sz w:val="21"/>
              </w:rPr>
              <w:t>85,248.98</w:t>
            </w:r>
            <w:r>
              <w:rPr>
                <w:rFonts w:ascii="Arial Narrow"/>
                <w:sz w:val="21"/>
              </w:rPr>
            </w:r>
          </w:p>
        </w:tc>
      </w:tr>
      <w:tr>
        <w:trPr>
          <w:trHeight w:val="390" w:hRule="exact"/>
        </w:trPr>
        <w:tc>
          <w:tcPr>
            <w:tcW w:w="493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6" w:right="0"/>
              <w:jc w:val="left"/>
              <w:rPr>
                <w:rFonts w:ascii="宋体" w:hAnsi="宋体" w:cs="宋体" w:eastAsia="宋体" w:hint="default"/>
                <w:sz w:val="21"/>
                <w:szCs w:val="21"/>
              </w:rPr>
            </w:pPr>
            <w:r>
              <w:rPr>
                <w:rFonts w:ascii="宋体" w:hAnsi="宋体" w:cs="宋体" w:eastAsia="宋体" w:hint="default"/>
                <w:sz w:val="21"/>
                <w:szCs w:val="21"/>
              </w:rPr>
              <w:t>归属于公司普通股股东的非经常性损益</w:t>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8"/>
              <w:jc w:val="right"/>
              <w:rPr>
                <w:rFonts w:ascii="Arial Narrow" w:hAnsi="Arial Narrow" w:cs="Arial Narrow" w:eastAsia="Arial Narrow" w:hint="default"/>
                <w:sz w:val="21"/>
                <w:szCs w:val="21"/>
              </w:rPr>
            </w:pPr>
            <w:r>
              <w:rPr>
                <w:rFonts w:ascii="Arial Narrow"/>
                <w:spacing w:val="-1"/>
                <w:sz w:val="21"/>
              </w:rPr>
              <w:t>3,560,441.88</w:t>
            </w:r>
            <w:r>
              <w:rPr>
                <w:rFonts w:ascii="Arial Narrow"/>
                <w:sz w:val="21"/>
              </w:rPr>
            </w:r>
          </w:p>
        </w:tc>
      </w:tr>
    </w:tbl>
    <w:p>
      <w:pPr>
        <w:spacing w:line="240" w:lineRule="auto" w:before="8"/>
        <w:rPr>
          <w:rFonts w:ascii="宋体" w:hAnsi="宋体" w:cs="宋体" w:eastAsia="宋体" w:hint="default"/>
          <w:sz w:val="7"/>
          <w:szCs w:val="7"/>
        </w:rPr>
      </w:pPr>
    </w:p>
    <w:p>
      <w:pPr>
        <w:pStyle w:val="BodyText"/>
        <w:spacing w:line="240" w:lineRule="auto" w:before="26"/>
        <w:ind w:left="112" w:right="0"/>
        <w:jc w:val="left"/>
      </w:pPr>
      <w:r>
        <w:rPr/>
        <w:pict>
          <v:group style="position:absolute;margin-left:55.440006pt;margin-top:-5.444356pt;width:455.05pt;height:1pt;mso-position-horizontal-relative:page;mso-position-vertical-relative:paragraph;z-index:-763816" coordorigin="1109,-109" coordsize="9101,20">
            <v:group style="position:absolute;left:1118;top:-99;width:4343;height:2" coordorigin="1118,-99" coordsize="4343,2">
              <v:shape style="position:absolute;left:1118;top:-99;width:4343;height:2" coordorigin="1118,-99" coordsize="4343,0" path="m1118,-99l5461,-99e" filled="false" stroked="true" strokeweight=".95999pt" strokecolor="#000000">
                <v:path arrowok="t"/>
              </v:shape>
            </v:group>
            <v:group style="position:absolute;left:5447;top:-99;width:20;height:2" coordorigin="5447,-99" coordsize="20,2">
              <v:shape style="position:absolute;left:5447;top:-99;width:20;height:2" coordorigin="5447,-99" coordsize="20,0" path="m5447,-99l5466,-99e" filled="false" stroked="true" strokeweight=".95999pt" strokecolor="#000000">
                <v:path arrowok="t"/>
              </v:shape>
            </v:group>
            <v:group style="position:absolute;left:5466;top:-99;width:2365;height:2" coordorigin="5466,-99" coordsize="2365,2">
              <v:shape style="position:absolute;left:5466;top:-99;width:2365;height:2" coordorigin="5466,-99" coordsize="2365,0" path="m5466,-99l7830,-99e" filled="false" stroked="true" strokeweight=".95999pt" strokecolor="#000000">
                <v:path arrowok="t"/>
              </v:shape>
            </v:group>
            <v:group style="position:absolute;left:7816;top:-99;width:20;height:2" coordorigin="7816,-99" coordsize="20,2">
              <v:shape style="position:absolute;left:7816;top:-99;width:20;height:2" coordorigin="7816,-99" coordsize="20,0" path="m7816,-99l7835,-99e" filled="false" stroked="true" strokeweight=".95999pt" strokecolor="#000000">
                <v:path arrowok="t"/>
              </v:shape>
            </v:group>
            <v:group style="position:absolute;left:7835;top:-99;width:2365;height:2" coordorigin="7835,-99" coordsize="2365,2">
              <v:shape style="position:absolute;left:7835;top:-99;width:2365;height:2" coordorigin="7835,-99" coordsize="2365,0" path="m7835,-99l10199,-99e" filled="false" stroked="true" strokeweight=".95999pt" strokecolor="#000000">
                <v:path arrowok="t"/>
              </v:shape>
            </v:group>
            <w10:wrap type="none"/>
          </v:group>
        </w:pict>
      </w:r>
      <w:r>
        <w:rPr>
          <w:rFonts w:ascii="Arial Narrow" w:hAnsi="Arial Narrow" w:cs="Arial Narrow" w:eastAsia="Arial Narrow" w:hint="default"/>
        </w:rPr>
        <w:t>2</w:t>
      </w:r>
      <w:r>
        <w:rPr/>
        <w:t>、净资产收益率和每股收益</w:t>
      </w:r>
    </w:p>
    <w:p>
      <w:pPr>
        <w:spacing w:line="240" w:lineRule="auto" w:before="12"/>
        <w:rPr>
          <w:rFonts w:ascii="宋体" w:hAnsi="宋体" w:cs="宋体" w:eastAsia="宋体" w:hint="default"/>
          <w:sz w:val="22"/>
          <w:szCs w:val="22"/>
        </w:rPr>
      </w:pPr>
    </w:p>
    <w:tbl>
      <w:tblPr>
        <w:tblW w:w="0" w:type="auto"/>
        <w:jc w:val="left"/>
        <w:tblInd w:w="532" w:type="dxa"/>
        <w:tblLayout w:type="fixed"/>
        <w:tblCellMar>
          <w:top w:w="0" w:type="dxa"/>
          <w:left w:w="0" w:type="dxa"/>
          <w:bottom w:w="0" w:type="dxa"/>
          <w:right w:w="0" w:type="dxa"/>
        </w:tblCellMar>
        <w:tblLook w:val="01E0"/>
      </w:tblPr>
      <w:tblGrid>
        <w:gridCol w:w="4098"/>
        <w:gridCol w:w="2787"/>
        <w:gridCol w:w="2182"/>
      </w:tblGrid>
      <w:tr>
        <w:trPr>
          <w:trHeight w:val="816" w:hRule="exact"/>
        </w:trPr>
        <w:tc>
          <w:tcPr>
            <w:tcW w:w="4098"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2787" w:type="dxa"/>
            <w:tcBorders>
              <w:top w:val="single" w:sz="4" w:space="0" w:color="000000"/>
              <w:left w:val="nil" w:sz="6" w:space="0" w:color="auto"/>
              <w:bottom w:val="single" w:sz="4" w:space="0" w:color="000000"/>
              <w:right w:val="nil" w:sz="6" w:space="0" w:color="auto"/>
            </w:tcBorders>
          </w:tcPr>
          <w:p>
            <w:pPr>
              <w:pStyle w:val="TableParagraph"/>
              <w:spacing w:line="274" w:lineRule="exact" w:before="95"/>
              <w:ind w:left="499" w:right="0"/>
              <w:jc w:val="left"/>
              <w:rPr>
                <w:rFonts w:ascii="宋体" w:hAnsi="宋体" w:cs="宋体" w:eastAsia="宋体" w:hint="default"/>
                <w:sz w:val="21"/>
                <w:szCs w:val="21"/>
              </w:rPr>
            </w:pPr>
            <w:r>
              <w:rPr>
                <w:rFonts w:ascii="宋体" w:hAnsi="宋体" w:cs="宋体" w:eastAsia="宋体" w:hint="default"/>
                <w:b/>
                <w:bCs/>
                <w:sz w:val="21"/>
                <w:szCs w:val="21"/>
              </w:rPr>
              <w:t>加权平均净资产</w:t>
            </w:r>
            <w:r>
              <w:rPr>
                <w:rFonts w:ascii="宋体" w:hAnsi="宋体" w:cs="宋体" w:eastAsia="宋体" w:hint="default"/>
                <w:sz w:val="21"/>
                <w:szCs w:val="21"/>
              </w:rPr>
            </w:r>
          </w:p>
          <w:p>
            <w:pPr>
              <w:pStyle w:val="TableParagraph"/>
              <w:spacing w:line="289" w:lineRule="exact"/>
              <w:ind w:left="1188" w:right="0"/>
              <w:jc w:val="left"/>
              <w:rPr>
                <w:rFonts w:ascii="Arial Narrow" w:hAnsi="Arial Narrow" w:cs="Arial Narrow" w:eastAsia="Arial Narrow" w:hint="default"/>
                <w:sz w:val="21"/>
                <w:szCs w:val="21"/>
              </w:rPr>
            </w:pPr>
            <w:r>
              <w:rPr>
                <w:rFonts w:ascii="宋体" w:hAnsi="宋体" w:cs="宋体" w:eastAsia="宋体" w:hint="default"/>
                <w:b/>
                <w:bCs/>
                <w:sz w:val="21"/>
                <w:szCs w:val="21"/>
              </w:rPr>
              <w:t>收益率</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218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5"/>
              <w:jc w:val="righ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r>
      <w:tr>
        <w:trPr>
          <w:trHeight w:val="379" w:hRule="exact"/>
        </w:trPr>
        <w:tc>
          <w:tcPr>
            <w:tcW w:w="4098"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78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809"/>
              <w:jc w:val="right"/>
              <w:rPr>
                <w:rFonts w:ascii="Arial Narrow" w:hAnsi="Arial Narrow" w:cs="Arial Narrow" w:eastAsia="Arial Narrow" w:hint="default"/>
                <w:sz w:val="21"/>
                <w:szCs w:val="21"/>
              </w:rPr>
            </w:pPr>
            <w:r>
              <w:rPr>
                <w:rFonts w:ascii="Arial Narrow"/>
                <w:spacing w:val="-1"/>
                <w:sz w:val="21"/>
              </w:rPr>
              <w:t>8.89</w:t>
            </w:r>
            <w:r>
              <w:rPr>
                <w:rFonts w:ascii="Arial Narrow"/>
                <w:sz w:val="21"/>
              </w:rPr>
            </w:r>
          </w:p>
        </w:tc>
        <w:tc>
          <w:tcPr>
            <w:tcW w:w="218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spacing w:val="-1"/>
                <w:sz w:val="21"/>
              </w:rPr>
              <w:t>0.390</w:t>
            </w:r>
            <w:r>
              <w:rPr>
                <w:rFonts w:ascii="Arial Narrow"/>
                <w:sz w:val="21"/>
              </w:rPr>
            </w:r>
          </w:p>
        </w:tc>
      </w:tr>
      <w:tr>
        <w:trPr>
          <w:trHeight w:val="601" w:hRule="exact"/>
        </w:trPr>
        <w:tc>
          <w:tcPr>
            <w:tcW w:w="4098" w:type="dxa"/>
            <w:tcBorders>
              <w:top w:val="nil" w:sz="6" w:space="0" w:color="auto"/>
              <w:left w:val="nil" w:sz="6" w:space="0" w:color="auto"/>
              <w:bottom w:val="single" w:sz="8" w:space="0" w:color="000000"/>
              <w:right w:val="nil" w:sz="6" w:space="0" w:color="auto"/>
            </w:tcBorders>
          </w:tcPr>
          <w:p>
            <w:pPr>
              <w:pStyle w:val="TableParagraph"/>
              <w:spacing w:line="272" w:lineRule="exact" w:before="28"/>
              <w:ind w:left="107" w:right="497"/>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扣除非经常性损益后归属于公司普通</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股股东的净利润</w:t>
            </w:r>
          </w:p>
        </w:tc>
        <w:tc>
          <w:tcPr>
            <w:tcW w:w="2787"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809"/>
              <w:jc w:val="right"/>
              <w:rPr>
                <w:rFonts w:ascii="Arial Narrow" w:hAnsi="Arial Narrow" w:cs="Arial Narrow" w:eastAsia="Arial Narrow" w:hint="default"/>
                <w:sz w:val="21"/>
                <w:szCs w:val="21"/>
              </w:rPr>
            </w:pPr>
            <w:r>
              <w:rPr>
                <w:rFonts w:ascii="Arial Narrow"/>
                <w:spacing w:val="-1"/>
                <w:sz w:val="21"/>
              </w:rPr>
              <w:t>8.21</w:t>
            </w:r>
            <w:r>
              <w:rPr>
                <w:rFonts w:ascii="Arial Narrow"/>
                <w:sz w:val="21"/>
              </w:rPr>
            </w:r>
          </w:p>
        </w:tc>
        <w:tc>
          <w:tcPr>
            <w:tcW w:w="2182" w:type="dxa"/>
            <w:tcBorders>
              <w:top w:val="nil" w:sz="6" w:space="0" w:color="auto"/>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0.360</w:t>
            </w:r>
            <w:r>
              <w:rPr>
                <w:rFonts w:ascii="Arial Narrow"/>
                <w:sz w:val="21"/>
              </w:rPr>
            </w:r>
          </w:p>
        </w:tc>
      </w:tr>
    </w:tbl>
    <w:p>
      <w:pPr>
        <w:spacing w:line="240" w:lineRule="auto" w:before="11"/>
        <w:rPr>
          <w:rFonts w:ascii="宋体" w:hAnsi="宋体" w:cs="宋体" w:eastAsia="宋体" w:hint="default"/>
          <w:sz w:val="6"/>
          <w:szCs w:val="6"/>
        </w:rPr>
      </w:pPr>
    </w:p>
    <w:p>
      <w:pPr>
        <w:pStyle w:val="BodyText"/>
        <w:spacing w:line="240" w:lineRule="auto" w:before="26"/>
        <w:ind w:left="528" w:right="0"/>
        <w:jc w:val="left"/>
      </w:pPr>
      <w:r>
        <w:rPr/>
        <w:t>其中，加权平均净资产收益率的计算过程如下：</w:t>
      </w:r>
    </w:p>
    <w:p>
      <w:pPr>
        <w:spacing w:line="240" w:lineRule="auto" w:before="3"/>
        <w:rPr>
          <w:rFonts w:ascii="宋体" w:hAnsi="宋体" w:cs="宋体" w:eastAsia="宋体" w:hint="default"/>
          <w:sz w:val="24"/>
          <w:szCs w:val="24"/>
        </w:rPr>
      </w:pPr>
    </w:p>
    <w:tbl>
      <w:tblPr>
        <w:tblW w:w="0" w:type="auto"/>
        <w:jc w:val="left"/>
        <w:tblInd w:w="532" w:type="dxa"/>
        <w:tblLayout w:type="fixed"/>
        <w:tblCellMar>
          <w:top w:w="0" w:type="dxa"/>
          <w:left w:w="0" w:type="dxa"/>
          <w:bottom w:w="0" w:type="dxa"/>
          <w:right w:w="0" w:type="dxa"/>
        </w:tblCellMar>
        <w:tblLook w:val="01E0"/>
      </w:tblPr>
      <w:tblGrid>
        <w:gridCol w:w="5800"/>
        <w:gridCol w:w="1508"/>
        <w:gridCol w:w="1766"/>
      </w:tblGrid>
      <w:tr>
        <w:trPr>
          <w:trHeight w:val="413" w:hRule="exact"/>
        </w:trPr>
        <w:tc>
          <w:tcPr>
            <w:tcW w:w="5800" w:type="dxa"/>
            <w:tcBorders>
              <w:top w:val="single" w:sz="8" w:space="0" w:color="000000"/>
              <w:left w:val="nil" w:sz="6" w:space="0" w:color="auto"/>
              <w:bottom w:val="single" w:sz="4" w:space="0" w:color="000000"/>
              <w:right w:val="nil" w:sz="6" w:space="0" w:color="auto"/>
            </w:tcBorders>
          </w:tcPr>
          <w:p>
            <w:pPr>
              <w:pStyle w:val="TableParagraph"/>
              <w:tabs>
                <w:tab w:pos="530" w:val="left" w:leader="none"/>
              </w:tabs>
              <w:spacing w:line="240" w:lineRule="auto" w:before="30"/>
              <w:ind w:left="107"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508"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124"/>
              <w:jc w:val="center"/>
              <w:rPr>
                <w:rFonts w:ascii="宋体" w:hAnsi="宋体" w:cs="宋体" w:eastAsia="宋体" w:hint="default"/>
                <w:sz w:val="21"/>
                <w:szCs w:val="21"/>
              </w:rPr>
            </w:pPr>
            <w:r>
              <w:rPr>
                <w:rFonts w:ascii="宋体" w:hAnsi="宋体" w:cs="宋体" w:eastAsia="宋体" w:hint="default"/>
                <w:b/>
                <w:bCs/>
                <w:sz w:val="21"/>
                <w:szCs w:val="21"/>
              </w:rPr>
              <w:t>代码</w:t>
            </w:r>
            <w:r>
              <w:rPr>
                <w:rFonts w:ascii="宋体" w:hAnsi="宋体" w:cs="宋体" w:eastAsia="宋体" w:hint="default"/>
                <w:sz w:val="21"/>
                <w:szCs w:val="21"/>
              </w:rPr>
            </w:r>
          </w:p>
        </w:tc>
        <w:tc>
          <w:tcPr>
            <w:tcW w:w="1766"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105"/>
              <w:jc w:val="right"/>
              <w:rPr>
                <w:rFonts w:ascii="宋体" w:hAnsi="宋体" w:cs="宋体" w:eastAsia="宋体" w:hint="default"/>
                <w:sz w:val="21"/>
                <w:szCs w:val="21"/>
              </w:rPr>
            </w:pPr>
            <w:r>
              <w:rPr>
                <w:rFonts w:ascii="宋体" w:hAnsi="宋体" w:cs="宋体" w:eastAsia="宋体" w:hint="default"/>
                <w:b/>
                <w:bCs/>
                <w:sz w:val="21"/>
                <w:szCs w:val="21"/>
              </w:rPr>
              <w:t>报告期</w:t>
            </w:r>
            <w:r>
              <w:rPr>
                <w:rFonts w:ascii="宋体" w:hAnsi="宋体" w:cs="宋体" w:eastAsia="宋体" w:hint="default"/>
                <w:sz w:val="21"/>
                <w:szCs w:val="21"/>
              </w:rPr>
            </w:r>
          </w:p>
        </w:tc>
      </w:tr>
      <w:tr>
        <w:trPr>
          <w:trHeight w:val="406" w:hRule="exact"/>
        </w:trPr>
        <w:tc>
          <w:tcPr>
            <w:tcW w:w="580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22"/>
              <w:jc w:val="center"/>
              <w:rPr>
                <w:rFonts w:ascii="Arial Narrow" w:hAnsi="Arial Narrow" w:cs="Arial Narrow" w:eastAsia="Arial Narrow" w:hint="default"/>
                <w:sz w:val="21"/>
                <w:szCs w:val="21"/>
              </w:rPr>
            </w:pPr>
            <w:r>
              <w:rPr>
                <w:rFonts w:ascii="Arial Narrow"/>
                <w:sz w:val="21"/>
              </w:rPr>
              <w:t>P1</w:t>
            </w:r>
          </w:p>
        </w:tc>
        <w:tc>
          <w:tcPr>
            <w:tcW w:w="176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3"/>
              <w:jc w:val="right"/>
              <w:rPr>
                <w:rFonts w:ascii="Arial Narrow" w:hAnsi="Arial Narrow" w:cs="Arial Narrow" w:eastAsia="Arial Narrow" w:hint="default"/>
                <w:sz w:val="21"/>
                <w:szCs w:val="21"/>
              </w:rPr>
            </w:pPr>
            <w:r>
              <w:rPr>
                <w:rFonts w:ascii="Arial Narrow"/>
                <w:spacing w:val="-1"/>
                <w:sz w:val="21"/>
              </w:rPr>
              <w:t>46,761,088.46</w:t>
            </w:r>
            <w:r>
              <w:rPr>
                <w:rFonts w:ascii="Arial Narrow"/>
                <w:sz w:val="21"/>
              </w:rPr>
            </w:r>
          </w:p>
        </w:tc>
      </w:tr>
      <w:tr>
        <w:trPr>
          <w:trHeight w:val="370" w:hRule="exact"/>
        </w:trPr>
        <w:tc>
          <w:tcPr>
            <w:tcW w:w="580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7"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2"/>
              <w:jc w:val="center"/>
              <w:rPr>
                <w:rFonts w:ascii="Arial Narrow" w:hAnsi="Arial Narrow" w:cs="Arial Narrow" w:eastAsia="Arial Narrow" w:hint="default"/>
                <w:sz w:val="21"/>
                <w:szCs w:val="21"/>
              </w:rPr>
            </w:pPr>
            <w:r>
              <w:rPr>
                <w:rFonts w:ascii="Arial Narrow"/>
                <w:w w:val="100"/>
                <w:sz w:val="21"/>
              </w:rPr>
              <w:t>F</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3"/>
              <w:jc w:val="right"/>
              <w:rPr>
                <w:rFonts w:ascii="Arial Narrow" w:hAnsi="Arial Narrow" w:cs="Arial Narrow" w:eastAsia="Arial Narrow" w:hint="default"/>
                <w:sz w:val="21"/>
                <w:szCs w:val="21"/>
              </w:rPr>
            </w:pPr>
            <w:r>
              <w:rPr>
                <w:rFonts w:ascii="Arial Narrow"/>
                <w:spacing w:val="-1"/>
                <w:sz w:val="21"/>
              </w:rPr>
              <w:t>3,560,441.88</w:t>
            </w:r>
            <w:r>
              <w:rPr>
                <w:rFonts w:ascii="Arial Narrow"/>
                <w:sz w:val="21"/>
              </w:rPr>
            </w:r>
          </w:p>
        </w:tc>
      </w:tr>
      <w:tr>
        <w:trPr>
          <w:trHeight w:val="612" w:hRule="exact"/>
        </w:trPr>
        <w:tc>
          <w:tcPr>
            <w:tcW w:w="5800" w:type="dxa"/>
            <w:tcBorders>
              <w:top w:val="nil" w:sz="6" w:space="0" w:color="auto"/>
              <w:left w:val="nil" w:sz="6" w:space="0" w:color="auto"/>
              <w:bottom w:val="nil" w:sz="6" w:space="0" w:color="auto"/>
              <w:right w:val="nil" w:sz="6" w:space="0" w:color="auto"/>
            </w:tcBorders>
          </w:tcPr>
          <w:p>
            <w:pPr>
              <w:pStyle w:val="TableParagraph"/>
              <w:spacing w:line="272" w:lineRule="exact" w:before="26"/>
              <w:ind w:left="107" w:right="346"/>
              <w:jc w:val="left"/>
              <w:rPr>
                <w:rFonts w:ascii="宋体" w:hAnsi="宋体" w:cs="宋体" w:eastAsia="宋体" w:hint="default"/>
                <w:sz w:val="21"/>
                <w:szCs w:val="21"/>
              </w:rPr>
            </w:pPr>
            <w:r>
              <w:rPr>
                <w:rFonts w:ascii="宋体" w:hAnsi="宋体" w:cs="宋体" w:eastAsia="宋体" w:hint="default"/>
                <w:spacing w:val="2"/>
                <w:sz w:val="21"/>
                <w:szCs w:val="21"/>
              </w:rPr>
              <w:t>报告期扣除非经常性损益后归属于公司普通股股东的净利</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润</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22"/>
              <w:jc w:val="center"/>
              <w:rPr>
                <w:rFonts w:ascii="Arial Narrow" w:hAnsi="Arial Narrow" w:cs="Arial Narrow" w:eastAsia="Arial Narrow" w:hint="default"/>
                <w:sz w:val="21"/>
                <w:szCs w:val="21"/>
              </w:rPr>
            </w:pPr>
            <w:r>
              <w:rPr>
                <w:rFonts w:ascii="Arial Narrow"/>
                <w:sz w:val="21"/>
              </w:rPr>
              <w:t>P2=P1-F</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43,200,646.58</w:t>
            </w:r>
            <w:r>
              <w:rPr>
                <w:rFonts w:ascii="Arial Narrow"/>
                <w:sz w:val="21"/>
              </w:rPr>
            </w:r>
          </w:p>
        </w:tc>
      </w:tr>
      <w:tr>
        <w:trPr>
          <w:trHeight w:val="348" w:hRule="exact"/>
        </w:trPr>
        <w:tc>
          <w:tcPr>
            <w:tcW w:w="5800"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2"/>
              <w:jc w:val="center"/>
              <w:rPr>
                <w:rFonts w:ascii="Arial Narrow" w:hAnsi="Arial Narrow" w:cs="Arial Narrow" w:eastAsia="Arial Narrow" w:hint="default"/>
                <w:sz w:val="21"/>
                <w:szCs w:val="21"/>
              </w:rPr>
            </w:pPr>
            <w:r>
              <w:rPr>
                <w:rFonts w:ascii="Arial Narrow"/>
                <w:sz w:val="21"/>
              </w:rPr>
              <w:t>E0</w:t>
            </w: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2"/>
              <w:jc w:val="right"/>
              <w:rPr>
                <w:rFonts w:ascii="Arial Narrow" w:hAnsi="Arial Narrow" w:cs="Arial Narrow" w:eastAsia="Arial Narrow" w:hint="default"/>
                <w:sz w:val="21"/>
                <w:szCs w:val="21"/>
              </w:rPr>
            </w:pPr>
            <w:r>
              <w:rPr>
                <w:rFonts w:ascii="Arial Narrow"/>
                <w:spacing w:val="-2"/>
                <w:sz w:val="21"/>
              </w:rPr>
              <w:t>511,483,565.51</w:t>
            </w:r>
          </w:p>
        </w:tc>
      </w:tr>
      <w:tr>
        <w:trPr>
          <w:trHeight w:val="592" w:hRule="exact"/>
        </w:trPr>
        <w:tc>
          <w:tcPr>
            <w:tcW w:w="5800" w:type="dxa"/>
            <w:tcBorders>
              <w:top w:val="nil" w:sz="6" w:space="0" w:color="auto"/>
              <w:left w:val="nil" w:sz="6" w:space="0" w:color="auto"/>
              <w:bottom w:val="single" w:sz="4" w:space="0" w:color="000000"/>
              <w:right w:val="nil" w:sz="6" w:space="0" w:color="auto"/>
            </w:tcBorders>
          </w:tcPr>
          <w:p>
            <w:pPr>
              <w:pStyle w:val="TableParagraph"/>
              <w:spacing w:line="272" w:lineRule="exact" w:before="26"/>
              <w:ind w:left="107" w:right="346"/>
              <w:jc w:val="left"/>
              <w:rPr>
                <w:rFonts w:ascii="宋体" w:hAnsi="宋体" w:cs="宋体" w:eastAsia="宋体" w:hint="default"/>
                <w:sz w:val="21"/>
                <w:szCs w:val="21"/>
              </w:rPr>
            </w:pPr>
            <w:r>
              <w:rPr>
                <w:rFonts w:ascii="宋体" w:hAnsi="宋体" w:cs="宋体" w:eastAsia="宋体" w:hint="default"/>
                <w:spacing w:val="2"/>
                <w:sz w:val="21"/>
                <w:szCs w:val="21"/>
              </w:rPr>
              <w:t>报告期发行新股或债转股等新增的归属于公司普通股股东</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的净资产</w:t>
            </w:r>
          </w:p>
        </w:tc>
        <w:tc>
          <w:tcPr>
            <w:tcW w:w="1508" w:type="dxa"/>
            <w:tcBorders>
              <w:top w:val="nil" w:sz="6" w:space="0" w:color="auto"/>
              <w:left w:val="nil" w:sz="6" w:space="0" w:color="auto"/>
              <w:bottom w:val="single" w:sz="4" w:space="0" w:color="000000"/>
              <w:right w:val="nil" w:sz="6" w:space="0" w:color="auto"/>
            </w:tcBorders>
          </w:tcPr>
          <w:p>
            <w:pPr>
              <w:pStyle w:val="TableParagraph"/>
              <w:spacing w:line="240" w:lineRule="auto" w:before="179"/>
              <w:ind w:right="123"/>
              <w:jc w:val="center"/>
              <w:rPr>
                <w:rFonts w:ascii="Arial Narrow" w:hAnsi="Arial Narrow" w:cs="Arial Narrow" w:eastAsia="Arial Narrow" w:hint="default"/>
                <w:sz w:val="21"/>
                <w:szCs w:val="21"/>
              </w:rPr>
            </w:pPr>
            <w:r>
              <w:rPr>
                <w:rFonts w:ascii="Arial Narrow"/>
                <w:sz w:val="21"/>
              </w:rPr>
              <w:t>Ei</w:t>
            </w:r>
          </w:p>
        </w:tc>
        <w:tc>
          <w:tcPr>
            <w:tcW w:w="176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100"/>
                <w:sz w:val="21"/>
              </w:rPr>
              <w:t>-</w:t>
            </w:r>
          </w:p>
        </w:tc>
      </w:tr>
    </w:tbl>
    <w:p>
      <w:pPr>
        <w:spacing w:after="0" w:line="240" w:lineRule="auto"/>
        <w:jc w:val="right"/>
        <w:rPr>
          <w:rFonts w:ascii="Arial Narrow" w:hAnsi="Arial Narrow" w:cs="Arial Narrow" w:eastAsia="Arial Narrow" w:hint="default"/>
          <w:sz w:val="21"/>
          <w:szCs w:val="21"/>
        </w:rPr>
        <w:sectPr>
          <w:pgSz w:w="11910" w:h="16840"/>
          <w:pgMar w:header="884" w:footer="929" w:top="1100" w:bottom="1120" w:left="600" w:right="980"/>
        </w:sectPr>
      </w:pPr>
    </w:p>
    <w:p>
      <w:pPr>
        <w:spacing w:line="240" w:lineRule="auto" w:before="7"/>
        <w:rPr>
          <w:rFonts w:ascii="宋体" w:hAnsi="宋体" w:cs="宋体" w:eastAsia="宋体" w:hint="default"/>
          <w:sz w:val="2"/>
          <w:szCs w:val="2"/>
        </w:rPr>
      </w:pPr>
      <w:r>
        <w:rPr/>
        <w:pict>
          <v:group style="position:absolute;margin-left:54.84pt;margin-top:57.239983pt;width:485.65pt;height:1.2pt;mso-position-horizontal-relative:page;mso-position-vertical-relative:page;z-index:-763792" coordorigin="1097,1145" coordsize="9713,24">
            <v:group style="position:absolute;left:1104;top:1152;width:9698;height:2" coordorigin="1104,1152" coordsize="9698,2">
              <v:shape style="position:absolute;left:1104;top:1152;width:9698;height:2" coordorigin="1104,1152" coordsize="9698,0" path="m1104,1152l10802,1152e" filled="false" stroked="true" strokeweight=".72pt" strokecolor="#000000">
                <v:path arrowok="t"/>
              </v:shape>
            </v:group>
            <v:group style="position:absolute;left:1133;top:1164;width:5565;height:2" coordorigin="1133,1164" coordsize="5565,2">
              <v:shape style="position:absolute;left:1133;top:1164;width:5565;height:2" coordorigin="1133,1164" coordsize="5565,0" path="m1133,1164l6697,1164e" filled="false" stroked="true" strokeweight=".48pt" strokecolor="#000000">
                <v:path arrowok="t"/>
              </v:shape>
            </v:group>
            <v:group style="position:absolute;left:6697;top:1164;width:10;height:2" coordorigin="6697,1164" coordsize="10,2">
              <v:shape style="position:absolute;left:6697;top:1164;width:10;height:2" coordorigin="6697,1164" coordsize="10,0" path="m6697,1164l6707,1164e" filled="false" stroked="true" strokeweight=".48pt" strokecolor="#000000">
                <v:path arrowok="t"/>
              </v:shape>
            </v:group>
            <v:group style="position:absolute;left:6707;top:1164;width:1844;height:2" coordorigin="6707,1164" coordsize="1844,2">
              <v:shape style="position:absolute;left:6707;top:1164;width:1844;height:2" coordorigin="6707,1164" coordsize="1844,0" path="m6707,1164l8550,1164e" filled="false" stroked="true" strokeweight=".48pt" strokecolor="#000000">
                <v:path arrowok="t"/>
              </v:shape>
            </v:group>
            <v:group style="position:absolute;left:8550;top:1164;width:10;height:2" coordorigin="8550,1164" coordsize="10,2">
              <v:shape style="position:absolute;left:8550;top:1164;width:10;height:2" coordorigin="8550,1164" coordsize="10,0" path="m8550,1164l8560,1164e" filled="false" stroked="true" strokeweight=".48pt" strokecolor="#000000">
                <v:path arrowok="t"/>
              </v:shape>
            </v:group>
            <v:group style="position:absolute;left:8560;top:1164;width:1647;height:2" coordorigin="8560,1164" coordsize="1647,2">
              <v:shape style="position:absolute;left:8560;top:1164;width:1647;height:2" coordorigin="8560,1164" coordsize="1647,0" path="m8560,1164l10207,1164e" filled="false" stroked="true" strokeweight=".48pt" strokecolor="#000000">
                <v:path arrowok="t"/>
              </v:shape>
            </v:group>
            <w10:wrap type="none"/>
          </v:group>
        </w:pict>
      </w:r>
    </w:p>
    <w:tbl>
      <w:tblPr>
        <w:tblW w:w="0" w:type="auto"/>
        <w:jc w:val="left"/>
        <w:tblInd w:w="504" w:type="dxa"/>
        <w:tblLayout w:type="fixed"/>
        <w:tblCellMar>
          <w:top w:w="0" w:type="dxa"/>
          <w:left w:w="0" w:type="dxa"/>
          <w:bottom w:w="0" w:type="dxa"/>
          <w:right w:w="0" w:type="dxa"/>
        </w:tblCellMar>
        <w:tblLook w:val="01E0"/>
      </w:tblPr>
      <w:tblGrid>
        <w:gridCol w:w="5544"/>
        <w:gridCol w:w="2072"/>
        <w:gridCol w:w="1487"/>
      </w:tblGrid>
      <w:tr>
        <w:trPr>
          <w:trHeight w:val="391"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36" w:right="0"/>
              <w:jc w:val="left"/>
              <w:rPr>
                <w:rFonts w:ascii="宋体" w:hAnsi="宋体" w:cs="宋体" w:eastAsia="宋体" w:hint="default"/>
                <w:sz w:val="21"/>
                <w:szCs w:val="21"/>
              </w:rPr>
            </w:pPr>
            <w:r>
              <w:rPr>
                <w:rFonts w:ascii="宋体" w:hAnsi="宋体" w:cs="宋体" w:eastAsia="宋体" w:hint="default"/>
                <w:sz w:val="21"/>
                <w:szCs w:val="21"/>
              </w:rPr>
              <w:t>新增净资产下一月份起至报告期期末的月份数</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8"/>
              <w:jc w:val="center"/>
              <w:rPr>
                <w:rFonts w:ascii="Arial Narrow" w:hAnsi="Arial Narrow" w:cs="Arial Narrow" w:eastAsia="Arial Narrow" w:hint="default"/>
                <w:sz w:val="21"/>
                <w:szCs w:val="21"/>
              </w:rPr>
            </w:pPr>
            <w:r>
              <w:rPr>
                <w:rFonts w:ascii="Arial Narrow"/>
                <w:sz w:val="21"/>
              </w:rPr>
              <w:t>Mi</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5"/>
              <w:jc w:val="right"/>
              <w:rPr>
                <w:rFonts w:ascii="Arial Narrow" w:hAnsi="Arial Narrow" w:cs="Arial Narrow" w:eastAsia="Arial Narrow" w:hint="default"/>
                <w:sz w:val="21"/>
                <w:szCs w:val="21"/>
              </w:rPr>
            </w:pPr>
            <w:r>
              <w:rPr>
                <w:rFonts w:ascii="Arial Narrow"/>
                <w:w w:val="100"/>
                <w:sz w:val="21"/>
              </w:rPr>
              <w:t>-</w:t>
            </w:r>
          </w:p>
        </w:tc>
      </w:tr>
      <w:tr>
        <w:trPr>
          <w:trHeight w:val="612"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74" w:lineRule="exact" w:before="24"/>
              <w:ind w:left="136" w:right="61"/>
              <w:jc w:val="left"/>
              <w:rPr>
                <w:rFonts w:ascii="宋体" w:hAnsi="宋体" w:cs="宋体" w:eastAsia="宋体" w:hint="default"/>
                <w:sz w:val="21"/>
                <w:szCs w:val="21"/>
              </w:rPr>
            </w:pPr>
            <w:r>
              <w:rPr>
                <w:rFonts w:ascii="宋体" w:hAnsi="宋体" w:cs="宋体" w:eastAsia="宋体" w:hint="default"/>
                <w:spacing w:val="2"/>
                <w:sz w:val="21"/>
                <w:szCs w:val="21"/>
              </w:rPr>
              <w:t>报告期回购或现金分红等减少的归属于公司普通股股东的</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净资产</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118"/>
              <w:jc w:val="center"/>
              <w:rPr>
                <w:rFonts w:ascii="Arial Narrow" w:hAnsi="Arial Narrow" w:cs="Arial Narrow" w:eastAsia="Arial Narrow" w:hint="default"/>
                <w:sz w:val="21"/>
                <w:szCs w:val="21"/>
              </w:rPr>
            </w:pPr>
            <w:r>
              <w:rPr>
                <w:rFonts w:ascii="Arial Narrow"/>
                <w:sz w:val="21"/>
              </w:rPr>
              <w:t>Ej</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r>
      <w:tr>
        <w:trPr>
          <w:trHeight w:val="374"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6" w:right="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8"/>
              <w:jc w:val="center"/>
              <w:rPr>
                <w:rFonts w:ascii="Arial Narrow" w:hAnsi="Arial Narrow" w:cs="Arial Narrow" w:eastAsia="Arial Narrow" w:hint="default"/>
                <w:sz w:val="21"/>
                <w:szCs w:val="21"/>
              </w:rPr>
            </w:pPr>
            <w:r>
              <w:rPr>
                <w:rFonts w:ascii="Arial Narrow"/>
                <w:sz w:val="21"/>
              </w:rPr>
              <w:t>Mj</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Arial Narrow" w:hAnsi="Arial Narrow" w:cs="Arial Narrow" w:eastAsia="Arial Narrow" w:hint="default"/>
                <w:sz w:val="21"/>
                <w:szCs w:val="21"/>
              </w:rPr>
            </w:pPr>
            <w:r>
              <w:rPr>
                <w:rFonts w:ascii="Arial Narrow"/>
                <w:w w:val="100"/>
                <w:sz w:val="21"/>
              </w:rPr>
              <w:t>7</w:t>
            </w:r>
          </w:p>
        </w:tc>
      </w:tr>
      <w:tr>
        <w:trPr>
          <w:trHeight w:val="397"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6" w:right="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8"/>
              <w:jc w:val="center"/>
              <w:rPr>
                <w:rFonts w:ascii="Arial Narrow" w:hAnsi="Arial Narrow" w:cs="Arial Narrow" w:eastAsia="Arial Narrow" w:hint="default"/>
                <w:sz w:val="21"/>
                <w:szCs w:val="21"/>
              </w:rPr>
            </w:pPr>
            <w:r>
              <w:rPr>
                <w:rFonts w:ascii="Arial Narrow"/>
                <w:sz w:val="21"/>
              </w:rPr>
              <w:t>Ek</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Arial Narrow" w:hAnsi="Arial Narrow" w:cs="Arial Narrow" w:eastAsia="Arial Narrow" w:hint="default"/>
                <w:sz w:val="21"/>
                <w:szCs w:val="21"/>
              </w:rPr>
            </w:pPr>
            <w:r>
              <w:rPr>
                <w:rFonts w:ascii="Arial Narrow"/>
                <w:spacing w:val="-1"/>
                <w:sz w:val="21"/>
              </w:rPr>
              <w:t>-159,089.56</w:t>
            </w:r>
            <w:r>
              <w:rPr>
                <w:rFonts w:ascii="Arial Narrow"/>
                <w:sz w:val="21"/>
              </w:rPr>
            </w:r>
          </w:p>
        </w:tc>
      </w:tr>
      <w:tr>
        <w:trPr>
          <w:trHeight w:val="396"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6" w:right="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其他净资产变动下一月份起至报告期期末的月份数</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8"/>
              <w:jc w:val="center"/>
              <w:rPr>
                <w:rFonts w:ascii="Arial Narrow" w:hAnsi="Arial Narrow" w:cs="Arial Narrow" w:eastAsia="Arial Narrow" w:hint="default"/>
                <w:sz w:val="21"/>
                <w:szCs w:val="21"/>
              </w:rPr>
            </w:pPr>
            <w:r>
              <w:rPr>
                <w:rFonts w:ascii="Arial Narrow"/>
                <w:sz w:val="21"/>
              </w:rPr>
              <w:t>Mk</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5"/>
              <w:jc w:val="right"/>
              <w:rPr>
                <w:rFonts w:ascii="Arial Narrow" w:hAnsi="Arial Narrow" w:cs="Arial Narrow" w:eastAsia="Arial Narrow" w:hint="default"/>
                <w:sz w:val="21"/>
                <w:szCs w:val="21"/>
              </w:rPr>
            </w:pPr>
            <w:r>
              <w:rPr>
                <w:rFonts w:ascii="Arial Narrow"/>
                <w:w w:val="100"/>
                <w:sz w:val="21"/>
              </w:rPr>
              <w:t>6</w:t>
            </w:r>
          </w:p>
        </w:tc>
      </w:tr>
      <w:tr>
        <w:trPr>
          <w:trHeight w:val="397"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6"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8"/>
              <w:jc w:val="center"/>
              <w:rPr>
                <w:rFonts w:ascii="Arial Narrow" w:hAnsi="Arial Narrow" w:cs="Arial Narrow" w:eastAsia="Arial Narrow" w:hint="default"/>
                <w:sz w:val="21"/>
                <w:szCs w:val="21"/>
              </w:rPr>
            </w:pPr>
            <w:r>
              <w:rPr>
                <w:rFonts w:ascii="Arial Narrow"/>
                <w:sz w:val="21"/>
              </w:rPr>
              <w:t>M0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5"/>
              <w:jc w:val="right"/>
              <w:rPr>
                <w:rFonts w:ascii="Arial Narrow" w:hAnsi="Arial Narrow" w:cs="Arial Narrow" w:eastAsia="Arial Narrow" w:hint="default"/>
                <w:sz w:val="21"/>
                <w:szCs w:val="21"/>
              </w:rPr>
            </w:pPr>
            <w:r>
              <w:rPr>
                <w:rFonts w:ascii="Arial Narrow"/>
                <w:spacing w:val="-1"/>
                <w:sz w:val="21"/>
              </w:rPr>
              <w:t>12</w:t>
            </w:r>
            <w:r>
              <w:rPr>
                <w:rFonts w:ascii="Arial Narrow"/>
                <w:sz w:val="21"/>
              </w:rPr>
            </w:r>
          </w:p>
        </w:tc>
      </w:tr>
      <w:tr>
        <w:trPr>
          <w:trHeight w:val="381"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6"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归属于公司普通股股东的期末净资产</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8"/>
              <w:jc w:val="center"/>
              <w:rPr>
                <w:rFonts w:ascii="Arial Narrow" w:hAnsi="Arial Narrow" w:cs="Arial Narrow" w:eastAsia="Arial Narrow" w:hint="default"/>
                <w:sz w:val="21"/>
                <w:szCs w:val="21"/>
              </w:rPr>
            </w:pPr>
            <w:r>
              <w:rPr>
                <w:rFonts w:ascii="Arial Narrow"/>
                <w:sz w:val="21"/>
              </w:rPr>
              <w:t>E1</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3"/>
              <w:jc w:val="right"/>
              <w:rPr>
                <w:rFonts w:ascii="Arial Narrow" w:hAnsi="Arial Narrow" w:cs="Arial Narrow" w:eastAsia="Arial Narrow" w:hint="default"/>
                <w:sz w:val="21"/>
                <w:szCs w:val="21"/>
              </w:rPr>
            </w:pPr>
            <w:r>
              <w:rPr>
                <w:rFonts w:ascii="Arial Narrow"/>
                <w:spacing w:val="-1"/>
                <w:sz w:val="21"/>
              </w:rPr>
              <w:t>546,527,702.70</w:t>
            </w:r>
            <w:r>
              <w:rPr>
                <w:rFonts w:ascii="Arial Narrow"/>
                <w:sz w:val="21"/>
              </w:rPr>
            </w:r>
          </w:p>
        </w:tc>
      </w:tr>
      <w:tr>
        <w:trPr>
          <w:trHeight w:val="596"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36"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exact" w:before="48"/>
              <w:ind w:right="115"/>
              <w:jc w:val="center"/>
              <w:rPr>
                <w:rFonts w:ascii="Arial Narrow" w:hAnsi="Arial Narrow" w:cs="Arial Narrow" w:eastAsia="Arial Narrow" w:hint="default"/>
                <w:sz w:val="21"/>
                <w:szCs w:val="21"/>
              </w:rPr>
            </w:pPr>
            <w:r>
              <w:rPr>
                <w:rFonts w:ascii="Arial Narrow"/>
                <w:sz w:val="21"/>
              </w:rPr>
              <w:t>E2=E0+P1/2+Ei*Mi/M0-</w:t>
            </w:r>
          </w:p>
          <w:p>
            <w:pPr>
              <w:pStyle w:val="TableParagraph"/>
              <w:spacing w:line="240" w:lineRule="exact"/>
              <w:ind w:right="9"/>
              <w:jc w:val="center"/>
              <w:rPr>
                <w:rFonts w:ascii="Arial Narrow" w:hAnsi="Arial Narrow" w:cs="Arial Narrow" w:eastAsia="Arial Narrow" w:hint="default"/>
                <w:sz w:val="21"/>
                <w:szCs w:val="21"/>
              </w:rPr>
            </w:pPr>
            <w:r>
              <w:rPr>
                <w:rFonts w:ascii="Arial Narrow"/>
                <w:sz w:val="21"/>
              </w:rPr>
              <w:t>Ej*Mj/M0+Ek*Mk/M0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03"/>
              <w:jc w:val="right"/>
              <w:rPr>
                <w:rFonts w:ascii="Arial Narrow" w:hAnsi="Arial Narrow" w:cs="Arial Narrow" w:eastAsia="Arial Narrow" w:hint="default"/>
                <w:sz w:val="21"/>
                <w:szCs w:val="21"/>
              </w:rPr>
            </w:pPr>
            <w:r>
              <w:rPr>
                <w:rFonts w:ascii="Arial Narrow"/>
                <w:spacing w:val="-1"/>
                <w:sz w:val="21"/>
              </w:rPr>
              <w:t>526,034,564.96</w:t>
            </w:r>
            <w:r>
              <w:rPr>
                <w:rFonts w:ascii="Arial Narrow"/>
                <w:sz w:val="21"/>
              </w:rPr>
            </w:r>
          </w:p>
        </w:tc>
      </w:tr>
      <w:tr>
        <w:trPr>
          <w:trHeight w:val="354" w:hRule="exact"/>
        </w:trPr>
        <w:tc>
          <w:tcPr>
            <w:tcW w:w="554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6"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归属于公司普通股股东的加权平均净资产收益率</w:t>
            </w: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8"/>
              <w:jc w:val="center"/>
              <w:rPr>
                <w:rFonts w:ascii="Arial Narrow" w:hAnsi="Arial Narrow" w:cs="Arial Narrow" w:eastAsia="Arial Narrow" w:hint="default"/>
                <w:sz w:val="21"/>
                <w:szCs w:val="21"/>
              </w:rPr>
            </w:pPr>
            <w:r>
              <w:rPr>
                <w:rFonts w:ascii="Arial Narrow"/>
                <w:sz w:val="21"/>
              </w:rPr>
              <w:t>Y1=P1/E2</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1"/>
                <w:szCs w:val="21"/>
              </w:rPr>
            </w:pPr>
            <w:r>
              <w:rPr>
                <w:rFonts w:ascii="Arial Narrow"/>
                <w:spacing w:val="-1"/>
                <w:sz w:val="21"/>
              </w:rPr>
              <w:t>8.89%</w:t>
            </w:r>
          </w:p>
        </w:tc>
      </w:tr>
      <w:tr>
        <w:trPr>
          <w:trHeight w:val="597" w:hRule="exact"/>
        </w:trPr>
        <w:tc>
          <w:tcPr>
            <w:tcW w:w="5544" w:type="dxa"/>
            <w:tcBorders>
              <w:top w:val="nil" w:sz="6" w:space="0" w:color="auto"/>
              <w:left w:val="nil" w:sz="6" w:space="0" w:color="auto"/>
              <w:bottom w:val="single" w:sz="8" w:space="0" w:color="000000"/>
              <w:right w:val="nil" w:sz="6" w:space="0" w:color="auto"/>
            </w:tcBorders>
          </w:tcPr>
          <w:p>
            <w:pPr>
              <w:pStyle w:val="TableParagraph"/>
              <w:spacing w:line="272" w:lineRule="exact" w:before="26"/>
              <w:ind w:left="136" w:right="61"/>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扣除非经常性损益后归属于公司普通股股东的加权平均净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资产收益率</w:t>
            </w:r>
          </w:p>
        </w:tc>
        <w:tc>
          <w:tcPr>
            <w:tcW w:w="2072" w:type="dxa"/>
            <w:tcBorders>
              <w:top w:val="nil" w:sz="6" w:space="0" w:color="auto"/>
              <w:left w:val="nil" w:sz="6" w:space="0" w:color="auto"/>
              <w:bottom w:val="single" w:sz="8" w:space="0" w:color="000000"/>
              <w:right w:val="nil" w:sz="6" w:space="0" w:color="auto"/>
            </w:tcBorders>
          </w:tcPr>
          <w:p>
            <w:pPr>
              <w:pStyle w:val="TableParagraph"/>
              <w:spacing w:line="240" w:lineRule="auto" w:before="179"/>
              <w:ind w:right="118"/>
              <w:jc w:val="center"/>
              <w:rPr>
                <w:rFonts w:ascii="Arial Narrow" w:hAnsi="Arial Narrow" w:cs="Arial Narrow" w:eastAsia="Arial Narrow" w:hint="default"/>
                <w:sz w:val="21"/>
                <w:szCs w:val="21"/>
              </w:rPr>
            </w:pPr>
            <w:r>
              <w:rPr>
                <w:rFonts w:ascii="Arial Narrow"/>
                <w:sz w:val="21"/>
              </w:rPr>
              <w:t>Y2=P2/E2</w:t>
            </w:r>
          </w:p>
        </w:tc>
        <w:tc>
          <w:tcPr>
            <w:tcW w:w="1487" w:type="dxa"/>
            <w:tcBorders>
              <w:top w:val="nil" w:sz="6" w:space="0" w:color="auto"/>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spacing w:val="-1"/>
                <w:sz w:val="21"/>
              </w:rPr>
              <w:t>8.21%</w:t>
            </w:r>
          </w:p>
        </w:tc>
      </w:tr>
    </w:tbl>
    <w:p>
      <w:pPr>
        <w:spacing w:line="240" w:lineRule="auto" w:before="11"/>
        <w:rPr>
          <w:rFonts w:ascii="宋体" w:hAnsi="宋体" w:cs="宋体" w:eastAsia="宋体" w:hint="default"/>
          <w:sz w:val="6"/>
          <w:szCs w:val="6"/>
        </w:rPr>
      </w:pPr>
    </w:p>
    <w:p>
      <w:pPr>
        <w:pStyle w:val="BodyText"/>
        <w:spacing w:line="240" w:lineRule="auto" w:before="26"/>
        <w:ind w:left="112" w:right="33"/>
        <w:jc w:val="left"/>
      </w:pPr>
      <w:r>
        <w:rPr>
          <w:rFonts w:ascii="Arial Narrow" w:hAnsi="Arial Narrow" w:cs="Arial Narrow" w:eastAsia="Arial Narrow" w:hint="default"/>
        </w:rPr>
        <w:t>3</w:t>
      </w:r>
      <w:r>
        <w:rPr/>
        <w:t>、公司主要财务报表项目的异常情况及原因的说明</w:t>
      </w:r>
    </w:p>
    <w:p>
      <w:pPr>
        <w:spacing w:line="240" w:lineRule="auto" w:before="11"/>
        <w:rPr>
          <w:rFonts w:ascii="宋体" w:hAnsi="宋体" w:cs="宋体" w:eastAsia="宋体" w:hint="default"/>
          <w:sz w:val="19"/>
          <w:szCs w:val="19"/>
        </w:rPr>
      </w:pPr>
    </w:p>
    <w:p>
      <w:pPr>
        <w:pStyle w:val="BodyText"/>
        <w:spacing w:line="321" w:lineRule="exact"/>
        <w:ind w:left="218" w:right="33"/>
        <w:jc w:val="left"/>
      </w:pPr>
      <w:r>
        <w:rPr/>
        <w:t>（</w:t>
      </w:r>
      <w:r>
        <w:rPr>
          <w:rFonts w:ascii="Arial Narrow" w:hAnsi="Arial Narrow" w:cs="Arial Narrow" w:eastAsia="Arial Narrow" w:hint="default"/>
        </w:rPr>
        <w:t>1</w:t>
      </w:r>
      <w:r>
        <w:rPr/>
        <w:t>）应收账款</w:t>
      </w:r>
      <w:r>
        <w:rPr>
          <w:spacing w:val="-64"/>
        </w:rPr>
        <w:t> </w:t>
      </w:r>
      <w:r>
        <w:rPr>
          <w:rFonts w:ascii="Arial Narrow" w:hAnsi="Arial Narrow" w:cs="Arial Narrow" w:eastAsia="Arial Narrow" w:hint="default"/>
          <w:spacing w:val="-4"/>
        </w:rPr>
        <w:t>2011</w:t>
      </w:r>
      <w:r>
        <w:rPr>
          <w:rFonts w:ascii="Arial Narrow" w:hAnsi="Arial Narrow" w:cs="Arial Narrow" w:eastAsia="Arial Narrow" w:hint="default"/>
          <w:spacing w:val="2"/>
        </w:rPr>
        <w:t> </w:t>
      </w:r>
      <w:r>
        <w:rPr/>
        <w:t>年末账面余额</w:t>
      </w:r>
      <w:r>
        <w:rPr>
          <w:spacing w:val="-64"/>
        </w:rPr>
        <w:t> </w:t>
      </w:r>
      <w:r>
        <w:rPr>
          <w:rFonts w:ascii="Arial Narrow" w:hAnsi="Arial Narrow" w:cs="Arial Narrow" w:eastAsia="Arial Narrow" w:hint="default"/>
        </w:rPr>
        <w:t>159,076,460.64</w:t>
      </w:r>
      <w:r>
        <w:rPr>
          <w:rFonts w:ascii="Arial Narrow" w:hAnsi="Arial Narrow" w:cs="Arial Narrow" w:eastAsia="Arial Narrow" w:hint="default"/>
          <w:spacing w:val="4"/>
        </w:rPr>
        <w:t> </w:t>
      </w:r>
      <w:r>
        <w:rPr/>
        <w:t>元，较</w:t>
      </w:r>
      <w:r>
        <w:rPr>
          <w:spacing w:val="-6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年末账面余额增加</w:t>
      </w:r>
      <w:r>
        <w:rPr>
          <w:spacing w:val="-64"/>
        </w:rPr>
        <w:t> </w:t>
      </w:r>
      <w:r>
        <w:rPr>
          <w:rFonts w:ascii="Arial Narrow" w:hAnsi="Arial Narrow" w:cs="Arial Narrow" w:eastAsia="Arial Narrow" w:hint="default"/>
        </w:rPr>
        <w:t>52,704,285.38</w:t>
      </w:r>
      <w:r>
        <w:rPr>
          <w:rFonts w:ascii="Arial Narrow" w:hAnsi="Arial Narrow" w:cs="Arial Narrow" w:eastAsia="Arial Narrow" w:hint="default"/>
          <w:spacing w:val="3"/>
        </w:rPr>
        <w:t> </w:t>
      </w:r>
      <w:r>
        <w:rPr/>
        <w:t>元，</w:t>
      </w:r>
    </w:p>
    <w:p>
      <w:pPr>
        <w:pStyle w:val="BodyText"/>
        <w:spacing w:line="321" w:lineRule="exact"/>
        <w:ind w:left="530" w:right="33"/>
        <w:jc w:val="left"/>
      </w:pPr>
      <w:r>
        <w:rPr/>
        <w:t>增长</w:t>
      </w:r>
      <w:r>
        <w:rPr>
          <w:spacing w:val="-62"/>
        </w:rPr>
        <w:t> </w:t>
      </w:r>
      <w:r>
        <w:rPr>
          <w:rFonts w:ascii="Arial Narrow" w:hAnsi="Arial Narrow" w:cs="Arial Narrow" w:eastAsia="Arial Narrow" w:hint="default"/>
        </w:rPr>
        <w:t>49.55</w:t>
      </w:r>
      <w:r>
        <w:rPr>
          <w:rFonts w:ascii="Arial Narrow" w:hAnsi="Arial Narrow" w:cs="Arial Narrow" w:eastAsia="Arial Narrow" w:hint="default"/>
          <w:spacing w:val="-2"/>
        </w:rPr>
        <w:t> </w:t>
      </w:r>
      <w:r>
        <w:rPr>
          <w:rFonts w:ascii="Arial Narrow" w:hAnsi="Arial Narrow" w:cs="Arial Narrow" w:eastAsia="Arial Narrow" w:hint="default"/>
        </w:rPr>
        <w:t>%</w:t>
      </w:r>
      <w:r>
        <w:rPr/>
        <w:t>，主要系本年业务规模扩大、营业收入增长所致。</w:t>
      </w:r>
    </w:p>
    <w:p>
      <w:pPr>
        <w:spacing w:line="240" w:lineRule="auto" w:before="5"/>
        <w:rPr>
          <w:rFonts w:ascii="宋体" w:hAnsi="宋体" w:cs="宋体" w:eastAsia="宋体" w:hint="default"/>
          <w:sz w:val="22"/>
          <w:szCs w:val="22"/>
        </w:rPr>
      </w:pPr>
    </w:p>
    <w:p>
      <w:pPr>
        <w:pStyle w:val="BodyText"/>
        <w:spacing w:line="312" w:lineRule="exact"/>
        <w:ind w:left="530" w:right="33" w:hanging="312"/>
        <w:jc w:val="left"/>
      </w:pPr>
      <w:r>
        <w:rPr/>
        <w:t>（</w:t>
      </w:r>
      <w:r>
        <w:rPr>
          <w:rFonts w:ascii="Arial Narrow" w:hAnsi="Arial Narrow" w:cs="Arial Narrow" w:eastAsia="Arial Narrow" w:hint="default"/>
        </w:rPr>
        <w:t>2</w:t>
      </w:r>
      <w:r>
        <w:rPr/>
        <w:t>）预付账款</w:t>
      </w:r>
      <w:r>
        <w:rPr>
          <w:spacing w:val="-63"/>
        </w:rPr>
        <w:t> </w:t>
      </w:r>
      <w:r>
        <w:rPr>
          <w:rFonts w:ascii="Arial Narrow" w:hAnsi="Arial Narrow" w:cs="Arial Narrow" w:eastAsia="Arial Narrow" w:hint="default"/>
          <w:spacing w:val="-4"/>
        </w:rPr>
        <w:t>2011</w:t>
      </w:r>
      <w:r>
        <w:rPr>
          <w:rFonts w:ascii="Arial Narrow" w:hAnsi="Arial Narrow" w:cs="Arial Narrow" w:eastAsia="Arial Narrow" w:hint="default"/>
          <w:spacing w:val="3"/>
        </w:rPr>
        <w:t> </w:t>
      </w:r>
      <w:r>
        <w:rPr/>
        <w:t>年末账面价值</w:t>
      </w:r>
      <w:r>
        <w:rPr>
          <w:spacing w:val="-63"/>
        </w:rPr>
        <w:t> </w:t>
      </w:r>
      <w:r>
        <w:rPr>
          <w:rFonts w:ascii="Arial Narrow" w:hAnsi="Arial Narrow" w:cs="Arial Narrow" w:eastAsia="Arial Narrow" w:hint="default"/>
        </w:rPr>
        <w:t>55,523,569.92</w:t>
      </w:r>
      <w:r>
        <w:rPr>
          <w:rFonts w:ascii="Arial Narrow" w:hAnsi="Arial Narrow" w:cs="Arial Narrow" w:eastAsia="Arial Narrow" w:hint="default"/>
          <w:spacing w:val="4"/>
        </w:rPr>
        <w:t> </w:t>
      </w:r>
      <w:r>
        <w:rPr/>
        <w:t>元，较</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3"/>
        </w:rPr>
        <w:t> </w:t>
      </w:r>
      <w:r>
        <w:rPr/>
        <w:t>年末账面价值增加</w:t>
      </w:r>
      <w:r>
        <w:rPr>
          <w:spacing w:val="-63"/>
        </w:rPr>
        <w:t> </w:t>
      </w:r>
      <w:r>
        <w:rPr>
          <w:rFonts w:ascii="Arial Narrow" w:hAnsi="Arial Narrow" w:cs="Arial Narrow" w:eastAsia="Arial Narrow" w:hint="default"/>
        </w:rPr>
        <w:t>19,959,272.05</w:t>
      </w:r>
      <w:r>
        <w:rPr>
          <w:rFonts w:ascii="Arial Narrow" w:hAnsi="Arial Narrow" w:cs="Arial Narrow" w:eastAsia="Arial Narrow" w:hint="default"/>
          <w:spacing w:val="2"/>
        </w:rPr>
        <w:t> </w:t>
      </w:r>
      <w:r>
        <w:rPr/>
        <w:t>元， 增长</w:t>
      </w:r>
      <w:r>
        <w:rPr>
          <w:spacing w:val="-63"/>
        </w:rPr>
        <w:t> </w:t>
      </w:r>
      <w:r>
        <w:rPr>
          <w:rFonts w:ascii="Arial Narrow" w:hAnsi="Arial Narrow" w:cs="Arial Narrow" w:eastAsia="Arial Narrow" w:hint="default"/>
        </w:rPr>
        <w:t>56.12%</w:t>
      </w:r>
      <w:r>
        <w:rPr/>
        <w:t>，主要系本年收入增长相应外包成本增加所致。</w:t>
      </w:r>
    </w:p>
    <w:p>
      <w:pPr>
        <w:spacing w:line="240" w:lineRule="auto" w:before="4"/>
        <w:rPr>
          <w:rFonts w:ascii="宋体" w:hAnsi="宋体" w:cs="宋体" w:eastAsia="宋体" w:hint="default"/>
          <w:sz w:val="21"/>
          <w:szCs w:val="21"/>
        </w:rPr>
      </w:pPr>
    </w:p>
    <w:p>
      <w:pPr>
        <w:pStyle w:val="BodyText"/>
        <w:spacing w:line="312" w:lineRule="exact"/>
        <w:ind w:left="530" w:right="33" w:hanging="312"/>
        <w:jc w:val="left"/>
      </w:pPr>
      <w:r>
        <w:rPr>
          <w:spacing w:val="-9"/>
        </w:rPr>
        <w:t>（</w:t>
      </w:r>
      <w:r>
        <w:rPr>
          <w:rFonts w:ascii="Arial Narrow" w:hAnsi="Arial Narrow" w:cs="Arial Narrow" w:eastAsia="Arial Narrow" w:hint="default"/>
          <w:spacing w:val="-9"/>
        </w:rPr>
        <w:t>3</w:t>
      </w:r>
      <w:r>
        <w:rPr>
          <w:spacing w:val="-9"/>
        </w:rPr>
        <w:t>）长期应收款</w:t>
      </w:r>
      <w:r>
        <w:rPr>
          <w:spacing w:val="-62"/>
        </w:rPr>
        <w:t> </w:t>
      </w:r>
      <w:r>
        <w:rPr>
          <w:rFonts w:ascii="Arial Narrow" w:hAnsi="Arial Narrow" w:cs="Arial Narrow" w:eastAsia="Arial Narrow" w:hint="default"/>
          <w:spacing w:val="-4"/>
        </w:rPr>
        <w:t>2011</w:t>
      </w:r>
      <w:r>
        <w:rPr>
          <w:rFonts w:ascii="Arial Narrow" w:hAnsi="Arial Narrow" w:cs="Arial Narrow" w:eastAsia="Arial Narrow" w:hint="default"/>
          <w:spacing w:val="2"/>
        </w:rPr>
        <w:t> </w:t>
      </w:r>
      <w:r>
        <w:rPr/>
        <w:t>年末账面余额</w:t>
      </w:r>
      <w:r>
        <w:rPr>
          <w:spacing w:val="-62"/>
        </w:rPr>
        <w:t> </w:t>
      </w:r>
      <w:r>
        <w:rPr>
          <w:rFonts w:ascii="Arial Narrow" w:hAnsi="Arial Narrow" w:cs="Arial Narrow" w:eastAsia="Arial Narrow" w:hint="default"/>
        </w:rPr>
        <w:t>27,394,858.87</w:t>
      </w:r>
      <w:r>
        <w:rPr>
          <w:rFonts w:ascii="Arial Narrow" w:hAnsi="Arial Narrow" w:cs="Arial Narrow" w:eastAsia="Arial Narrow" w:hint="default"/>
          <w:spacing w:val="5"/>
        </w:rPr>
        <w:t> </w:t>
      </w:r>
      <w:r>
        <w:rPr>
          <w:spacing w:val="-23"/>
        </w:rPr>
        <w:t>元，较</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年末账面余额增加</w:t>
      </w:r>
      <w:r>
        <w:rPr>
          <w:spacing w:val="-62"/>
        </w:rPr>
        <w:t> </w:t>
      </w:r>
      <w:r>
        <w:rPr>
          <w:rFonts w:ascii="Arial Narrow" w:hAnsi="Arial Narrow" w:cs="Arial Narrow" w:eastAsia="Arial Narrow" w:hint="default"/>
        </w:rPr>
        <w:t>26,284,518.98</w:t>
      </w:r>
      <w:r>
        <w:rPr>
          <w:rFonts w:ascii="Arial Narrow" w:hAnsi="Arial Narrow" w:cs="Arial Narrow" w:eastAsia="Arial Narrow" w:hint="default"/>
          <w:spacing w:val="4"/>
        </w:rPr>
        <w:t> </w:t>
      </w:r>
      <w:r>
        <w:rPr/>
        <w:t>元， 增长</w:t>
      </w:r>
      <w:r>
        <w:rPr>
          <w:spacing w:val="-69"/>
        </w:rPr>
        <w:t> </w:t>
      </w:r>
      <w:r>
        <w:rPr>
          <w:rFonts w:ascii="Arial Narrow" w:hAnsi="Arial Narrow" w:cs="Arial Narrow" w:eastAsia="Arial Narrow" w:hint="default"/>
        </w:rPr>
        <w:t>2367.25%</w:t>
      </w:r>
      <w:r>
        <w:rPr/>
        <w:t>，系新增西安市数字化</w:t>
      </w:r>
      <w:r>
        <w:rPr>
          <w:rFonts w:ascii="Arial Narrow" w:hAnsi="Arial Narrow" w:cs="Arial Narrow" w:eastAsia="Arial Narrow" w:hint="default"/>
        </w:rPr>
        <w:t>“</w:t>
      </w:r>
      <w:r>
        <w:rPr/>
        <w:t>城市管理</w:t>
      </w:r>
      <w:r>
        <w:rPr>
          <w:rFonts w:ascii="Arial Narrow" w:hAnsi="Arial Narrow" w:cs="Arial Narrow" w:eastAsia="Arial Narrow" w:hint="default"/>
        </w:rPr>
        <w:t>”</w:t>
      </w:r>
      <w:r>
        <w:rPr/>
        <w:t>信息系统开发项目所致。</w:t>
      </w:r>
    </w:p>
    <w:p>
      <w:pPr>
        <w:spacing w:line="240" w:lineRule="auto" w:before="1"/>
        <w:rPr>
          <w:rFonts w:ascii="宋体" w:hAnsi="宋体" w:cs="宋体" w:eastAsia="宋体" w:hint="default"/>
          <w:sz w:val="19"/>
          <w:szCs w:val="19"/>
        </w:rPr>
      </w:pPr>
    </w:p>
    <w:p>
      <w:pPr>
        <w:pStyle w:val="BodyText"/>
        <w:spacing w:line="321" w:lineRule="exact"/>
        <w:ind w:left="218" w:right="33"/>
        <w:jc w:val="left"/>
        <w:rPr>
          <w:rFonts w:ascii="Arial Narrow" w:hAnsi="Arial Narrow" w:cs="Arial Narrow" w:eastAsia="Arial Narrow" w:hint="default"/>
        </w:rPr>
      </w:pPr>
      <w:r>
        <w:rPr/>
        <w:t>（</w:t>
      </w:r>
      <w:r>
        <w:rPr>
          <w:rFonts w:ascii="Arial Narrow" w:hAnsi="Arial Narrow" w:cs="Arial Narrow" w:eastAsia="Arial Narrow" w:hint="default"/>
        </w:rPr>
        <w:t>4</w:t>
      </w:r>
      <w:r>
        <w:rPr/>
        <w:t>）递延所得税资产</w:t>
      </w:r>
      <w:r>
        <w:rPr>
          <w:spacing w:val="-60"/>
        </w:rPr>
        <w:t> </w:t>
      </w:r>
      <w:r>
        <w:rPr>
          <w:rFonts w:ascii="Arial Narrow" w:hAnsi="Arial Narrow" w:cs="Arial Narrow" w:eastAsia="Arial Narrow" w:hint="default"/>
          <w:spacing w:val="-4"/>
        </w:rPr>
        <w:t>2011</w:t>
      </w:r>
      <w:r>
        <w:rPr>
          <w:rFonts w:ascii="Arial Narrow" w:hAnsi="Arial Narrow" w:cs="Arial Narrow" w:eastAsia="Arial Narrow" w:hint="default"/>
          <w:spacing w:val="7"/>
        </w:rPr>
        <w:t> </w:t>
      </w:r>
      <w:r>
        <w:rPr/>
        <w:t>年末账面价值</w:t>
      </w:r>
      <w:r>
        <w:rPr>
          <w:spacing w:val="-59"/>
        </w:rPr>
        <w:t> </w:t>
      </w:r>
      <w:r>
        <w:rPr>
          <w:rFonts w:ascii="Arial Narrow" w:hAnsi="Arial Narrow" w:cs="Arial Narrow" w:eastAsia="Arial Narrow" w:hint="default"/>
        </w:rPr>
        <w:t>3,957,007.23</w:t>
      </w:r>
      <w:r>
        <w:rPr>
          <w:rFonts w:ascii="Arial Narrow" w:hAnsi="Arial Narrow" w:cs="Arial Narrow" w:eastAsia="Arial Narrow" w:hint="default"/>
          <w:spacing w:val="8"/>
        </w:rPr>
        <w:t> </w:t>
      </w:r>
      <w:r>
        <w:rPr/>
        <w:t>元，较</w:t>
      </w:r>
      <w:r>
        <w:rPr>
          <w:spacing w:val="-60"/>
        </w:rPr>
        <w:t> </w:t>
      </w:r>
      <w:r>
        <w:rPr>
          <w:rFonts w:ascii="Arial Narrow" w:hAnsi="Arial Narrow" w:cs="Arial Narrow" w:eastAsia="Arial Narrow" w:hint="default"/>
        </w:rPr>
        <w:t>2010</w:t>
      </w:r>
      <w:r>
        <w:rPr>
          <w:rFonts w:ascii="Arial Narrow" w:hAnsi="Arial Narrow" w:cs="Arial Narrow" w:eastAsia="Arial Narrow" w:hint="default"/>
          <w:spacing w:val="6"/>
        </w:rPr>
        <w:t> </w:t>
      </w:r>
      <w:r>
        <w:rPr/>
        <w:t>年末账面价值增加</w:t>
      </w:r>
      <w:r>
        <w:rPr>
          <w:spacing w:val="-59"/>
        </w:rPr>
        <w:t> </w:t>
      </w:r>
      <w:r>
        <w:rPr>
          <w:rFonts w:ascii="Arial Narrow" w:hAnsi="Arial Narrow" w:cs="Arial Narrow" w:eastAsia="Arial Narrow" w:hint="default"/>
        </w:rPr>
        <w:t>1,541,258.44</w:t>
      </w:r>
    </w:p>
    <w:p>
      <w:pPr>
        <w:pStyle w:val="BodyText"/>
        <w:spacing w:line="321" w:lineRule="exact"/>
        <w:ind w:left="511" w:right="489"/>
        <w:jc w:val="center"/>
      </w:pPr>
      <w:r>
        <w:rPr/>
        <w:t>元，增长</w:t>
      </w:r>
      <w:r>
        <w:rPr>
          <w:spacing w:val="-63"/>
        </w:rPr>
        <w:t> </w:t>
      </w:r>
      <w:r>
        <w:rPr>
          <w:rFonts w:ascii="Arial Narrow" w:hAnsi="Arial Narrow" w:cs="Arial Narrow" w:eastAsia="Arial Narrow" w:hint="default"/>
        </w:rPr>
        <w:t>63.80%</w:t>
      </w:r>
      <w:r>
        <w:rPr/>
        <w:t>，主要系本年对应收款项计提坏账准备导致可抵扣暂时性差异增加所致。</w:t>
      </w:r>
    </w:p>
    <w:p>
      <w:pPr>
        <w:spacing w:line="240" w:lineRule="auto" w:before="5"/>
        <w:rPr>
          <w:rFonts w:ascii="宋体" w:hAnsi="宋体" w:cs="宋体" w:eastAsia="宋体" w:hint="default"/>
          <w:sz w:val="22"/>
          <w:szCs w:val="22"/>
        </w:rPr>
      </w:pPr>
    </w:p>
    <w:p>
      <w:pPr>
        <w:pStyle w:val="BodyText"/>
        <w:spacing w:line="312" w:lineRule="exact"/>
        <w:ind w:left="530" w:right="33" w:hanging="312"/>
        <w:jc w:val="left"/>
      </w:pPr>
      <w:r>
        <w:rPr/>
        <w:t>（</w:t>
      </w:r>
      <w:r>
        <w:rPr>
          <w:rFonts w:ascii="Arial Narrow" w:hAnsi="Arial Narrow" w:cs="Arial Narrow" w:eastAsia="Arial Narrow" w:hint="default"/>
        </w:rPr>
        <w:t>5</w:t>
      </w:r>
      <w:r>
        <w:rPr/>
        <w:t>）短期借款</w:t>
      </w:r>
      <w:r>
        <w:rPr>
          <w:spacing w:val="-64"/>
        </w:rPr>
        <w:t> </w:t>
      </w:r>
      <w:r>
        <w:rPr>
          <w:rFonts w:ascii="Arial Narrow" w:hAnsi="Arial Narrow" w:cs="Arial Narrow" w:eastAsia="Arial Narrow" w:hint="default"/>
          <w:spacing w:val="-4"/>
        </w:rPr>
        <w:t>2011</w:t>
      </w:r>
      <w:r>
        <w:rPr>
          <w:rFonts w:ascii="Arial Narrow" w:hAnsi="Arial Narrow" w:cs="Arial Narrow" w:eastAsia="Arial Narrow" w:hint="default"/>
          <w:spacing w:val="2"/>
        </w:rPr>
        <w:t> </w:t>
      </w:r>
      <w:r>
        <w:rPr/>
        <w:t>年末账面价值</w:t>
      </w:r>
      <w:r>
        <w:rPr>
          <w:spacing w:val="-64"/>
        </w:rPr>
        <w:t> </w:t>
      </w:r>
      <w:r>
        <w:rPr>
          <w:rFonts w:ascii="Arial Narrow" w:hAnsi="Arial Narrow" w:cs="Arial Narrow" w:eastAsia="Arial Narrow" w:hint="default"/>
        </w:rPr>
        <w:t>5,952,960.20</w:t>
      </w:r>
      <w:r>
        <w:rPr>
          <w:rFonts w:ascii="Arial Narrow" w:hAnsi="Arial Narrow" w:cs="Arial Narrow" w:eastAsia="Arial Narrow" w:hint="default"/>
          <w:spacing w:val="3"/>
        </w:rPr>
        <w:t> </w:t>
      </w:r>
      <w:r>
        <w:rPr>
          <w:spacing w:val="-4"/>
        </w:rPr>
        <w:t>元，较</w:t>
      </w:r>
      <w:r>
        <w:rPr>
          <w:spacing w:val="-6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年末账面价值增加</w:t>
      </w:r>
      <w:r>
        <w:rPr>
          <w:spacing w:val="-64"/>
        </w:rPr>
        <w:t> </w:t>
      </w:r>
      <w:r>
        <w:rPr>
          <w:rFonts w:ascii="Arial Narrow" w:hAnsi="Arial Narrow" w:cs="Arial Narrow" w:eastAsia="Arial Narrow" w:hint="default"/>
        </w:rPr>
        <w:t>4,734,060.20</w:t>
      </w:r>
      <w:r>
        <w:rPr>
          <w:rFonts w:ascii="Arial Narrow" w:hAnsi="Arial Narrow" w:cs="Arial Narrow" w:eastAsia="Arial Narrow" w:hint="default"/>
          <w:spacing w:val="1"/>
        </w:rPr>
        <w:t> </w:t>
      </w:r>
      <w:r>
        <w:rPr>
          <w:spacing w:val="-4"/>
        </w:rPr>
        <w:t>元，增</w:t>
      </w:r>
      <w:r>
        <w:rPr/>
        <w:t> 长</w:t>
      </w:r>
      <w:r>
        <w:rPr>
          <w:spacing w:val="-64"/>
        </w:rPr>
        <w:t> </w:t>
      </w:r>
      <w:r>
        <w:rPr>
          <w:rFonts w:ascii="Arial Narrow" w:hAnsi="Arial Narrow" w:cs="Arial Narrow" w:eastAsia="Arial Narrow" w:hint="default"/>
        </w:rPr>
        <w:t>388.39%</w:t>
      </w:r>
      <w:r>
        <w:rPr/>
        <w:t>，系本年信用借款增加所致。</w:t>
      </w:r>
    </w:p>
    <w:p>
      <w:pPr>
        <w:spacing w:line="240" w:lineRule="auto" w:before="4"/>
        <w:rPr>
          <w:rFonts w:ascii="宋体" w:hAnsi="宋体" w:cs="宋体" w:eastAsia="宋体" w:hint="default"/>
          <w:sz w:val="21"/>
          <w:szCs w:val="21"/>
        </w:rPr>
      </w:pPr>
    </w:p>
    <w:p>
      <w:pPr>
        <w:pStyle w:val="BodyText"/>
        <w:spacing w:line="312" w:lineRule="exact"/>
        <w:ind w:left="530" w:right="33" w:hanging="312"/>
        <w:jc w:val="left"/>
      </w:pPr>
      <w:r>
        <w:rPr/>
        <w:t>（</w:t>
      </w:r>
      <w:r>
        <w:rPr>
          <w:rFonts w:ascii="Arial Narrow" w:hAnsi="Arial Narrow" w:cs="Arial Narrow" w:eastAsia="Arial Narrow" w:hint="default"/>
        </w:rPr>
        <w:t>6</w:t>
      </w:r>
      <w:r>
        <w:rPr/>
        <w:t>）应付账款</w:t>
      </w:r>
      <w:r>
        <w:rPr>
          <w:spacing w:val="-63"/>
        </w:rPr>
        <w:t> </w:t>
      </w:r>
      <w:r>
        <w:rPr>
          <w:rFonts w:ascii="Arial Narrow" w:hAnsi="Arial Narrow" w:cs="Arial Narrow" w:eastAsia="Arial Narrow" w:hint="default"/>
          <w:spacing w:val="-4"/>
        </w:rPr>
        <w:t>2011</w:t>
      </w:r>
      <w:r>
        <w:rPr>
          <w:rFonts w:ascii="Arial Narrow" w:hAnsi="Arial Narrow" w:cs="Arial Narrow" w:eastAsia="Arial Narrow" w:hint="default"/>
          <w:spacing w:val="3"/>
        </w:rPr>
        <w:t> </w:t>
      </w:r>
      <w:r>
        <w:rPr/>
        <w:t>年末账面价值</w:t>
      </w:r>
      <w:r>
        <w:rPr>
          <w:spacing w:val="-63"/>
        </w:rPr>
        <w:t> </w:t>
      </w:r>
      <w:r>
        <w:rPr>
          <w:rFonts w:ascii="Arial Narrow" w:hAnsi="Arial Narrow" w:cs="Arial Narrow" w:eastAsia="Arial Narrow" w:hint="default"/>
        </w:rPr>
        <w:t>48,182,565.57</w:t>
      </w:r>
      <w:r>
        <w:rPr>
          <w:rFonts w:ascii="Arial Narrow" w:hAnsi="Arial Narrow" w:cs="Arial Narrow" w:eastAsia="Arial Narrow" w:hint="default"/>
          <w:spacing w:val="4"/>
        </w:rPr>
        <w:t> </w:t>
      </w:r>
      <w:r>
        <w:rPr/>
        <w:t>元，较</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3"/>
        </w:rPr>
        <w:t> </w:t>
      </w:r>
      <w:r>
        <w:rPr/>
        <w:t>年末账面价值增加</w:t>
      </w:r>
      <w:r>
        <w:rPr>
          <w:spacing w:val="-63"/>
        </w:rPr>
        <w:t> </w:t>
      </w:r>
      <w:r>
        <w:rPr>
          <w:rFonts w:ascii="Arial Narrow" w:hAnsi="Arial Narrow" w:cs="Arial Narrow" w:eastAsia="Arial Narrow" w:hint="default"/>
        </w:rPr>
        <w:t>23,725,129.92</w:t>
      </w:r>
      <w:r>
        <w:rPr>
          <w:rFonts w:ascii="Arial Narrow" w:hAnsi="Arial Narrow" w:cs="Arial Narrow" w:eastAsia="Arial Narrow" w:hint="default"/>
          <w:spacing w:val="2"/>
        </w:rPr>
        <w:t> </w:t>
      </w:r>
      <w:r>
        <w:rPr/>
        <w:t>元， 增长</w:t>
      </w:r>
      <w:r>
        <w:rPr>
          <w:spacing w:val="-63"/>
        </w:rPr>
        <w:t> </w:t>
      </w:r>
      <w:r>
        <w:rPr>
          <w:rFonts w:ascii="Arial Narrow" w:hAnsi="Arial Narrow" w:cs="Arial Narrow" w:eastAsia="Arial Narrow" w:hint="default"/>
        </w:rPr>
        <w:t>97.01%</w:t>
      </w:r>
      <w:r>
        <w:rPr/>
        <w:t>，主要系本年收入增长相应外包成本增加所致。</w:t>
      </w:r>
    </w:p>
    <w:p>
      <w:pPr>
        <w:spacing w:line="240" w:lineRule="auto" w:before="6"/>
        <w:rPr>
          <w:rFonts w:ascii="宋体" w:hAnsi="宋体" w:cs="宋体" w:eastAsia="宋体" w:hint="default"/>
          <w:sz w:val="21"/>
          <w:szCs w:val="21"/>
        </w:rPr>
      </w:pPr>
    </w:p>
    <w:p>
      <w:pPr>
        <w:pStyle w:val="BodyText"/>
        <w:spacing w:line="312" w:lineRule="exact"/>
        <w:ind w:left="530" w:right="33" w:hanging="312"/>
        <w:jc w:val="left"/>
      </w:pPr>
      <w:r>
        <w:rPr/>
        <w:t>（</w:t>
      </w:r>
      <w:r>
        <w:rPr>
          <w:rFonts w:ascii="Arial Narrow" w:hAnsi="Arial Narrow" w:cs="Arial Narrow" w:eastAsia="Arial Narrow" w:hint="default"/>
        </w:rPr>
        <w:t>7</w:t>
      </w:r>
      <w:r>
        <w:rPr/>
        <w:t>）应交税费</w:t>
      </w:r>
      <w:r>
        <w:rPr>
          <w:spacing w:val="-51"/>
        </w:rPr>
        <w:t> </w:t>
      </w:r>
      <w:r>
        <w:rPr>
          <w:rFonts w:ascii="Arial Narrow" w:hAnsi="Arial Narrow" w:cs="Arial Narrow" w:eastAsia="Arial Narrow" w:hint="default"/>
          <w:spacing w:val="-5"/>
        </w:rPr>
        <w:t>2011</w:t>
      </w:r>
      <w:r>
        <w:rPr>
          <w:rFonts w:ascii="Arial Narrow" w:hAnsi="Arial Narrow" w:cs="Arial Narrow" w:eastAsia="Arial Narrow" w:hint="default"/>
          <w:spacing w:val="15"/>
        </w:rPr>
        <w:t> </w:t>
      </w:r>
      <w:r>
        <w:rPr/>
        <w:t>年末账面价值</w:t>
      </w:r>
      <w:r>
        <w:rPr>
          <w:spacing w:val="-50"/>
        </w:rPr>
        <w:t> </w:t>
      </w:r>
      <w:r>
        <w:rPr>
          <w:rFonts w:ascii="Arial Narrow" w:hAnsi="Arial Narrow" w:cs="Arial Narrow" w:eastAsia="Arial Narrow" w:hint="default"/>
        </w:rPr>
        <w:t>16,347,361.67</w:t>
      </w:r>
      <w:r>
        <w:rPr>
          <w:rFonts w:ascii="Arial Narrow" w:hAnsi="Arial Narrow" w:cs="Arial Narrow" w:eastAsia="Arial Narrow" w:hint="default"/>
          <w:spacing w:val="17"/>
        </w:rPr>
        <w:t> </w:t>
      </w:r>
      <w:r>
        <w:rPr/>
        <w:t>元，较</w:t>
      </w:r>
      <w:r>
        <w:rPr>
          <w:spacing w:val="-51"/>
        </w:rPr>
        <w:t> </w:t>
      </w:r>
      <w:r>
        <w:rPr>
          <w:rFonts w:ascii="Arial Narrow" w:hAnsi="Arial Narrow" w:cs="Arial Narrow" w:eastAsia="Arial Narrow" w:hint="default"/>
        </w:rPr>
        <w:t>2010</w:t>
      </w:r>
      <w:r>
        <w:rPr>
          <w:rFonts w:ascii="Arial Narrow" w:hAnsi="Arial Narrow" w:cs="Arial Narrow" w:eastAsia="Arial Narrow" w:hint="default"/>
          <w:spacing w:val="15"/>
        </w:rPr>
        <w:t> </w:t>
      </w:r>
      <w:r>
        <w:rPr/>
        <w:t>年末账面价值增加</w:t>
      </w:r>
      <w:r>
        <w:rPr>
          <w:spacing w:val="-50"/>
        </w:rPr>
        <w:t> </w:t>
      </w:r>
      <w:r>
        <w:rPr>
          <w:rFonts w:ascii="Arial Narrow" w:hAnsi="Arial Narrow" w:cs="Arial Narrow" w:eastAsia="Arial Narrow" w:hint="default"/>
        </w:rPr>
        <w:t>4,346,771.11</w:t>
      </w:r>
      <w:r>
        <w:rPr>
          <w:rFonts w:ascii="Arial Narrow" w:hAnsi="Arial Narrow" w:cs="Arial Narrow" w:eastAsia="Arial Narrow" w:hint="default"/>
          <w:spacing w:val="14"/>
        </w:rPr>
        <w:t> </w:t>
      </w:r>
      <w:r>
        <w:rPr/>
        <w:t>元， 增长</w:t>
      </w:r>
      <w:r>
        <w:rPr>
          <w:spacing w:val="-63"/>
        </w:rPr>
        <w:t> </w:t>
      </w:r>
      <w:r>
        <w:rPr>
          <w:rFonts w:ascii="Arial Narrow" w:hAnsi="Arial Narrow" w:cs="Arial Narrow" w:eastAsia="Arial Narrow" w:hint="default"/>
        </w:rPr>
        <w:t>36.22%</w:t>
      </w:r>
      <w:r>
        <w:rPr/>
        <w:t>，主要系本年计提所得税、营业税待缴所致。</w:t>
      </w:r>
    </w:p>
    <w:p>
      <w:pPr>
        <w:spacing w:line="240" w:lineRule="auto" w:before="6"/>
        <w:rPr>
          <w:rFonts w:ascii="宋体" w:hAnsi="宋体" w:cs="宋体" w:eastAsia="宋体" w:hint="default"/>
          <w:sz w:val="21"/>
          <w:szCs w:val="21"/>
        </w:rPr>
      </w:pPr>
    </w:p>
    <w:p>
      <w:pPr>
        <w:pStyle w:val="BodyText"/>
        <w:spacing w:line="312" w:lineRule="exact"/>
        <w:ind w:left="530" w:right="33" w:hanging="312"/>
        <w:jc w:val="left"/>
      </w:pPr>
      <w:r>
        <w:rPr/>
        <w:t>（</w:t>
      </w:r>
      <w:r>
        <w:rPr>
          <w:rFonts w:ascii="Arial Narrow" w:hAnsi="Arial Narrow" w:cs="Arial Narrow" w:eastAsia="Arial Narrow" w:hint="default"/>
        </w:rPr>
        <w:t>8</w:t>
      </w:r>
      <w:r>
        <w:rPr/>
        <w:t>）其他应付款</w:t>
      </w:r>
      <w:r>
        <w:rPr>
          <w:spacing w:val="-64"/>
        </w:rPr>
        <w:t> </w:t>
      </w:r>
      <w:r>
        <w:rPr>
          <w:rFonts w:ascii="Arial Narrow" w:hAnsi="Arial Narrow" w:cs="Arial Narrow" w:eastAsia="Arial Narrow" w:hint="default"/>
          <w:spacing w:val="-4"/>
        </w:rPr>
        <w:t>2011</w:t>
      </w:r>
      <w:r>
        <w:rPr>
          <w:rFonts w:ascii="Arial Narrow" w:hAnsi="Arial Narrow" w:cs="Arial Narrow" w:eastAsia="Arial Narrow" w:hint="default"/>
        </w:rPr>
        <w:t> </w:t>
      </w:r>
      <w:r>
        <w:rPr/>
        <w:t>年末账面价值</w:t>
      </w:r>
      <w:r>
        <w:rPr>
          <w:spacing w:val="-64"/>
        </w:rPr>
        <w:t> </w:t>
      </w:r>
      <w:r>
        <w:rPr>
          <w:rFonts w:ascii="Arial Narrow" w:hAnsi="Arial Narrow" w:cs="Arial Narrow" w:eastAsia="Arial Narrow" w:hint="default"/>
        </w:rPr>
        <w:t>12,570,622.94</w:t>
      </w:r>
      <w:r>
        <w:rPr>
          <w:rFonts w:ascii="Arial Narrow" w:hAnsi="Arial Narrow" w:cs="Arial Narrow" w:eastAsia="Arial Narrow" w:hint="default"/>
          <w:spacing w:val="3"/>
        </w:rPr>
        <w:t> </w:t>
      </w:r>
      <w:r>
        <w:rPr>
          <w:spacing w:val="-5"/>
        </w:rPr>
        <w:t>元，较</w:t>
      </w:r>
      <w:r>
        <w:rPr>
          <w:spacing w:val="-6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年末账面价值增加</w:t>
      </w:r>
      <w:r>
        <w:rPr>
          <w:spacing w:val="-64"/>
        </w:rPr>
        <w:t> </w:t>
      </w:r>
      <w:r>
        <w:rPr>
          <w:rFonts w:ascii="Arial Narrow" w:hAnsi="Arial Narrow" w:cs="Arial Narrow" w:eastAsia="Arial Narrow" w:hint="default"/>
        </w:rPr>
        <w:t>5,862,560.45</w:t>
      </w:r>
      <w:r>
        <w:rPr>
          <w:rFonts w:ascii="Arial Narrow" w:hAnsi="Arial Narrow" w:cs="Arial Narrow" w:eastAsia="Arial Narrow" w:hint="default"/>
          <w:spacing w:val="3"/>
        </w:rPr>
        <w:t> </w:t>
      </w:r>
      <w:r>
        <w:rPr/>
        <w:t>元， 增长</w:t>
      </w:r>
      <w:r>
        <w:rPr>
          <w:spacing w:val="-63"/>
        </w:rPr>
        <w:t> </w:t>
      </w:r>
      <w:r>
        <w:rPr>
          <w:rFonts w:ascii="Arial Narrow" w:hAnsi="Arial Narrow" w:cs="Arial Narrow" w:eastAsia="Arial Narrow" w:hint="default"/>
        </w:rPr>
        <w:t>87.40%</w:t>
      </w:r>
      <w:r>
        <w:rPr/>
        <w:t>，系投标保证金增加所致。</w:t>
      </w:r>
    </w:p>
    <w:p>
      <w:pPr>
        <w:spacing w:line="240" w:lineRule="auto" w:before="4"/>
        <w:rPr>
          <w:rFonts w:ascii="宋体" w:hAnsi="宋体" w:cs="宋体" w:eastAsia="宋体" w:hint="default"/>
          <w:sz w:val="21"/>
          <w:szCs w:val="21"/>
        </w:rPr>
      </w:pPr>
    </w:p>
    <w:p>
      <w:pPr>
        <w:pStyle w:val="BodyText"/>
        <w:spacing w:line="312" w:lineRule="exact"/>
        <w:ind w:left="530" w:right="33" w:hanging="312"/>
        <w:jc w:val="left"/>
      </w:pPr>
      <w:r>
        <w:rPr/>
        <w:t>（</w:t>
      </w:r>
      <w:r>
        <w:rPr>
          <w:rFonts w:ascii="Arial Narrow" w:hAnsi="Arial Narrow" w:cs="Arial Narrow" w:eastAsia="Arial Narrow" w:hint="default"/>
        </w:rPr>
        <w:t>9</w:t>
      </w:r>
      <w:r>
        <w:rPr/>
        <w:t>）其他流动负债</w:t>
      </w:r>
      <w:r>
        <w:rPr>
          <w:spacing w:val="-49"/>
        </w:rPr>
        <w:t> </w:t>
      </w:r>
      <w:r>
        <w:rPr>
          <w:rFonts w:ascii="Arial Narrow" w:hAnsi="Arial Narrow" w:cs="Arial Narrow" w:eastAsia="Arial Narrow" w:hint="default"/>
          <w:spacing w:val="-5"/>
        </w:rPr>
        <w:t>2011</w:t>
      </w:r>
      <w:r>
        <w:rPr>
          <w:rFonts w:ascii="Arial Narrow" w:hAnsi="Arial Narrow" w:cs="Arial Narrow" w:eastAsia="Arial Narrow" w:hint="default"/>
          <w:spacing w:val="17"/>
        </w:rPr>
        <w:t> </w:t>
      </w:r>
      <w:r>
        <w:rPr/>
        <w:t>年末账面价值</w:t>
      </w:r>
      <w:r>
        <w:rPr>
          <w:spacing w:val="-49"/>
        </w:rPr>
        <w:t> </w:t>
      </w:r>
      <w:r>
        <w:rPr>
          <w:rFonts w:ascii="Arial Narrow" w:hAnsi="Arial Narrow" w:cs="Arial Narrow" w:eastAsia="Arial Narrow" w:hint="default"/>
          <w:spacing w:val="-5"/>
        </w:rPr>
        <w:t>986,111.11</w:t>
      </w:r>
      <w:r>
        <w:rPr>
          <w:rFonts w:ascii="Arial Narrow" w:hAnsi="Arial Narrow" w:cs="Arial Narrow" w:eastAsia="Arial Narrow" w:hint="default"/>
          <w:spacing w:val="17"/>
        </w:rPr>
        <w:t> </w:t>
      </w:r>
      <w:r>
        <w:rPr/>
        <w:t>元，较</w:t>
      </w:r>
      <w:r>
        <w:rPr>
          <w:spacing w:val="-49"/>
        </w:rPr>
        <w:t> </w:t>
      </w:r>
      <w:r>
        <w:rPr>
          <w:rFonts w:ascii="Arial Narrow" w:hAnsi="Arial Narrow" w:cs="Arial Narrow" w:eastAsia="Arial Narrow" w:hint="default"/>
        </w:rPr>
        <w:t>2010</w:t>
      </w:r>
      <w:r>
        <w:rPr>
          <w:rFonts w:ascii="Arial Narrow" w:hAnsi="Arial Narrow" w:cs="Arial Narrow" w:eastAsia="Arial Narrow" w:hint="default"/>
          <w:spacing w:val="17"/>
        </w:rPr>
        <w:t> </w:t>
      </w:r>
      <w:r>
        <w:rPr/>
        <w:t>年末账面价值增加</w:t>
      </w:r>
      <w:r>
        <w:rPr>
          <w:spacing w:val="-49"/>
        </w:rPr>
        <w:t> </w:t>
      </w:r>
      <w:r>
        <w:rPr>
          <w:rFonts w:ascii="Arial Narrow" w:hAnsi="Arial Narrow" w:cs="Arial Narrow" w:eastAsia="Arial Narrow" w:hint="default"/>
        </w:rPr>
        <w:t>428,815.55</w:t>
      </w:r>
      <w:r>
        <w:rPr>
          <w:rFonts w:ascii="Arial Narrow" w:hAnsi="Arial Narrow" w:cs="Arial Narrow" w:eastAsia="Arial Narrow" w:hint="default"/>
          <w:spacing w:val="16"/>
        </w:rPr>
        <w:t> </w:t>
      </w:r>
      <w:r>
        <w:rPr/>
        <w:t>元， 增长</w:t>
      </w:r>
      <w:r>
        <w:rPr>
          <w:spacing w:val="-63"/>
        </w:rPr>
        <w:t> </w:t>
      </w:r>
      <w:r>
        <w:rPr>
          <w:rFonts w:ascii="Arial Narrow" w:hAnsi="Arial Narrow" w:cs="Arial Narrow" w:eastAsia="Arial Narrow" w:hint="default"/>
        </w:rPr>
        <w:t>76.95%</w:t>
      </w:r>
      <w:r>
        <w:rPr/>
        <w:t>，系本年收到需要递延确认的政府补助增加所致。</w:t>
      </w:r>
    </w:p>
    <w:p>
      <w:pPr>
        <w:spacing w:line="240" w:lineRule="auto" w:before="6"/>
        <w:rPr>
          <w:rFonts w:ascii="宋体" w:hAnsi="宋体" w:cs="宋体" w:eastAsia="宋体" w:hint="default"/>
          <w:sz w:val="21"/>
          <w:szCs w:val="21"/>
        </w:rPr>
      </w:pPr>
    </w:p>
    <w:p>
      <w:pPr>
        <w:pStyle w:val="BodyText"/>
        <w:spacing w:line="312" w:lineRule="exact"/>
        <w:ind w:left="530" w:right="33" w:hanging="312"/>
        <w:jc w:val="left"/>
      </w:pPr>
      <w:r>
        <w:rPr/>
        <w:t>（</w:t>
      </w:r>
      <w:r>
        <w:rPr>
          <w:rFonts w:ascii="Arial Narrow" w:hAnsi="Arial Narrow" w:cs="Arial Narrow" w:eastAsia="Arial Narrow" w:hint="default"/>
        </w:rPr>
        <w:t>10</w:t>
      </w:r>
      <w:r>
        <w:rPr/>
        <w:t>）长期借款</w:t>
      </w:r>
      <w:r>
        <w:rPr>
          <w:spacing w:val="-58"/>
        </w:rPr>
        <w:t> </w:t>
      </w:r>
      <w:r>
        <w:rPr>
          <w:rFonts w:ascii="Arial Narrow" w:hAnsi="Arial Narrow" w:cs="Arial Narrow" w:eastAsia="Arial Narrow" w:hint="default"/>
          <w:spacing w:val="-4"/>
        </w:rPr>
        <w:t>2011</w:t>
      </w:r>
      <w:r>
        <w:rPr>
          <w:rFonts w:ascii="Arial Narrow" w:hAnsi="Arial Narrow" w:cs="Arial Narrow" w:eastAsia="Arial Narrow" w:hint="default"/>
          <w:spacing w:val="9"/>
        </w:rPr>
        <w:t> </w:t>
      </w:r>
      <w:r>
        <w:rPr/>
        <w:t>年末账面价值</w:t>
      </w:r>
      <w:r>
        <w:rPr>
          <w:spacing w:val="-57"/>
        </w:rPr>
        <w:t> </w:t>
      </w:r>
      <w:r>
        <w:rPr>
          <w:rFonts w:ascii="Arial Narrow" w:hAnsi="Arial Narrow" w:cs="Arial Narrow" w:eastAsia="Arial Narrow" w:hint="default"/>
          <w:spacing w:val="-4"/>
        </w:rPr>
        <w:t>11,218,111.24</w:t>
      </w:r>
      <w:r>
        <w:rPr>
          <w:rFonts w:ascii="Arial Narrow" w:hAnsi="Arial Narrow" w:cs="Arial Narrow" w:eastAsia="Arial Narrow" w:hint="default"/>
          <w:spacing w:val="9"/>
        </w:rPr>
        <w:t> </w:t>
      </w:r>
      <w:r>
        <w:rPr/>
        <w:t>元，较</w:t>
      </w:r>
      <w:r>
        <w:rPr>
          <w:spacing w:val="-58"/>
        </w:rPr>
        <w:t> </w:t>
      </w:r>
      <w:r>
        <w:rPr>
          <w:rFonts w:ascii="Arial Narrow" w:hAnsi="Arial Narrow" w:cs="Arial Narrow" w:eastAsia="Arial Narrow" w:hint="default"/>
        </w:rPr>
        <w:t>2010</w:t>
      </w:r>
      <w:r>
        <w:rPr>
          <w:rFonts w:ascii="Arial Narrow" w:hAnsi="Arial Narrow" w:cs="Arial Narrow" w:eastAsia="Arial Narrow" w:hint="default"/>
          <w:spacing w:val="8"/>
        </w:rPr>
        <w:t> </w:t>
      </w:r>
      <w:r>
        <w:rPr/>
        <w:t>年末账面价值增加</w:t>
      </w:r>
      <w:r>
        <w:rPr>
          <w:spacing w:val="-57"/>
        </w:rPr>
        <w:t> </w:t>
      </w:r>
      <w:r>
        <w:rPr>
          <w:rFonts w:ascii="Arial Narrow" w:hAnsi="Arial Narrow" w:cs="Arial Narrow" w:eastAsia="Arial Narrow" w:hint="default"/>
        </w:rPr>
        <w:t>2,765,376.00</w:t>
      </w:r>
      <w:r>
        <w:rPr>
          <w:rFonts w:ascii="Arial Narrow" w:hAnsi="Arial Narrow" w:cs="Arial Narrow" w:eastAsia="Arial Narrow" w:hint="default"/>
          <w:spacing w:val="7"/>
        </w:rPr>
        <w:t> </w:t>
      </w:r>
      <w:r>
        <w:rPr/>
        <w:t>元， 增长</w:t>
      </w:r>
      <w:r>
        <w:rPr>
          <w:spacing w:val="-63"/>
        </w:rPr>
        <w:t> </w:t>
      </w:r>
      <w:r>
        <w:rPr>
          <w:rFonts w:ascii="Arial Narrow" w:hAnsi="Arial Narrow" w:cs="Arial Narrow" w:eastAsia="Arial Narrow" w:hint="default"/>
        </w:rPr>
        <w:t>32.72%</w:t>
      </w:r>
      <w:r>
        <w:rPr/>
        <w:t>，系本公司之子公司日本超图株式会本年新增长期借款所致。</w:t>
      </w:r>
    </w:p>
    <w:p>
      <w:pPr>
        <w:spacing w:after="0" w:line="312" w:lineRule="exact"/>
        <w:jc w:val="left"/>
        <w:sectPr>
          <w:pgSz w:w="11910" w:h="16840"/>
          <w:pgMar w:header="884" w:footer="929" w:top="1100" w:bottom="1120" w:left="600" w:right="900"/>
        </w:sectPr>
      </w:pPr>
    </w:p>
    <w:p>
      <w:pPr>
        <w:spacing w:line="240" w:lineRule="auto" w:before="0"/>
        <w:rPr>
          <w:rFonts w:ascii="宋体" w:hAnsi="宋体" w:cs="宋体" w:eastAsia="宋体" w:hint="default"/>
          <w:sz w:val="2"/>
          <w:szCs w:val="2"/>
        </w:rPr>
      </w:pPr>
    </w:p>
    <w:p>
      <w:pPr>
        <w:spacing w:line="20" w:lineRule="exact"/>
        <w:ind w:left="4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pStyle w:val="BodyText"/>
        <w:spacing w:line="312" w:lineRule="exact"/>
        <w:ind w:left="510" w:right="87" w:hanging="312"/>
        <w:jc w:val="left"/>
      </w:pPr>
      <w:r>
        <w:rPr>
          <w:spacing w:val="-3"/>
        </w:rPr>
        <w:t>（</w:t>
      </w:r>
      <w:r>
        <w:rPr>
          <w:rFonts w:ascii="Arial Narrow" w:hAnsi="Arial Narrow" w:cs="Arial Narrow" w:eastAsia="Arial Narrow" w:hint="default"/>
          <w:spacing w:val="-3"/>
        </w:rPr>
        <w:t>11</w:t>
      </w:r>
      <w:r>
        <w:rPr>
          <w:spacing w:val="-3"/>
        </w:rPr>
        <w:t>）股本</w:t>
      </w:r>
      <w:r>
        <w:rPr>
          <w:spacing w:val="-60"/>
        </w:rPr>
        <w:t> </w:t>
      </w:r>
      <w:r>
        <w:rPr>
          <w:rFonts w:ascii="Arial Narrow" w:hAnsi="Arial Narrow" w:cs="Arial Narrow" w:eastAsia="Arial Narrow" w:hint="default"/>
          <w:spacing w:val="-4"/>
        </w:rPr>
        <w:t>2011</w:t>
      </w:r>
      <w:r>
        <w:rPr>
          <w:rFonts w:ascii="Arial Narrow" w:hAnsi="Arial Narrow" w:cs="Arial Narrow" w:eastAsia="Arial Narrow" w:hint="default"/>
          <w:spacing w:val="6"/>
        </w:rPr>
        <w:t> </w:t>
      </w:r>
      <w:r>
        <w:rPr/>
        <w:t>年年末账面价值</w:t>
      </w:r>
      <w:r>
        <w:rPr>
          <w:spacing w:val="-59"/>
        </w:rPr>
        <w:t> </w:t>
      </w:r>
      <w:r>
        <w:rPr>
          <w:rFonts w:ascii="Arial Narrow" w:hAnsi="Arial Narrow" w:cs="Arial Narrow" w:eastAsia="Arial Narrow" w:hint="default"/>
        </w:rPr>
        <w:t>120,000,000.00</w:t>
      </w:r>
      <w:r>
        <w:rPr>
          <w:rFonts w:ascii="Arial Narrow" w:hAnsi="Arial Narrow" w:cs="Arial Narrow" w:eastAsia="Arial Narrow" w:hint="default"/>
          <w:spacing w:val="5"/>
        </w:rPr>
        <w:t> </w:t>
      </w:r>
      <w:r>
        <w:rPr/>
        <w:t>元，较</w:t>
      </w:r>
      <w:r>
        <w:rPr>
          <w:spacing w:val="-60"/>
        </w:rPr>
        <w:t> </w:t>
      </w:r>
      <w:r>
        <w:rPr>
          <w:rFonts w:ascii="Arial Narrow" w:hAnsi="Arial Narrow" w:cs="Arial Narrow" w:eastAsia="Arial Narrow" w:hint="default"/>
        </w:rPr>
        <w:t>2010</w:t>
      </w:r>
      <w:r>
        <w:rPr>
          <w:rFonts w:ascii="Arial Narrow" w:hAnsi="Arial Narrow" w:cs="Arial Narrow" w:eastAsia="Arial Narrow" w:hint="default"/>
          <w:spacing w:val="6"/>
        </w:rPr>
        <w:t> </w:t>
      </w:r>
      <w:r>
        <w:rPr/>
        <w:t>年末账面价值增加</w:t>
      </w:r>
      <w:r>
        <w:rPr>
          <w:spacing w:val="-59"/>
        </w:rPr>
        <w:t> </w:t>
      </w:r>
      <w:r>
        <w:rPr>
          <w:rFonts w:ascii="Arial Narrow" w:hAnsi="Arial Narrow" w:cs="Arial Narrow" w:eastAsia="Arial Narrow" w:hint="default"/>
        </w:rPr>
        <w:t>45,000,000.00</w:t>
      </w:r>
      <w:r>
        <w:rPr>
          <w:rFonts w:ascii="Arial Narrow" w:hAnsi="Arial Narrow" w:cs="Arial Narrow" w:eastAsia="Arial Narrow" w:hint="default"/>
          <w:spacing w:val="5"/>
        </w:rPr>
        <w:t> </w:t>
      </w:r>
      <w:r>
        <w:rPr/>
        <w:t>元， 增长</w:t>
      </w:r>
      <w:r>
        <w:rPr>
          <w:spacing w:val="-63"/>
        </w:rPr>
        <w:t> </w:t>
      </w:r>
      <w:r>
        <w:rPr>
          <w:rFonts w:ascii="Arial Narrow" w:hAnsi="Arial Narrow" w:cs="Arial Narrow" w:eastAsia="Arial Narrow" w:hint="default"/>
        </w:rPr>
        <w:t>60.00%</w:t>
      </w:r>
      <w:r>
        <w:rPr/>
        <w:t>，系公积金转股所致。</w:t>
      </w:r>
    </w:p>
    <w:p>
      <w:pPr>
        <w:spacing w:line="240" w:lineRule="auto" w:before="4"/>
        <w:rPr>
          <w:rFonts w:ascii="宋体" w:hAnsi="宋体" w:cs="宋体" w:eastAsia="宋体" w:hint="default"/>
          <w:sz w:val="21"/>
          <w:szCs w:val="21"/>
        </w:rPr>
      </w:pPr>
    </w:p>
    <w:p>
      <w:pPr>
        <w:pStyle w:val="BodyText"/>
        <w:spacing w:line="312" w:lineRule="exact"/>
        <w:ind w:left="510" w:right="87" w:hanging="312"/>
        <w:jc w:val="left"/>
      </w:pPr>
      <w:r>
        <w:rPr/>
        <w:t>（</w:t>
      </w:r>
      <w:r>
        <w:rPr>
          <w:rFonts w:ascii="Arial Narrow" w:hAnsi="Arial Narrow" w:cs="Arial Narrow" w:eastAsia="Arial Narrow" w:hint="default"/>
        </w:rPr>
        <w:t>12</w:t>
      </w:r>
      <w:r>
        <w:rPr/>
        <w:t>）营业收入</w:t>
      </w:r>
      <w:r>
        <w:rPr>
          <w:spacing w:val="-63"/>
        </w:rPr>
        <w:t> </w:t>
      </w:r>
      <w:r>
        <w:rPr>
          <w:rFonts w:ascii="Arial Narrow" w:hAnsi="Arial Narrow" w:cs="Arial Narrow" w:eastAsia="Arial Narrow" w:hint="default"/>
          <w:spacing w:val="-4"/>
        </w:rPr>
        <w:t>2011</w:t>
      </w:r>
      <w:r>
        <w:rPr>
          <w:rFonts w:ascii="Arial Narrow" w:hAnsi="Arial Narrow" w:cs="Arial Narrow" w:eastAsia="Arial Narrow" w:hint="default"/>
          <w:spacing w:val="4"/>
        </w:rPr>
        <w:t> </w:t>
      </w:r>
      <w:r>
        <w:rPr/>
        <w:t>年度发生额</w:t>
      </w:r>
      <w:r>
        <w:rPr>
          <w:spacing w:val="-62"/>
        </w:rPr>
        <w:t> </w:t>
      </w:r>
      <w:r>
        <w:rPr>
          <w:rFonts w:ascii="Arial Narrow" w:hAnsi="Arial Narrow" w:cs="Arial Narrow" w:eastAsia="Arial Narrow" w:hint="default"/>
        </w:rPr>
        <w:t>293,109,270.08</w:t>
      </w:r>
      <w:r>
        <w:rPr>
          <w:rFonts w:ascii="Arial Narrow" w:hAnsi="Arial Narrow" w:cs="Arial Narrow" w:eastAsia="Arial Narrow" w:hint="default"/>
          <w:spacing w:val="3"/>
        </w:rPr>
        <w:t> </w:t>
      </w:r>
      <w:r>
        <w:rPr/>
        <w:t>元，较</w:t>
      </w:r>
      <w:r>
        <w:rPr>
          <w:spacing w:val="-62"/>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年度发生额增加</w:t>
      </w:r>
      <w:r>
        <w:rPr>
          <w:spacing w:val="-62"/>
        </w:rPr>
        <w:t> </w:t>
      </w:r>
      <w:r>
        <w:rPr>
          <w:rFonts w:ascii="Arial Narrow" w:hAnsi="Arial Narrow" w:cs="Arial Narrow" w:eastAsia="Arial Narrow" w:hint="default"/>
        </w:rPr>
        <w:t>90,571,287.18</w:t>
      </w:r>
      <w:r>
        <w:rPr>
          <w:rFonts w:ascii="Arial Narrow" w:hAnsi="Arial Narrow" w:cs="Arial Narrow" w:eastAsia="Arial Narrow" w:hint="default"/>
          <w:spacing w:val="5"/>
        </w:rPr>
        <w:t> </w:t>
      </w:r>
      <w:r>
        <w:rPr/>
        <w:t>元，增 长</w:t>
      </w:r>
      <w:r>
        <w:rPr>
          <w:spacing w:val="-63"/>
        </w:rPr>
        <w:t> </w:t>
      </w:r>
      <w:r>
        <w:rPr>
          <w:rFonts w:ascii="Arial Narrow" w:hAnsi="Arial Narrow" w:cs="Arial Narrow" w:eastAsia="Arial Narrow" w:hint="default"/>
        </w:rPr>
        <w:t>44.72%</w:t>
      </w:r>
      <w:r>
        <w:rPr/>
        <w:t>，主要系业务规模扩大所致。</w:t>
      </w:r>
    </w:p>
    <w:p>
      <w:pPr>
        <w:spacing w:line="240" w:lineRule="auto" w:before="6"/>
        <w:rPr>
          <w:rFonts w:ascii="宋体" w:hAnsi="宋体" w:cs="宋体" w:eastAsia="宋体" w:hint="default"/>
          <w:sz w:val="21"/>
          <w:szCs w:val="21"/>
        </w:rPr>
      </w:pPr>
    </w:p>
    <w:p>
      <w:pPr>
        <w:pStyle w:val="BodyText"/>
        <w:spacing w:line="312" w:lineRule="exact"/>
        <w:ind w:left="510" w:right="87" w:hanging="312"/>
        <w:jc w:val="left"/>
      </w:pPr>
      <w:r>
        <w:rPr>
          <w:spacing w:val="-7"/>
        </w:rPr>
        <w:t>（</w:t>
      </w:r>
      <w:r>
        <w:rPr>
          <w:rFonts w:ascii="Arial Narrow" w:hAnsi="Arial Narrow" w:cs="Arial Narrow" w:eastAsia="Arial Narrow" w:hint="default"/>
          <w:spacing w:val="-7"/>
        </w:rPr>
        <w:t>13</w:t>
      </w:r>
      <w:r>
        <w:rPr>
          <w:spacing w:val="-7"/>
        </w:rPr>
        <w:t>）营业税金及附加</w:t>
      </w:r>
      <w:r>
        <w:rPr>
          <w:spacing w:val="-65"/>
        </w:rPr>
        <w:t> </w:t>
      </w:r>
      <w:r>
        <w:rPr>
          <w:rFonts w:ascii="Arial Narrow" w:hAnsi="Arial Narrow" w:cs="Arial Narrow" w:eastAsia="Arial Narrow" w:hint="default"/>
          <w:spacing w:val="-4"/>
        </w:rPr>
        <w:t>2011</w:t>
      </w:r>
      <w:r>
        <w:rPr>
          <w:rFonts w:ascii="Arial Narrow" w:hAnsi="Arial Narrow" w:cs="Arial Narrow" w:eastAsia="Arial Narrow" w:hint="default"/>
          <w:spacing w:val="4"/>
        </w:rPr>
        <w:t> </w:t>
      </w:r>
      <w:r>
        <w:rPr/>
        <w:t>年度发生额</w:t>
      </w:r>
      <w:r>
        <w:rPr>
          <w:spacing w:val="-62"/>
        </w:rPr>
        <w:t> </w:t>
      </w:r>
      <w:r>
        <w:rPr>
          <w:rFonts w:ascii="Arial Narrow" w:hAnsi="Arial Narrow" w:cs="Arial Narrow" w:eastAsia="Arial Narrow" w:hint="default"/>
        </w:rPr>
        <w:t>6,755,387.93</w:t>
      </w:r>
      <w:r>
        <w:rPr>
          <w:rFonts w:ascii="Arial Narrow" w:hAnsi="Arial Narrow" w:cs="Arial Narrow" w:eastAsia="Arial Narrow" w:hint="default"/>
          <w:spacing w:val="9"/>
        </w:rPr>
        <w:t> </w:t>
      </w:r>
      <w:r>
        <w:rPr>
          <w:spacing w:val="-24"/>
        </w:rPr>
        <w:t>元，较</w:t>
      </w:r>
      <w:r>
        <w:rPr>
          <w:spacing w:val="-62"/>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年度发生额增加</w:t>
      </w:r>
      <w:r>
        <w:rPr>
          <w:spacing w:val="-62"/>
        </w:rPr>
        <w:t> </w:t>
      </w:r>
      <w:r>
        <w:rPr>
          <w:rFonts w:ascii="Arial Narrow" w:hAnsi="Arial Narrow" w:cs="Arial Narrow" w:eastAsia="Arial Narrow" w:hint="default"/>
        </w:rPr>
        <w:t>2,486,059.07</w:t>
      </w:r>
      <w:r>
        <w:rPr>
          <w:rFonts w:ascii="Arial Narrow" w:hAnsi="Arial Narrow" w:cs="Arial Narrow" w:eastAsia="Arial Narrow" w:hint="default"/>
          <w:spacing w:val="7"/>
        </w:rPr>
        <w:t> </w:t>
      </w:r>
      <w:r>
        <w:rPr/>
        <w:t>元， 增长</w:t>
      </w:r>
      <w:r>
        <w:rPr>
          <w:spacing w:val="-63"/>
        </w:rPr>
        <w:t> </w:t>
      </w:r>
      <w:r>
        <w:rPr>
          <w:rFonts w:ascii="Arial Narrow" w:hAnsi="Arial Narrow" w:cs="Arial Narrow" w:eastAsia="Arial Narrow" w:hint="default"/>
        </w:rPr>
        <w:t>58.23%</w:t>
      </w:r>
      <w:r>
        <w:rPr/>
        <w:t>，主要系营业收入增加所致。</w:t>
      </w:r>
    </w:p>
    <w:p>
      <w:pPr>
        <w:spacing w:line="240" w:lineRule="auto" w:before="6"/>
        <w:rPr>
          <w:rFonts w:ascii="宋体" w:hAnsi="宋体" w:cs="宋体" w:eastAsia="宋体" w:hint="default"/>
          <w:sz w:val="21"/>
          <w:szCs w:val="21"/>
        </w:rPr>
      </w:pPr>
    </w:p>
    <w:p>
      <w:pPr>
        <w:pStyle w:val="BodyText"/>
        <w:spacing w:line="312" w:lineRule="exact"/>
        <w:ind w:left="510" w:right="87" w:hanging="312"/>
        <w:jc w:val="left"/>
      </w:pPr>
      <w:r>
        <w:rPr/>
        <w:t>（</w:t>
      </w:r>
      <w:r>
        <w:rPr>
          <w:rFonts w:ascii="Arial Narrow" w:hAnsi="Arial Narrow" w:cs="Arial Narrow" w:eastAsia="Arial Narrow" w:hint="default"/>
        </w:rPr>
        <w:t>14</w:t>
      </w:r>
      <w:r>
        <w:rPr/>
        <w:t>）销售费用</w:t>
      </w:r>
      <w:r>
        <w:rPr>
          <w:spacing w:val="-55"/>
        </w:rPr>
        <w:t> </w:t>
      </w:r>
      <w:r>
        <w:rPr>
          <w:rFonts w:ascii="Arial Narrow" w:hAnsi="Arial Narrow" w:cs="Arial Narrow" w:eastAsia="Arial Narrow" w:hint="default"/>
          <w:spacing w:val="-4"/>
        </w:rPr>
        <w:t>2011</w:t>
      </w:r>
      <w:r>
        <w:rPr>
          <w:rFonts w:ascii="Arial Narrow" w:hAnsi="Arial Narrow" w:cs="Arial Narrow" w:eastAsia="Arial Narrow" w:hint="default"/>
          <w:spacing w:val="10"/>
        </w:rPr>
        <w:t> </w:t>
      </w:r>
      <w:r>
        <w:rPr/>
        <w:t>年度发生额</w:t>
      </w:r>
      <w:r>
        <w:rPr>
          <w:spacing w:val="-55"/>
        </w:rPr>
        <w:t> </w:t>
      </w:r>
      <w:r>
        <w:rPr>
          <w:rFonts w:ascii="Arial Narrow" w:hAnsi="Arial Narrow" w:cs="Arial Narrow" w:eastAsia="Arial Narrow" w:hint="default"/>
        </w:rPr>
        <w:t>56,964,243.07</w:t>
      </w:r>
      <w:r>
        <w:rPr>
          <w:rFonts w:ascii="Arial Narrow" w:hAnsi="Arial Narrow" w:cs="Arial Narrow" w:eastAsia="Arial Narrow" w:hint="default"/>
          <w:spacing w:val="12"/>
        </w:rPr>
        <w:t> </w:t>
      </w:r>
      <w:r>
        <w:rPr/>
        <w:t>元，较</w:t>
      </w:r>
      <w:r>
        <w:rPr>
          <w:spacing w:val="-55"/>
        </w:rPr>
        <w:t> </w:t>
      </w:r>
      <w:r>
        <w:rPr>
          <w:rFonts w:ascii="Arial Narrow" w:hAnsi="Arial Narrow" w:cs="Arial Narrow" w:eastAsia="Arial Narrow" w:hint="default"/>
        </w:rPr>
        <w:t>2010</w:t>
      </w:r>
      <w:r>
        <w:rPr>
          <w:rFonts w:ascii="Arial Narrow" w:hAnsi="Arial Narrow" w:cs="Arial Narrow" w:eastAsia="Arial Narrow" w:hint="default"/>
          <w:spacing w:val="11"/>
        </w:rPr>
        <w:t> </w:t>
      </w:r>
      <w:r>
        <w:rPr/>
        <w:t>年度发生额增加</w:t>
      </w:r>
      <w:r>
        <w:rPr>
          <w:spacing w:val="-55"/>
        </w:rPr>
        <w:t> </w:t>
      </w:r>
      <w:r>
        <w:rPr>
          <w:rFonts w:ascii="Arial Narrow" w:hAnsi="Arial Narrow" w:cs="Arial Narrow" w:eastAsia="Arial Narrow" w:hint="default"/>
        </w:rPr>
        <w:t>22,140,872.17</w:t>
      </w:r>
      <w:r>
        <w:rPr>
          <w:rFonts w:ascii="Arial Narrow" w:hAnsi="Arial Narrow" w:cs="Arial Narrow" w:eastAsia="Arial Narrow" w:hint="default"/>
          <w:spacing w:val="13"/>
        </w:rPr>
        <w:t> </w:t>
      </w:r>
      <w:r>
        <w:rPr/>
        <w:t>元，增 长</w:t>
      </w:r>
      <w:r>
        <w:rPr>
          <w:spacing w:val="-63"/>
        </w:rPr>
        <w:t> </w:t>
      </w:r>
      <w:r>
        <w:rPr>
          <w:rFonts w:ascii="Arial Narrow" w:hAnsi="Arial Narrow" w:cs="Arial Narrow" w:eastAsia="Arial Narrow" w:hint="default"/>
        </w:rPr>
        <w:t>63.58%</w:t>
      </w:r>
      <w:r>
        <w:rPr/>
        <w:t>，主要系本年业务规模扩大所致。</w:t>
      </w:r>
    </w:p>
    <w:p>
      <w:pPr>
        <w:spacing w:line="240" w:lineRule="auto" w:before="4"/>
        <w:rPr>
          <w:rFonts w:ascii="宋体" w:hAnsi="宋体" w:cs="宋体" w:eastAsia="宋体" w:hint="default"/>
          <w:sz w:val="21"/>
          <w:szCs w:val="21"/>
        </w:rPr>
      </w:pPr>
    </w:p>
    <w:p>
      <w:pPr>
        <w:pStyle w:val="BodyText"/>
        <w:spacing w:line="312" w:lineRule="exact"/>
        <w:ind w:left="510" w:right="87" w:hanging="312"/>
        <w:jc w:val="left"/>
      </w:pPr>
      <w:r>
        <w:rPr/>
        <w:t>（</w:t>
      </w:r>
      <w:r>
        <w:rPr>
          <w:rFonts w:ascii="Arial Narrow" w:hAnsi="Arial Narrow" w:cs="Arial Narrow" w:eastAsia="Arial Narrow" w:hint="default"/>
        </w:rPr>
        <w:t>15</w:t>
      </w:r>
      <w:r>
        <w:rPr/>
        <w:t>）管理费用</w:t>
      </w:r>
      <w:r>
        <w:rPr>
          <w:spacing w:val="-66"/>
        </w:rPr>
        <w:t> </w:t>
      </w:r>
      <w:r>
        <w:rPr>
          <w:rFonts w:ascii="Arial Narrow" w:hAnsi="Arial Narrow" w:cs="Arial Narrow" w:eastAsia="Arial Narrow" w:hint="default"/>
          <w:spacing w:val="-4"/>
        </w:rPr>
        <w:t>2011</w:t>
      </w:r>
      <w:r>
        <w:rPr>
          <w:rFonts w:ascii="Arial Narrow" w:hAnsi="Arial Narrow" w:cs="Arial Narrow" w:eastAsia="Arial Narrow" w:hint="default"/>
          <w:spacing w:val="6"/>
        </w:rPr>
        <w:t> </w:t>
      </w:r>
      <w:r>
        <w:rPr/>
        <w:t>年度发生额</w:t>
      </w:r>
      <w:r>
        <w:rPr>
          <w:spacing w:val="-64"/>
        </w:rPr>
        <w:t> </w:t>
      </w:r>
      <w:r>
        <w:rPr>
          <w:rFonts w:ascii="Arial Narrow" w:hAnsi="Arial Narrow" w:cs="Arial Narrow" w:eastAsia="Arial Narrow" w:hint="default"/>
        </w:rPr>
        <w:t>108,286,196.63</w:t>
      </w:r>
      <w:r>
        <w:rPr>
          <w:rFonts w:ascii="Arial Narrow" w:hAnsi="Arial Narrow" w:cs="Arial Narrow" w:eastAsia="Arial Narrow" w:hint="default"/>
          <w:spacing w:val="2"/>
        </w:rPr>
        <w:t> </w:t>
      </w:r>
      <w:r>
        <w:rPr>
          <w:spacing w:val="-6"/>
        </w:rPr>
        <w:t>元，较</w:t>
      </w:r>
      <w:r>
        <w:rPr>
          <w:spacing w:val="-65"/>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年度发生额增加</w:t>
      </w:r>
      <w:r>
        <w:rPr>
          <w:spacing w:val="-64"/>
        </w:rPr>
        <w:t> </w:t>
      </w:r>
      <w:r>
        <w:rPr>
          <w:rFonts w:ascii="Arial Narrow" w:hAnsi="Arial Narrow" w:cs="Arial Narrow" w:eastAsia="Arial Narrow" w:hint="default"/>
        </w:rPr>
        <w:t>34,445,482.08</w:t>
      </w:r>
      <w:r>
        <w:rPr>
          <w:rFonts w:ascii="Arial Narrow" w:hAnsi="Arial Narrow" w:cs="Arial Narrow" w:eastAsia="Arial Narrow" w:hint="default"/>
          <w:spacing w:val="2"/>
        </w:rPr>
        <w:t> </w:t>
      </w:r>
      <w:r>
        <w:rPr>
          <w:spacing w:val="-6"/>
        </w:rPr>
        <w:t>元，增</w:t>
      </w:r>
      <w:r>
        <w:rPr/>
        <w:t> 长</w:t>
      </w:r>
      <w:r>
        <w:rPr>
          <w:spacing w:val="-63"/>
        </w:rPr>
        <w:t> </w:t>
      </w:r>
      <w:r>
        <w:rPr>
          <w:rFonts w:ascii="Arial Narrow" w:hAnsi="Arial Narrow" w:cs="Arial Narrow" w:eastAsia="Arial Narrow" w:hint="default"/>
        </w:rPr>
        <w:t>46.65%</w:t>
      </w:r>
      <w:r>
        <w:rPr/>
        <w:t>，主要系本年业务规模扩大所致。</w:t>
      </w:r>
    </w:p>
    <w:p>
      <w:pPr>
        <w:spacing w:line="240" w:lineRule="auto" w:before="1"/>
        <w:rPr>
          <w:rFonts w:ascii="宋体" w:hAnsi="宋体" w:cs="宋体" w:eastAsia="宋体" w:hint="default"/>
          <w:sz w:val="19"/>
          <w:szCs w:val="19"/>
        </w:rPr>
      </w:pPr>
    </w:p>
    <w:p>
      <w:pPr>
        <w:pStyle w:val="BodyText"/>
        <w:spacing w:line="321" w:lineRule="exact"/>
        <w:ind w:left="198" w:right="87"/>
        <w:jc w:val="left"/>
      </w:pPr>
      <w:r>
        <w:rPr/>
        <w:t>（</w:t>
      </w:r>
      <w:r>
        <w:rPr>
          <w:rFonts w:ascii="Arial Narrow" w:hAnsi="Arial Narrow" w:cs="Arial Narrow" w:eastAsia="Arial Narrow" w:hint="default"/>
        </w:rPr>
        <w:t>16</w:t>
      </w:r>
      <w:r>
        <w:rPr/>
        <w:t>）投资收益</w:t>
      </w:r>
      <w:r>
        <w:rPr>
          <w:spacing w:val="-58"/>
        </w:rPr>
        <w:t> </w:t>
      </w:r>
      <w:r>
        <w:rPr>
          <w:rFonts w:ascii="Arial Narrow" w:hAnsi="Arial Narrow" w:cs="Arial Narrow" w:eastAsia="Arial Narrow" w:hint="default"/>
          <w:spacing w:val="-4"/>
        </w:rPr>
        <w:t>2011</w:t>
      </w:r>
      <w:r>
        <w:rPr>
          <w:rFonts w:ascii="Arial Narrow" w:hAnsi="Arial Narrow" w:cs="Arial Narrow" w:eastAsia="Arial Narrow" w:hint="default"/>
          <w:spacing w:val="9"/>
        </w:rPr>
        <w:t> </w:t>
      </w:r>
      <w:r>
        <w:rPr/>
        <w:t>年度发生额</w:t>
      </w:r>
      <w:r>
        <w:rPr>
          <w:spacing w:val="-4"/>
        </w:rPr>
        <w:t> </w:t>
      </w:r>
      <w:r>
        <w:rPr>
          <w:rFonts w:ascii="Arial Narrow" w:hAnsi="Arial Narrow" w:cs="Arial Narrow" w:eastAsia="Arial Narrow" w:hint="default"/>
        </w:rPr>
        <w:t>1,382,890.12</w:t>
      </w:r>
      <w:r>
        <w:rPr>
          <w:rFonts w:ascii="Arial Narrow" w:hAnsi="Arial Narrow" w:cs="Arial Narrow" w:eastAsia="Arial Narrow" w:hint="default"/>
          <w:spacing w:val="8"/>
        </w:rPr>
        <w:t> </w:t>
      </w:r>
      <w:r>
        <w:rPr/>
        <w:t>元，较</w:t>
      </w:r>
      <w:r>
        <w:rPr>
          <w:spacing w:val="-57"/>
        </w:rPr>
        <w:t> </w:t>
      </w:r>
      <w:r>
        <w:rPr>
          <w:rFonts w:ascii="Arial Narrow" w:hAnsi="Arial Narrow" w:cs="Arial Narrow" w:eastAsia="Arial Narrow" w:hint="default"/>
        </w:rPr>
        <w:t>2010</w:t>
      </w:r>
      <w:r>
        <w:rPr>
          <w:rFonts w:ascii="Arial Narrow" w:hAnsi="Arial Narrow" w:cs="Arial Narrow" w:eastAsia="Arial Narrow" w:hint="default"/>
          <w:spacing w:val="9"/>
        </w:rPr>
        <w:t> </w:t>
      </w:r>
      <w:r>
        <w:rPr/>
        <w:t>年度发生额减少</w:t>
      </w:r>
      <w:r>
        <w:rPr>
          <w:spacing w:val="-58"/>
        </w:rPr>
        <w:t> </w:t>
      </w:r>
      <w:r>
        <w:rPr>
          <w:rFonts w:ascii="Arial Narrow" w:hAnsi="Arial Narrow" w:cs="Arial Narrow" w:eastAsia="Arial Narrow" w:hint="default"/>
        </w:rPr>
        <w:t>4,131,022.02</w:t>
      </w:r>
      <w:r>
        <w:rPr>
          <w:rFonts w:ascii="Arial Narrow" w:hAnsi="Arial Narrow" w:cs="Arial Narrow" w:eastAsia="Arial Narrow" w:hint="default"/>
          <w:spacing w:val="11"/>
        </w:rPr>
        <w:t> </w:t>
      </w:r>
      <w:r>
        <w:rPr/>
        <w:t>元，减少</w:t>
      </w:r>
    </w:p>
    <w:p>
      <w:pPr>
        <w:pStyle w:val="BodyText"/>
        <w:spacing w:line="312" w:lineRule="exact" w:before="21"/>
        <w:ind w:left="510" w:right="222"/>
        <w:jc w:val="left"/>
      </w:pPr>
      <w:r>
        <w:rPr>
          <w:rFonts w:ascii="Arial Narrow" w:hAnsi="Arial Narrow" w:cs="Arial Narrow" w:eastAsia="Arial Narrow" w:hint="default"/>
        </w:rPr>
        <w:t>74.92%</w:t>
      </w:r>
      <w:r>
        <w:rPr/>
        <w:t>，主要系</w:t>
      </w:r>
      <w:r>
        <w:rPr>
          <w:spacing w:val="-56"/>
        </w:rPr>
        <w:t> </w:t>
      </w:r>
      <w:r>
        <w:rPr>
          <w:rFonts w:ascii="Arial Narrow" w:hAnsi="Arial Narrow" w:cs="Arial Narrow" w:eastAsia="Arial Narrow" w:hint="default"/>
        </w:rPr>
        <w:t>2010</w:t>
      </w:r>
      <w:r>
        <w:rPr>
          <w:rFonts w:ascii="Arial Narrow" w:hAnsi="Arial Narrow" w:cs="Arial Narrow" w:eastAsia="Arial Narrow" w:hint="default"/>
          <w:spacing w:val="10"/>
        </w:rPr>
        <w:t> </w:t>
      </w:r>
      <w:r>
        <w:rPr/>
        <w:t>年对日本超图株式会社进行分步实现的非同一控制下企业合并，将购买 日前持有股权按公允价值重新计量产生的利得所致。</w:t>
      </w:r>
    </w:p>
    <w:p>
      <w:pPr>
        <w:spacing w:line="240" w:lineRule="auto" w:before="6"/>
        <w:rPr>
          <w:rFonts w:ascii="宋体" w:hAnsi="宋体" w:cs="宋体" w:eastAsia="宋体" w:hint="default"/>
          <w:sz w:val="21"/>
          <w:szCs w:val="21"/>
        </w:rPr>
      </w:pPr>
    </w:p>
    <w:p>
      <w:pPr>
        <w:pStyle w:val="BodyText"/>
        <w:spacing w:line="312" w:lineRule="exact"/>
        <w:ind w:left="510" w:right="87" w:hanging="312"/>
        <w:jc w:val="left"/>
      </w:pPr>
      <w:r>
        <w:rPr/>
        <w:t>（</w:t>
      </w:r>
      <w:r>
        <w:rPr>
          <w:rFonts w:ascii="Arial Narrow" w:hAnsi="Arial Narrow" w:cs="Arial Narrow" w:eastAsia="Arial Narrow" w:hint="default"/>
        </w:rPr>
        <w:t>17</w:t>
      </w:r>
      <w:r>
        <w:rPr/>
        <w:t>）营业外收入</w:t>
      </w:r>
      <w:r>
        <w:rPr>
          <w:spacing w:val="-65"/>
        </w:rPr>
        <w:t> </w:t>
      </w:r>
      <w:r>
        <w:rPr>
          <w:rFonts w:ascii="Arial Narrow" w:hAnsi="Arial Narrow" w:cs="Arial Narrow" w:eastAsia="Arial Narrow" w:hint="default"/>
          <w:spacing w:val="-4"/>
        </w:rPr>
        <w:t>2011</w:t>
      </w:r>
      <w:r>
        <w:rPr>
          <w:rFonts w:ascii="Arial Narrow" w:hAnsi="Arial Narrow" w:cs="Arial Narrow" w:eastAsia="Arial Narrow" w:hint="default"/>
        </w:rPr>
        <w:t> </w:t>
      </w:r>
      <w:r>
        <w:rPr/>
        <w:t>年度发生额</w:t>
      </w:r>
      <w:r>
        <w:rPr>
          <w:spacing w:val="-64"/>
        </w:rPr>
        <w:t> </w:t>
      </w:r>
      <w:r>
        <w:rPr>
          <w:rFonts w:ascii="Arial Narrow" w:hAnsi="Arial Narrow" w:cs="Arial Narrow" w:eastAsia="Arial Narrow" w:hint="default"/>
        </w:rPr>
        <w:t>13,642,757.11</w:t>
      </w:r>
      <w:r>
        <w:rPr>
          <w:rFonts w:ascii="Arial Narrow" w:hAnsi="Arial Narrow" w:cs="Arial Narrow" w:eastAsia="Arial Narrow" w:hint="default"/>
          <w:spacing w:val="3"/>
        </w:rPr>
        <w:t> </w:t>
      </w:r>
      <w:r>
        <w:rPr/>
        <w:t>元，较</w:t>
      </w:r>
      <w:r>
        <w:rPr>
          <w:spacing w:val="-6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年度发生额减少</w:t>
      </w:r>
      <w:r>
        <w:rPr>
          <w:spacing w:val="-64"/>
        </w:rPr>
        <w:t> </w:t>
      </w:r>
      <w:r>
        <w:rPr>
          <w:rFonts w:ascii="Arial Narrow" w:hAnsi="Arial Narrow" w:cs="Arial Narrow" w:eastAsia="Arial Narrow" w:hint="default"/>
        </w:rPr>
        <w:t>6,861,194.47</w:t>
      </w:r>
      <w:r>
        <w:rPr>
          <w:rFonts w:ascii="Arial Narrow" w:hAnsi="Arial Narrow" w:cs="Arial Narrow" w:eastAsia="Arial Narrow" w:hint="default"/>
          <w:spacing w:val="4"/>
        </w:rPr>
        <w:t> </w:t>
      </w:r>
      <w:r>
        <w:rPr/>
        <w:t>元，减 少</w:t>
      </w:r>
      <w:r>
        <w:rPr>
          <w:spacing w:val="-63"/>
        </w:rPr>
        <w:t> </w:t>
      </w:r>
      <w:r>
        <w:rPr>
          <w:rFonts w:ascii="Arial Narrow" w:hAnsi="Arial Narrow" w:cs="Arial Narrow" w:eastAsia="Arial Narrow" w:hint="default"/>
        </w:rPr>
        <w:t>33.46%</w:t>
      </w:r>
      <w:r>
        <w:rPr/>
        <w:t>，主要系本年计入损益的政府补助减少所致。</w:t>
      </w:r>
    </w:p>
    <w:p>
      <w:pPr>
        <w:spacing w:line="240" w:lineRule="auto" w:before="12"/>
        <w:rPr>
          <w:rFonts w:ascii="宋体" w:hAnsi="宋体" w:cs="宋体" w:eastAsia="宋体" w:hint="default"/>
          <w:sz w:val="18"/>
          <w:szCs w:val="18"/>
        </w:rPr>
      </w:pPr>
    </w:p>
    <w:p>
      <w:pPr>
        <w:pStyle w:val="BodyText"/>
        <w:spacing w:line="322" w:lineRule="exact"/>
        <w:ind w:left="198" w:right="87"/>
        <w:jc w:val="left"/>
      </w:pPr>
      <w:r>
        <w:rPr/>
        <w:t>（</w:t>
      </w:r>
      <w:r>
        <w:rPr>
          <w:rFonts w:ascii="Arial Narrow" w:hAnsi="Arial Narrow" w:cs="Arial Narrow" w:eastAsia="Arial Narrow" w:hint="default"/>
        </w:rPr>
        <w:t>18</w:t>
      </w:r>
      <w:r>
        <w:rPr/>
        <w:t>）营业外支出</w:t>
      </w:r>
      <w:r>
        <w:rPr>
          <w:spacing w:val="-42"/>
        </w:rPr>
        <w:t> </w:t>
      </w:r>
      <w:r>
        <w:rPr>
          <w:rFonts w:ascii="Arial Narrow" w:hAnsi="Arial Narrow" w:cs="Arial Narrow" w:eastAsia="Arial Narrow" w:hint="default"/>
          <w:spacing w:val="-4"/>
        </w:rPr>
        <w:t>2011</w:t>
      </w:r>
      <w:r>
        <w:rPr>
          <w:rFonts w:ascii="Arial Narrow" w:hAnsi="Arial Narrow" w:cs="Arial Narrow" w:eastAsia="Arial Narrow" w:hint="default"/>
          <w:spacing w:val="27"/>
        </w:rPr>
        <w:t> </w:t>
      </w:r>
      <w:r>
        <w:rPr/>
        <w:t>年度发生额</w:t>
      </w:r>
      <w:r>
        <w:rPr>
          <w:spacing w:val="-41"/>
        </w:rPr>
        <w:t> </w:t>
      </w:r>
      <w:r>
        <w:rPr>
          <w:rFonts w:ascii="Arial Narrow" w:hAnsi="Arial Narrow" w:cs="Arial Narrow" w:eastAsia="Arial Narrow" w:hint="default"/>
        </w:rPr>
        <w:t>433,088.57</w:t>
      </w:r>
      <w:r>
        <w:rPr>
          <w:rFonts w:ascii="Arial Narrow" w:hAnsi="Arial Narrow" w:cs="Arial Narrow" w:eastAsia="Arial Narrow" w:hint="default"/>
          <w:spacing w:val="28"/>
        </w:rPr>
        <w:t> </w:t>
      </w:r>
      <w:r>
        <w:rPr/>
        <w:t>元，较</w:t>
      </w:r>
      <w:r>
        <w:rPr>
          <w:spacing w:val="-41"/>
        </w:rPr>
        <w:t> </w:t>
      </w:r>
      <w:r>
        <w:rPr>
          <w:rFonts w:ascii="Arial Narrow" w:hAnsi="Arial Narrow" w:cs="Arial Narrow" w:eastAsia="Arial Narrow" w:hint="default"/>
        </w:rPr>
        <w:t>2010</w:t>
      </w:r>
      <w:r>
        <w:rPr>
          <w:rFonts w:ascii="Arial Narrow" w:hAnsi="Arial Narrow" w:cs="Arial Narrow" w:eastAsia="Arial Narrow" w:hint="default"/>
          <w:spacing w:val="27"/>
        </w:rPr>
        <w:t> </w:t>
      </w:r>
      <w:r>
        <w:rPr/>
        <w:t>年度发生额增加</w:t>
      </w:r>
      <w:r>
        <w:rPr>
          <w:spacing w:val="-39"/>
        </w:rPr>
        <w:t> </w:t>
      </w:r>
      <w:r>
        <w:rPr>
          <w:rFonts w:ascii="Arial Narrow" w:hAnsi="Arial Narrow" w:cs="Arial Narrow" w:eastAsia="Arial Narrow" w:hint="default"/>
        </w:rPr>
        <w:t>370,937.28</w:t>
      </w:r>
      <w:r>
        <w:rPr>
          <w:rFonts w:ascii="Arial Narrow" w:hAnsi="Arial Narrow" w:cs="Arial Narrow" w:eastAsia="Arial Narrow" w:hint="default"/>
          <w:spacing w:val="29"/>
        </w:rPr>
        <w:t> </w:t>
      </w:r>
      <w:r>
        <w:rPr/>
        <w:t>元，增长</w:t>
      </w:r>
    </w:p>
    <w:p>
      <w:pPr>
        <w:pStyle w:val="BodyText"/>
        <w:spacing w:line="322" w:lineRule="exact"/>
        <w:ind w:left="510" w:right="87"/>
        <w:jc w:val="left"/>
      </w:pPr>
      <w:r>
        <w:rPr>
          <w:rFonts w:ascii="Arial Narrow" w:hAnsi="Arial Narrow" w:cs="Arial Narrow" w:eastAsia="Arial Narrow" w:hint="default"/>
        </w:rPr>
        <w:t>596.83%</w:t>
      </w:r>
      <w:r>
        <w:rPr/>
        <w:t>，主要系本年非流动资产处置损失增加所致。</w:t>
      </w:r>
    </w:p>
    <w:p>
      <w:pPr>
        <w:spacing w:line="240" w:lineRule="auto" w:before="4"/>
        <w:rPr>
          <w:rFonts w:ascii="宋体" w:hAnsi="宋体" w:cs="宋体" w:eastAsia="宋体" w:hint="default"/>
          <w:sz w:val="21"/>
          <w:szCs w:val="21"/>
        </w:rPr>
      </w:pPr>
    </w:p>
    <w:p>
      <w:pPr>
        <w:pStyle w:val="BodyText"/>
        <w:spacing w:line="225" w:lineRule="auto"/>
        <w:ind w:left="510" w:right="231" w:hanging="298"/>
        <w:jc w:val="both"/>
      </w:pPr>
      <w:r>
        <w:rPr/>
        <w:t>（</w:t>
      </w:r>
      <w:r>
        <w:rPr>
          <w:rFonts w:ascii="Arial Narrow" w:hAnsi="Arial Narrow" w:cs="Arial Narrow" w:eastAsia="Arial Narrow" w:hint="default"/>
        </w:rPr>
        <w:t>19</w:t>
      </w:r>
      <w:r>
        <w:rPr/>
        <w:t>）所得税费用</w:t>
      </w:r>
      <w:r>
        <w:rPr>
          <w:spacing w:val="-53"/>
        </w:rPr>
        <w:t> </w:t>
      </w:r>
      <w:r>
        <w:rPr>
          <w:rFonts w:ascii="Arial Narrow" w:hAnsi="Arial Narrow" w:cs="Arial Narrow" w:eastAsia="Arial Narrow" w:hint="default"/>
          <w:spacing w:val="-5"/>
        </w:rPr>
        <w:t>2011</w:t>
      </w:r>
      <w:r>
        <w:rPr>
          <w:rFonts w:ascii="Arial Narrow" w:hAnsi="Arial Narrow" w:cs="Arial Narrow" w:eastAsia="Arial Narrow" w:hint="default"/>
          <w:spacing w:val="14"/>
        </w:rPr>
        <w:t> </w:t>
      </w:r>
      <w:r>
        <w:rPr/>
        <w:t>年度发生额</w:t>
      </w:r>
      <w:r>
        <w:rPr>
          <w:spacing w:val="-52"/>
        </w:rPr>
        <w:t> </w:t>
      </w:r>
      <w:r>
        <w:rPr>
          <w:rFonts w:ascii="Arial Narrow" w:hAnsi="Arial Narrow" w:cs="Arial Narrow" w:eastAsia="Arial Narrow" w:hint="default"/>
        </w:rPr>
        <w:t>6,621,880.83</w:t>
      </w:r>
      <w:r>
        <w:rPr>
          <w:rFonts w:ascii="Arial Narrow" w:hAnsi="Arial Narrow" w:cs="Arial Narrow" w:eastAsia="Arial Narrow" w:hint="default"/>
          <w:spacing w:val="15"/>
        </w:rPr>
        <w:t> </w:t>
      </w:r>
      <w:r>
        <w:rPr/>
        <w:t>元，较</w:t>
      </w:r>
      <w:r>
        <w:rPr>
          <w:spacing w:val="-52"/>
        </w:rPr>
        <w:t> </w:t>
      </w:r>
      <w:r>
        <w:rPr>
          <w:rFonts w:ascii="Arial Narrow" w:hAnsi="Arial Narrow" w:cs="Arial Narrow" w:eastAsia="Arial Narrow" w:hint="default"/>
        </w:rPr>
        <w:t>2010</w:t>
      </w:r>
      <w:r>
        <w:rPr>
          <w:rFonts w:ascii="Arial Narrow" w:hAnsi="Arial Narrow" w:cs="Arial Narrow" w:eastAsia="Arial Narrow" w:hint="default"/>
          <w:spacing w:val="14"/>
        </w:rPr>
        <w:t> </w:t>
      </w:r>
      <w:r>
        <w:rPr/>
        <w:t>年度发生额增加</w:t>
      </w:r>
      <w:r>
        <w:rPr>
          <w:spacing w:val="-53"/>
        </w:rPr>
        <w:t> </w:t>
      </w:r>
      <w:r>
        <w:rPr>
          <w:rFonts w:ascii="Arial Narrow" w:hAnsi="Arial Narrow" w:cs="Arial Narrow" w:eastAsia="Arial Narrow" w:hint="default"/>
        </w:rPr>
        <w:t>3,007,892.37</w:t>
      </w:r>
      <w:r>
        <w:rPr>
          <w:rFonts w:ascii="Arial Narrow" w:hAnsi="Arial Narrow" w:cs="Arial Narrow" w:eastAsia="Arial Narrow" w:hint="default"/>
          <w:spacing w:val="13"/>
        </w:rPr>
        <w:t> </w:t>
      </w:r>
      <w:r>
        <w:rPr/>
        <w:t>元，增 长</w:t>
      </w:r>
      <w:r>
        <w:rPr>
          <w:spacing w:val="-64"/>
        </w:rPr>
        <w:t> </w:t>
      </w:r>
      <w:r>
        <w:rPr>
          <w:rFonts w:ascii="Arial Narrow" w:hAnsi="Arial Narrow" w:cs="Arial Narrow" w:eastAsia="Arial Narrow" w:hint="default"/>
        </w:rPr>
        <w:t>83.23%</w:t>
      </w:r>
      <w:r>
        <w:rPr/>
        <w:t>，主要系</w:t>
      </w:r>
      <w:r>
        <w:rPr>
          <w:spacing w:val="-6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年度执行</w:t>
      </w:r>
      <w:r>
        <w:rPr>
          <w:spacing w:val="-64"/>
        </w:rPr>
        <w:t> </w:t>
      </w:r>
      <w:r>
        <w:rPr>
          <w:rFonts w:ascii="Arial Narrow" w:hAnsi="Arial Narrow" w:cs="Arial Narrow" w:eastAsia="Arial Narrow" w:hint="default"/>
        </w:rPr>
        <w:t>10%</w:t>
      </w:r>
      <w:r>
        <w:rPr/>
        <w:t>的企业所得税税率，</w:t>
      </w:r>
      <w:r>
        <w:rPr>
          <w:rFonts w:ascii="Arial Narrow" w:hAnsi="Arial Narrow" w:cs="Arial Narrow" w:eastAsia="Arial Narrow" w:hint="default"/>
        </w:rPr>
        <w:t>2011</w:t>
      </w:r>
      <w:r>
        <w:rPr>
          <w:rFonts w:ascii="Arial Narrow" w:hAnsi="Arial Narrow" w:cs="Arial Narrow" w:eastAsia="Arial Narrow" w:hint="default"/>
          <w:spacing w:val="2"/>
        </w:rPr>
        <w:t> </w:t>
      </w:r>
      <w:r>
        <w:rPr/>
        <w:t>年度执行</w:t>
      </w:r>
      <w:r>
        <w:rPr>
          <w:spacing w:val="-64"/>
        </w:rPr>
        <w:t> </w:t>
      </w:r>
      <w:r>
        <w:rPr>
          <w:rFonts w:ascii="Arial Narrow" w:hAnsi="Arial Narrow" w:cs="Arial Narrow" w:eastAsia="Arial Narrow" w:hint="default"/>
        </w:rPr>
        <w:t>15%</w:t>
      </w:r>
      <w:r>
        <w:rPr/>
        <w:t>的企业所得税税 率所致。</w:t>
      </w:r>
    </w:p>
    <w:p>
      <w:pPr>
        <w:spacing w:line="240" w:lineRule="auto" w:before="6"/>
        <w:rPr>
          <w:rFonts w:ascii="宋体" w:hAnsi="宋体" w:cs="宋体" w:eastAsia="宋体" w:hint="default"/>
          <w:sz w:val="21"/>
          <w:szCs w:val="21"/>
        </w:rPr>
      </w:pPr>
    </w:p>
    <w:p>
      <w:pPr>
        <w:pStyle w:val="Heading5"/>
        <w:spacing w:line="240" w:lineRule="auto"/>
        <w:ind w:left="100" w:right="87"/>
        <w:jc w:val="left"/>
        <w:rPr>
          <w:b w:val="0"/>
          <w:bCs w:val="0"/>
        </w:rPr>
      </w:pPr>
      <w:r>
        <w:rPr/>
        <w:t>十四、财务报表的批准</w:t>
      </w:r>
      <w:r>
        <w:rPr>
          <w:b w:val="0"/>
          <w:bCs w:val="0"/>
        </w:rPr>
      </w:r>
    </w:p>
    <w:p>
      <w:pPr>
        <w:spacing w:line="240" w:lineRule="auto" w:before="2"/>
        <w:rPr>
          <w:rFonts w:ascii="宋体" w:hAnsi="宋体" w:cs="宋体" w:eastAsia="宋体" w:hint="default"/>
          <w:b/>
          <w:bCs/>
          <w:sz w:val="21"/>
          <w:szCs w:val="21"/>
        </w:rPr>
      </w:pPr>
    </w:p>
    <w:p>
      <w:pPr>
        <w:pStyle w:val="BodyText"/>
        <w:spacing w:line="240" w:lineRule="auto"/>
        <w:ind w:left="512" w:right="87"/>
        <w:jc w:val="left"/>
      </w:pPr>
      <w:r>
        <w:rPr/>
        <w:t>本财务报表及财务报表附注业经本公司第二届董事会第六次会议于</w:t>
      </w:r>
      <w:r>
        <w:rPr>
          <w:spacing w:val="-61"/>
        </w:rPr>
        <w:t> </w:t>
      </w:r>
      <w:r>
        <w:rPr>
          <w:rFonts w:ascii="Arial Narrow" w:hAnsi="Arial Narrow" w:cs="Arial Narrow" w:eastAsia="Arial Narrow" w:hint="default"/>
        </w:rPr>
        <w:t>2012</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9</w:t>
      </w:r>
      <w:r>
        <w:rPr>
          <w:rFonts w:ascii="Arial Narrow" w:hAnsi="Arial Narrow" w:cs="Arial Narrow" w:eastAsia="Arial Narrow" w:hint="default"/>
          <w:spacing w:val="5"/>
        </w:rPr>
        <w:t> </w:t>
      </w:r>
      <w:r>
        <w:rPr/>
        <w:t>日批准。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9"/>
        <w:ind w:left="0" w:right="1338"/>
        <w:jc w:val="right"/>
      </w:pPr>
      <w:r>
        <w:rPr/>
        <w:t>北京超图软件股份有限公司</w:t>
      </w:r>
    </w:p>
    <w:p>
      <w:pPr>
        <w:spacing w:line="240" w:lineRule="auto" w:before="2"/>
        <w:rPr>
          <w:rFonts w:ascii="宋体" w:hAnsi="宋体" w:cs="宋体" w:eastAsia="宋体" w:hint="default"/>
          <w:sz w:val="21"/>
          <w:szCs w:val="21"/>
        </w:rPr>
      </w:pPr>
    </w:p>
    <w:p>
      <w:pPr>
        <w:pStyle w:val="BodyText"/>
        <w:spacing w:line="240" w:lineRule="auto"/>
        <w:ind w:left="0" w:right="1340"/>
        <w:jc w:val="right"/>
      </w:pPr>
      <w:r>
        <w:rPr>
          <w:rFonts w:ascii="Arial Narrow" w:hAnsi="Arial Narrow" w:cs="Arial Narrow" w:eastAsia="Arial Narrow" w:hint="default"/>
        </w:rPr>
        <w:t>2012</w:t>
      </w:r>
      <w:r>
        <w:rPr>
          <w:rFonts w:ascii="Arial Narrow" w:hAnsi="Arial Narrow" w:cs="Arial Narrow" w:eastAsia="Arial Narrow" w:hint="default"/>
          <w:spacing w:val="3"/>
        </w:rPr>
        <w:t> </w:t>
      </w:r>
      <w:r>
        <w:rPr/>
        <w:t>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9</w:t>
      </w:r>
      <w:r>
        <w:rPr>
          <w:rFonts w:ascii="Arial Narrow" w:hAnsi="Arial Narrow" w:cs="Arial Narrow" w:eastAsia="Arial Narrow" w:hint="default"/>
          <w:spacing w:val="5"/>
        </w:rPr>
        <w:t> </w:t>
      </w:r>
      <w:r>
        <w:rPr/>
        <w:t>日</w:t>
      </w:r>
    </w:p>
    <w:p>
      <w:pPr>
        <w:spacing w:after="0" w:line="240" w:lineRule="auto"/>
        <w:jc w:val="right"/>
        <w:sectPr>
          <w:pgSz w:w="11910" w:h="16840"/>
          <w:pgMar w:header="884" w:footer="929" w:top="1100" w:bottom="1120" w:left="620" w:right="900"/>
        </w:sectPr>
      </w:pPr>
    </w:p>
    <w:p>
      <w:pPr>
        <w:spacing w:line="240" w:lineRule="auto" w:before="6"/>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59.2pt;height:.75pt;mso-position-horizontal-relative:char;mso-position-vertical-relative:line" coordorigin="0,0" coordsize="9184,15">
            <v:group style="position:absolute;left:7;top:7;width:9170;height:2" coordorigin="7,7" coordsize="9170,2">
              <v:shape style="position:absolute;left:7;top:7;width:9170;height:2" coordorigin="7,7" coordsize="9170,0" path="m7,7l9177,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2"/>
          <w:szCs w:val="22"/>
        </w:rPr>
      </w:pPr>
    </w:p>
    <w:p>
      <w:pPr>
        <w:pStyle w:val="Heading1"/>
        <w:tabs>
          <w:tab w:pos="4724" w:val="left" w:leader="none"/>
        </w:tabs>
        <w:spacing w:line="460" w:lineRule="exact"/>
        <w:ind w:left="2915" w:right="0"/>
        <w:jc w:val="left"/>
        <w:rPr>
          <w:b w:val="0"/>
          <w:bCs w:val="0"/>
        </w:rPr>
      </w:pPr>
      <w:bookmarkStart w:name="_TOC_250000" w:id="88"/>
      <w:r>
        <w:rPr>
          <w:w w:val="95"/>
        </w:rPr>
        <w:t>第十一节</w:t>
        <w:tab/>
      </w:r>
      <w:r>
        <w:rPr/>
        <w:t>备查文件目录</w:t>
      </w:r>
      <w:bookmarkEnd w:id="88"/>
      <w:r>
        <w:rPr>
          <w:b w:val="0"/>
          <w:bCs w:val="0"/>
        </w:rPr>
      </w:r>
    </w:p>
    <w:p>
      <w:pPr>
        <w:spacing w:line="240" w:lineRule="auto" w:before="12"/>
        <w:rPr>
          <w:rFonts w:ascii="宋体" w:hAnsi="宋体" w:cs="宋体" w:eastAsia="宋体" w:hint="default"/>
          <w:b/>
          <w:bCs/>
          <w:sz w:val="36"/>
          <w:szCs w:val="36"/>
        </w:rPr>
      </w:pPr>
    </w:p>
    <w:p>
      <w:pPr>
        <w:pStyle w:val="BodyText"/>
        <w:spacing w:line="357" w:lineRule="auto"/>
        <w:ind w:left="558" w:right="0" w:firstLine="479"/>
        <w:jc w:val="left"/>
      </w:pPr>
      <w:r>
        <w:rPr/>
        <w:t>一、载有法定代表人钟耳顺先生、主管会计工作负责人、会计机构负责人签名 并盖章的财务报告文本。</w:t>
      </w:r>
    </w:p>
    <w:p>
      <w:pPr>
        <w:pStyle w:val="BodyText"/>
        <w:spacing w:line="357" w:lineRule="auto" w:before="36"/>
        <w:ind w:left="1038" w:right="888"/>
        <w:jc w:val="left"/>
      </w:pPr>
      <w:r>
        <w:rPr/>
        <w:t>二、载有会计师事务所盖章、注册会计师签名并盖章的审计报告原件。 三、报告期内在中国证监会指定报纸上公开披露过的所有公司文件。 四、其他相关资料。 以上备查文件的备置地点：公司证券与法务部办公室</w:t>
      </w:r>
    </w:p>
    <w:sectPr>
      <w:footerReference w:type="default" r:id="rId73"/>
      <w:pgSz w:w="11910" w:h="16840"/>
      <w:pgMar w:footer="1173" w:header="884" w:top="1100" w:bottom="1360" w:left="12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Arial Narrow">
    <w:altName w:val="Arial Narrow"/>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609985pt;margin-top:780.559998pt;width:9.4pt;height:12.6pt;mso-position-horizontal-relative:page;mso-position-vertical-relative:page;z-index:-76580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w w:val="100"/>
                    <w:sz w:val="21"/>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6559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40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6556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41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75pt;margin-top:533.936035pt;width:14.85pt;height:12.6pt;mso-position-horizontal-relative:page;mso-position-vertical-relative:page;z-index:-765472"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42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5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45</w:t>
                </w:r>
                <w:r>
                  <w:rPr/>
                  <w:fldChar w:fldCharType="end"/>
                </w:r>
                <w:r>
                  <w:rPr>
                    <w:rFonts w:ascii="Calibri"/>
                    <w:spacing w:val="-1"/>
                    <w:sz w:val="18"/>
                  </w:rPr>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5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47</w:t>
                </w:r>
                <w:r>
                  <w:rPr/>
                  <w:fldChar w:fldCharType="end"/>
                </w:r>
                <w:r>
                  <w:rPr>
                    <w:rFonts w:ascii="Calibri"/>
                    <w:spacing w:val="-1"/>
                    <w:sz w:val="18"/>
                  </w:rPr>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5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48</w:t>
                </w:r>
                <w:r>
                  <w:rPr/>
                  <w:fldChar w:fldCharType="end"/>
                </w:r>
                <w:r>
                  <w:rPr>
                    <w:rFonts w:ascii="Calibri"/>
                    <w:spacing w:val="-1"/>
                    <w:sz w:val="18"/>
                  </w:rPr>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652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50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5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51</w:t>
                </w:r>
                <w:r>
                  <w:rPr/>
                  <w:fldChar w:fldCharType="end"/>
                </w:r>
                <w:r>
                  <w:rPr>
                    <w:rFonts w:ascii="Calibri"/>
                    <w:spacing w:val="-1"/>
                    <w:sz w:val="18"/>
                  </w:rPr>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5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53</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65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65784"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65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61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5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62</w:t>
                </w:r>
                <w:r>
                  <w:rPr/>
                  <w:fldChar w:fldCharType="end"/>
                </w:r>
                <w:r>
                  <w:rPr>
                    <w:rFonts w:ascii="Calibri"/>
                    <w:spacing w:val="-1"/>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651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651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71</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70001pt;margin-top:525.626038pt;width:13.15pt;height:11pt;mso-position-horizontal-relative:page;mso-position-vertical-relative:page;z-index:-7650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72</w:t>
                </w:r>
                <w:r>
                  <w:rPr/>
                  <w:fldChar w:fldCharType="end"/>
                </w:r>
                <w:r>
                  <w:rPr>
                    <w:rFonts w:ascii="Calibri"/>
                    <w:spacing w:val="-1"/>
                    <w:sz w:val="18"/>
                  </w:rPr>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4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74</w:t>
                </w:r>
                <w:r>
                  <w:rPr/>
                  <w:fldChar w:fldCharType="end"/>
                </w:r>
                <w:r>
                  <w:rPr>
                    <w:rFonts w:ascii="Calibri"/>
                    <w:spacing w:val="-1"/>
                    <w:sz w:val="18"/>
                  </w:rPr>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4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75</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64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4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1.570007pt;margin-top:772.25pt;width:11.15pt;height:11pt;mso-position-horizontal-relative:page;mso-position-vertical-relative:page;z-index:-764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70001pt;margin-top:780.559998pt;width:14.85pt;height:12.6pt;mso-position-horizontal-relative:page;mso-position-vertical-relative:page;z-index:-765760"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570007pt;margin-top:772.25pt;width:13.15pt;height:11pt;mso-position-horizontal-relative:page;mso-position-vertical-relative:page;z-index:-764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72.25pt;width:13.15pt;height:11pt;mso-position-horizontal-relative:page;mso-position-vertical-relative:page;z-index:-764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97</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90009pt;margin-top:772.25pt;width:15.7pt;height:11pt;mso-position-horizontal-relative:page;mso-position-vertical-relative:page;z-index:-764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90009pt;margin-top:772.25pt;width:17.7pt;height:11pt;mso-position-horizontal-relative:page;mso-position-vertical-relative:page;z-index:-764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589996pt;margin-top:525.626038pt;width:17.7pt;height:11pt;mso-position-horizontal-relative:page;mso-position-vertical-relative:page;z-index:-764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107</w:t>
                </w:r>
                <w:r>
                  <w:rPr/>
                  <w:fldChar w:fldCharType="end"/>
                </w:r>
                <w:r>
                  <w:rPr>
                    <w:rFonts w:ascii="Calibri"/>
                    <w:spacing w:val="-1"/>
                    <w:sz w:val="18"/>
                  </w:rPr>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589996pt;margin-top:525.626038pt;width:15.7pt;height:11pt;mso-position-horizontal-relative:page;mso-position-vertical-relative:page;z-index:-764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110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1.589996pt;margin-top:525.626038pt;width:17.7pt;height:11pt;mso-position-horizontal-relative:page;mso-position-vertical-relative:page;z-index:-764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64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115</w:t>
                </w:r>
                <w:r>
                  <w:rPr/>
                  <w:fldChar w:fldCharType="end"/>
                </w:r>
                <w:r>
                  <w:rPr>
                    <w:rFonts w:ascii="Calibri"/>
                    <w:spacing w:val="-1"/>
                    <w:sz w:val="18"/>
                  </w:rPr>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69995pt;margin-top:785.089966pt;width:15.7pt;height:11pt;mso-position-horizontal-relative:page;mso-position-vertical-relative:page;z-index:-764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64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6573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64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127</w:t>
                </w:r>
                <w:r>
                  <w:rPr/>
                  <w:fldChar w:fldCharType="end"/>
                </w:r>
                <w:r>
                  <w:rPr>
                    <w:rFonts w:ascii="Calibri"/>
                    <w:spacing w:val="-1"/>
                    <w:sz w:val="18"/>
                  </w:rPr>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69995pt;margin-top:785.089966pt;width:15.7pt;height:11pt;mso-position-horizontal-relative:page;mso-position-vertical-relative:page;z-index:-7642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64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64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pacing w:val="-1"/>
                    <w:sz w:val="18"/>
                  </w:rPr>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69995pt;margin-top:785.089966pt;width:15.7pt;height:11pt;mso-position-horizontal-relative:page;mso-position-vertical-relative:page;z-index:-764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w:t>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64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pacing w:val="-1"/>
                    <w:sz w:val="18"/>
                  </w:rPr>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869995pt;margin-top:785.089966pt;width:15.7pt;height:11pt;mso-position-horizontal-relative:page;mso-position-vertical-relative:page;z-index:-764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160</w:t>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869995pt;margin-top:785.089966pt;width:17.7pt;height:11pt;mso-position-horizontal-relative:page;mso-position-vertical-relative:page;z-index:-764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161</w:t>
                </w:r>
                <w:r>
                  <w:rPr/>
                  <w:fldChar w:fldCharType="end"/>
                </w:r>
                <w:r>
                  <w:rPr>
                    <w:rFonts w:ascii="Calibri"/>
                    <w:spacing w:val="-1"/>
                    <w:sz w:val="18"/>
                  </w:rPr>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70001pt;margin-top:780.559998pt;width:14.85pt;height:12.6pt;mso-position-horizontal-relative:page;mso-position-vertical-relative:page;z-index:-765712"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21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4.48999pt;width:17.7pt;height:11pt;mso-position-horizontal-relative:page;mso-position-vertical-relative:page;z-index:-763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171</w:t>
                </w:r>
                <w:r>
                  <w:rPr/>
                  <w:fldChar w:fldCharType="end"/>
                </w:r>
                <w:r>
                  <w:rPr>
                    <w:rFonts w:ascii="Calibri"/>
                    <w:spacing w:val="-1"/>
                    <w:sz w:val="18"/>
                  </w:rPr>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90009pt;margin-top:772.25pt;width:15.7pt;height:11pt;mso-position-horizontal-relative:page;mso-position-vertical-relative:page;z-index:-763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177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70001pt;margin-top:780.559998pt;width:12.8pt;height:12.6pt;mso-position-horizontal-relative:page;mso-position-vertical-relative:page;z-index:-76568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70001pt;margin-top:780.559998pt;width:14.85pt;height:12.6pt;mso-position-horizontal-relative:page;mso-position-vertical-relative:page;z-index:-76566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70001pt;margin-top:780.559998pt;width:14.85pt;height:12.6pt;mso-position-horizontal-relative:page;mso-position-vertical-relative:page;z-index:-765640"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34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70001pt;margin-top:780.559998pt;width:14.85pt;height:12.6pt;mso-position-horizontal-relative:page;mso-position-vertical-relative:page;z-index:-76561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35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84pt;margin-top:57.599983pt;width:437.5pt;height:.1pt;mso-position-horizontal-relative:page;mso-position-vertical-relative:page;z-index:-765904" coordorigin="1772,1152" coordsize="8750,2">
          <v:shape style="position:absolute;left:1772;top:1152;width:8750;height:2" coordorigin="1772,1152" coordsize="8750,0" path="m1772,1152l10521,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024002pt;margin-top:43.204983pt;width:128.15pt;height:12.6pt;mso-position-horizontal-relative:page;mso-position-vertical-relative:page;z-index:-76588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51.666962pt;margin-top:43.204983pt;width:68.350pt;height:13.75pt;mso-position-horizontal-relative:page;mso-position-vertical-relative:page;z-index:-765856"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99.170013pt;margin-top:44.359982pt;width:34pt;height:12.6pt;mso-position-horizontal-relative:page;mso-position-vertical-relative:page;z-index:-76583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2.183998pt;margin-top:43.204983pt;width:128.15pt;height:12.6pt;mso-position-horizontal-relative:page;mso-position-vertical-relative:page;z-index:-76403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44.826965pt;margin-top:43.204983pt;width:68.350pt;height:13.75pt;mso-position-horizontal-relative:page;mso-position-vertical-relative:page;z-index:-764008"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2010</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92.329987pt;margin-top:44.359982pt;width:34pt;height:12.6pt;mso-position-horizontal-relative:page;mso-position-vertical-relative:page;z-index:-763984"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99998pt;margin-top:43.205006pt;width:128.15pt;height:12.6pt;mso-position-horizontal-relative:page;mso-position-vertical-relative:page;z-index:-76554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04.266968pt;margin-top:43.205006pt;width:68.3pt;height:13.75pt;mso-position-horizontal-relative:page;mso-position-vertical-relative:page;z-index:-765520"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9"/>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51.770004pt;margin-top:44.360008pt;width:34pt;height:12.6pt;mso-position-horizontal-relative:page;mso-position-vertical-relative:page;z-index:-76549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7.599983pt;width:437.5pt;height:.1pt;mso-position-horizontal-relative:page;mso-position-vertical-relative:page;z-index:-765448" coordorigin="1769,1152" coordsize="8750,2">
          <v:shape style="position:absolute;left:1769;top:1152;width:8750;height:2" coordorigin="1769,1152" coordsize="8750,0" path="m1769,1152l10519,1152e" filled="false" stroked="true" strokeweight=".72pt" strokecolor="#000000">
            <v:path arrowok="t"/>
          </v:shape>
          <w10:wrap type="none"/>
        </v:group>
      </w:pict>
    </w:r>
    <w:r>
      <w:rPr/>
      <w:pict>
        <v:shape style="position:absolute;margin-left:88.903999pt;margin-top:43.204983pt;width:128.15pt;height:12.6pt;mso-position-horizontal-relative:page;mso-position-vertical-relative:page;z-index:-76542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51.546967pt;margin-top:43.204983pt;width:68.350pt;height:13.75pt;mso-position-horizontal-relative:page;mso-position-vertical-relative:page;z-index:-765400"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99.049988pt;margin-top:44.359982pt;width:34pt;height:12.6pt;mso-position-horizontal-relative:page;mso-position-vertical-relative:page;z-index:-76537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3.205006pt;width:128.15pt;height:12.6pt;mso-position-horizontal-relative:page;mso-position-vertical-relative:page;z-index:-76508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3.666962pt;margin-top:43.205006pt;width:68.3pt;height:13.75pt;mso-position-horizontal-relative:page;mso-position-vertical-relative:page;z-index:-765064"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9"/>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1.170013pt;margin-top:44.360008pt;width:34pt;height:12.6pt;mso-position-horizontal-relative:page;mso-position-vertical-relative:page;z-index:-76504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7.599983pt;width:437.5pt;height:.1pt;mso-position-horizontal-relative:page;mso-position-vertical-relative:page;z-index:-764992" coordorigin="1769,1152" coordsize="8750,2">
          <v:shape style="position:absolute;left:1769;top:1152;width:8750;height:2" coordorigin="1769,1152" coordsize="8750,0" path="m1769,1152l10519,1152e" filled="false" stroked="true" strokeweight=".72pt" strokecolor="#000000">
            <v:path arrowok="t"/>
          </v:shape>
          <w10:wrap type="none"/>
        </v:group>
      </w:pict>
    </w:r>
    <w:r>
      <w:rPr/>
      <w:pict>
        <v:shape style="position:absolute;margin-left:88.903999pt;margin-top:43.204983pt;width:128.15pt;height:12.6pt;mso-position-horizontal-relative:page;mso-position-vertical-relative:page;z-index:-76496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51.546967pt;margin-top:43.204983pt;width:68.350pt;height:13.75pt;mso-position-horizontal-relative:page;mso-position-vertical-relative:page;z-index:-764944"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99.049988pt;margin-top:44.359982pt;width:34pt;height:12.6pt;mso-position-horizontal-relative:page;mso-position-vertical-relative:page;z-index:-76492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3.204983pt;width:128.15pt;height:12.6pt;mso-position-horizontal-relative:page;mso-position-vertical-relative:page;z-index:-76475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18.306976pt;margin-top:43.204983pt;width:68.3pt;height:13.75pt;mso-position-horizontal-relative:page;mso-position-vertical-relative:page;z-index:-764728"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9"/>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65.809998pt;margin-top:44.359982pt;width:34pt;height:12.6pt;mso-position-horizontal-relative:page;mso-position-vertical-relative:page;z-index:-764704"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463997pt;margin-top:58.559982pt;width:458.5pt;height:.1pt;mso-position-horizontal-relative:page;mso-position-vertical-relative:page;z-index:-764656" coordorigin="1349,1171" coordsize="9170,2">
          <v:shape style="position:absolute;left:1349;top:1171;width:9170;height:2" coordorigin="1349,1171" coordsize="9170,0" path="m1349,1171l10519,1171e" filled="false" stroked="true" strokeweight=".72pt" strokecolor="#000000">
            <v:path arrowok="t"/>
          </v:shape>
          <w10:wrap type="none"/>
        </v:group>
      </w:pict>
    </w:r>
    <w:r>
      <w:rPr/>
      <w:pict>
        <v:shape style="position:absolute;margin-left:67.903999pt;margin-top:43.204983pt;width:128.15pt;height:12.6pt;mso-position-horizontal-relative:page;mso-position-vertical-relative:page;z-index:-76463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8.390015pt;margin-top:43.204983pt;width:68.05pt;height:13.75pt;mso-position-horizontal-relative:page;mso-position-vertical-relative:page;z-index:-764608"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0.570007pt;margin-top:44.359982pt;width:34pt;height:12.6pt;mso-position-horizontal-relative:page;mso-position-vertical-relative:page;z-index:-764584"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48pt;margin-top:58.560009pt;width:723pt;height:.1pt;mso-position-horizontal-relative:page;mso-position-vertical-relative:page;z-index:-764512" coordorigin="970,1171" coordsize="14460,2">
          <v:shape style="position:absolute;left:970;top:1171;width:14460;height:2" coordorigin="970,1171" coordsize="14460,0" path="m970,1171l15430,1171e" filled="false" stroked="true" strokeweight=".72pt" strokecolor="#000000">
            <v:path arrowok="t"/>
          </v:shape>
          <w10:wrap type="none"/>
        </v:group>
      </w:pict>
    </w:r>
    <w:r>
      <w:rPr/>
      <w:pict>
        <v:shape style="position:absolute;margin-left:48.919998pt;margin-top:43.205006pt;width:128.15pt;height:12.6pt;mso-position-horizontal-relative:page;mso-position-vertical-relative:page;z-index:-76448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19.429993pt;margin-top:43.205006pt;width:68.05pt;height:13.75pt;mso-position-horizontal-relative:page;mso-position-vertical-relative:page;z-index:-764464"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61.609985pt;margin-top:44.360008pt;width:34pt;height:12.6pt;mso-position-horizontal-relative:page;mso-position-vertical-relative:page;z-index:-76444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664001pt;margin-top:85.93998pt;width:477.25pt;height:.1pt;mso-position-horizontal-relative:page;mso-position-vertical-relative:page;z-index:-764344" coordorigin="1253,1719" coordsize="9545,2">
          <v:shape style="position:absolute;left:1253;top:1719;width:9545;height:2" coordorigin="1253,1719" coordsize="9545,0" path="m1253,1719l10798,1719e" filled="false" stroked="true" strokeweight=".72pt" strokecolor="#000000">
            <v:path arrowok="t"/>
          </v:shape>
          <w10:wrap type="none"/>
        </v:group>
      </w:pict>
    </w:r>
    <w:r>
      <w:rPr/>
      <w:pict>
        <v:shape style="position:absolute;margin-left:63.104pt;margin-top:37.527477pt;width:267.05pt;height:45.75pt;mso-position-horizontal-relative:page;mso-position-vertical-relative:page;z-index:-764320" type="#_x0000_t202" filled="false" stroked="false">
          <v:textbox inset="0,0,0,0">
            <w:txbxContent>
              <w:p>
                <w:pPr>
                  <w:pStyle w:val="BodyText"/>
                  <w:spacing w:line="259" w:lineRule="exact"/>
                  <w:ind w:left="20" w:right="0"/>
                  <w:jc w:val="left"/>
                </w:pPr>
                <w:r>
                  <w:rPr/>
                  <w:t>北京超图软件股份有限公司</w:t>
                </w:r>
              </w:p>
              <w:p>
                <w:pPr>
                  <w:pStyle w:val="BodyText"/>
                  <w:spacing w:line="312" w:lineRule="exact"/>
                  <w:ind w:left="20" w:right="0"/>
                  <w:jc w:val="left"/>
                </w:pPr>
                <w:r>
                  <w:rPr/>
                  <w:t>财务报表附注</w:t>
                </w:r>
              </w:p>
              <w:p>
                <w:pPr>
                  <w:pStyle w:val="BodyText"/>
                  <w:spacing w:line="330" w:lineRule="exact"/>
                  <w:ind w:left="20" w:right="0"/>
                  <w:jc w:val="left"/>
                </w:pPr>
                <w:r>
                  <w:rPr>
                    <w:rFonts w:ascii="Arial Narrow" w:hAnsi="Arial Narrow" w:cs="Arial Narrow" w:eastAsia="Arial Narrow" w:hint="default"/>
                  </w:rPr>
                  <w:t>2011</w:t>
                </w:r>
                <w:r>
                  <w:rPr>
                    <w:rFonts w:ascii="Arial Narrow" w:hAnsi="Arial Narrow" w:cs="Arial Narrow" w:eastAsia="Arial Narrow" w:hint="default"/>
                    <w:spacing w:val="4"/>
                  </w:rPr>
                  <w:t> </w:t>
                </w:r>
                <w:r>
                  <w:rPr/>
                  <w:t>年度（除特别注明外，金额单位为人民币元）</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620" w:hanging="360"/>
      </w:pPr>
      <w:rPr>
        <w:rFonts w:hint="default" w:ascii="Wingdings" w:hAnsi="Wingdings" w:eastAsia="Wingdings"/>
        <w:w w:val="100"/>
        <w:sz w:val="24"/>
        <w:szCs w:val="24"/>
      </w:rPr>
    </w:lvl>
    <w:lvl w:ilvl="1">
      <w:start w:val="1"/>
      <w:numFmt w:val="bullet"/>
      <w:lvlText w:val="•"/>
      <w:lvlJc w:val="left"/>
      <w:pPr>
        <w:ind w:left="1464" w:hanging="360"/>
      </w:pPr>
      <w:rPr>
        <w:rFonts w:hint="default"/>
      </w:rPr>
    </w:lvl>
    <w:lvl w:ilvl="2">
      <w:start w:val="1"/>
      <w:numFmt w:val="bullet"/>
      <w:lvlText w:val="•"/>
      <w:lvlJc w:val="left"/>
      <w:pPr>
        <w:ind w:left="2309" w:hanging="360"/>
      </w:pPr>
      <w:rPr>
        <w:rFonts w:hint="default"/>
      </w:rPr>
    </w:lvl>
    <w:lvl w:ilvl="3">
      <w:start w:val="1"/>
      <w:numFmt w:val="bullet"/>
      <w:lvlText w:val="•"/>
      <w:lvlJc w:val="left"/>
      <w:pPr>
        <w:ind w:left="3153" w:hanging="360"/>
      </w:pPr>
      <w:rPr>
        <w:rFonts w:hint="default"/>
      </w:rPr>
    </w:lvl>
    <w:lvl w:ilvl="4">
      <w:start w:val="1"/>
      <w:numFmt w:val="bullet"/>
      <w:lvlText w:val="•"/>
      <w:lvlJc w:val="left"/>
      <w:pPr>
        <w:ind w:left="3998" w:hanging="360"/>
      </w:pPr>
      <w:rPr>
        <w:rFonts w:hint="default"/>
      </w:rPr>
    </w:lvl>
    <w:lvl w:ilvl="5">
      <w:start w:val="1"/>
      <w:numFmt w:val="bullet"/>
      <w:lvlText w:val="•"/>
      <w:lvlJc w:val="left"/>
      <w:pPr>
        <w:ind w:left="4843" w:hanging="360"/>
      </w:pPr>
      <w:rPr>
        <w:rFonts w:hint="default"/>
      </w:rPr>
    </w:lvl>
    <w:lvl w:ilvl="6">
      <w:start w:val="1"/>
      <w:numFmt w:val="bullet"/>
      <w:lvlText w:val="•"/>
      <w:lvlJc w:val="left"/>
      <w:pPr>
        <w:ind w:left="5687" w:hanging="360"/>
      </w:pPr>
      <w:rPr>
        <w:rFonts w:hint="default"/>
      </w:rPr>
    </w:lvl>
    <w:lvl w:ilvl="7">
      <w:start w:val="1"/>
      <w:numFmt w:val="bullet"/>
      <w:lvlText w:val="•"/>
      <w:lvlJc w:val="left"/>
      <w:pPr>
        <w:ind w:left="6532" w:hanging="360"/>
      </w:pPr>
      <w:rPr>
        <w:rFonts w:hint="default"/>
      </w:rPr>
    </w:lvl>
    <w:lvl w:ilvl="8">
      <w:start w:val="1"/>
      <w:numFmt w:val="bullet"/>
      <w:lvlText w:val="•"/>
      <w:lvlJc w:val="left"/>
      <w:pPr>
        <w:ind w:left="7377"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
      <w:ind w:left="140"/>
    </w:pPr>
    <w:rPr>
      <w:rFonts w:ascii="宋体" w:hAnsi="宋体" w:eastAsia="宋体"/>
      <w:sz w:val="21"/>
      <w:szCs w:val="21"/>
    </w:rPr>
  </w:style>
  <w:style w:styleId="TOC2" w:type="paragraph">
    <w:name w:val="TOC 2"/>
    <w:basedOn w:val="Normal"/>
    <w:uiPriority w:val="1"/>
    <w:qFormat/>
    <w:pPr>
      <w:spacing w:before="10"/>
      <w:ind w:left="560"/>
    </w:pPr>
    <w:rPr>
      <w:rFonts w:ascii="宋体" w:hAnsi="宋体" w:eastAsia="宋体"/>
      <w:sz w:val="21"/>
      <w:szCs w:val="21"/>
    </w:rPr>
  </w:style>
  <w:style w:styleId="TOC3" w:type="paragraph">
    <w:name w:val="TOC 3"/>
    <w:basedOn w:val="Normal"/>
    <w:uiPriority w:val="1"/>
    <w:qFormat/>
    <w:pPr>
      <w:spacing w:before="10"/>
      <w:ind w:left="980"/>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b/>
      <w:bCs/>
      <w:sz w:val="36"/>
      <w:szCs w:val="36"/>
    </w:rPr>
  </w:style>
  <w:style w:styleId="Heading2" w:type="paragraph">
    <w:name w:val="Heading 2"/>
    <w:basedOn w:val="Normal"/>
    <w:uiPriority w:val="1"/>
    <w:qFormat/>
    <w:pPr>
      <w:ind w:left="3271"/>
      <w:outlineLvl w:val="2"/>
    </w:pPr>
    <w:rPr>
      <w:rFonts w:ascii="黑体" w:hAnsi="黑体" w:eastAsia="黑体"/>
      <w:b/>
      <w:bCs/>
      <w:sz w:val="32"/>
      <w:szCs w:val="32"/>
    </w:rPr>
  </w:style>
  <w:style w:styleId="Heading3" w:type="paragraph">
    <w:name w:val="Heading 3"/>
    <w:basedOn w:val="Normal"/>
    <w:uiPriority w:val="1"/>
    <w:qFormat/>
    <w:pPr>
      <w:ind w:left="138"/>
      <w:outlineLvl w:val="3"/>
    </w:pPr>
    <w:rPr>
      <w:rFonts w:ascii="宋体" w:hAnsi="宋体" w:eastAsia="宋体"/>
      <w:b/>
      <w:bCs/>
      <w:sz w:val="30"/>
      <w:szCs w:val="30"/>
    </w:rPr>
  </w:style>
  <w:style w:styleId="Heading4" w:type="paragraph">
    <w:name w:val="Heading 4"/>
    <w:basedOn w:val="Normal"/>
    <w:uiPriority w:val="1"/>
    <w:qFormat/>
    <w:pPr>
      <w:ind w:left="138"/>
      <w:outlineLvl w:val="4"/>
    </w:pPr>
    <w:rPr>
      <w:rFonts w:ascii="宋体" w:hAnsi="宋体" w:eastAsia="宋体"/>
      <w:b/>
      <w:bCs/>
      <w:sz w:val="28"/>
      <w:szCs w:val="28"/>
    </w:rPr>
  </w:style>
  <w:style w:styleId="Heading5" w:type="paragraph">
    <w:name w:val="Heading 5"/>
    <w:basedOn w:val="Normal"/>
    <w:uiPriority w:val="1"/>
    <w:qFormat/>
    <w:pPr>
      <w:ind w:left="138"/>
      <w:outlineLvl w:val="5"/>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public@supermap.com" TargetMode="External"/><Relationship Id="rId9" Type="http://schemas.openxmlformats.org/officeDocument/2006/relationships/hyperlink" Target="http://www.supermap.com.cn/" TargetMode="External"/><Relationship Id="rId10" Type="http://schemas.openxmlformats.org/officeDocument/2006/relationships/hyperlink" Target="http://www.supermap.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2.png"/><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header" Target="header2.xml"/><Relationship Id="rId24" Type="http://schemas.openxmlformats.org/officeDocument/2006/relationships/footer" Target="footer12.xml"/><Relationship Id="rId25" Type="http://schemas.openxmlformats.org/officeDocument/2006/relationships/header" Target="header3.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footer" Target="footer21.xml"/><Relationship Id="rId35" Type="http://schemas.openxmlformats.org/officeDocument/2006/relationships/footer" Target="footer22.xml"/><Relationship Id="rId36" Type="http://schemas.openxmlformats.org/officeDocument/2006/relationships/footer" Target="footer23.xml"/><Relationship Id="rId37" Type="http://schemas.openxmlformats.org/officeDocument/2006/relationships/header" Target="header4.xml"/><Relationship Id="rId38" Type="http://schemas.openxmlformats.org/officeDocument/2006/relationships/footer" Target="footer24.xml"/><Relationship Id="rId39" Type="http://schemas.openxmlformats.org/officeDocument/2006/relationships/header" Target="header5.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header" Target="header6.xml"/><Relationship Id="rId47" Type="http://schemas.openxmlformats.org/officeDocument/2006/relationships/footer" Target="footer31.xml"/><Relationship Id="rId48" Type="http://schemas.openxmlformats.org/officeDocument/2006/relationships/header" Target="header7.xml"/><Relationship Id="rId49" Type="http://schemas.openxmlformats.org/officeDocument/2006/relationships/footer" Target="footer32.xml"/><Relationship Id="rId50" Type="http://schemas.openxmlformats.org/officeDocument/2006/relationships/footer" Target="footer33.xml"/><Relationship Id="rId51" Type="http://schemas.openxmlformats.org/officeDocument/2006/relationships/header" Target="header8.xml"/><Relationship Id="rId52" Type="http://schemas.openxmlformats.org/officeDocument/2006/relationships/footer" Target="footer34.xml"/><Relationship Id="rId53" Type="http://schemas.openxmlformats.org/officeDocument/2006/relationships/footer" Target="footer35.xml"/><Relationship Id="rId54" Type="http://schemas.openxmlformats.org/officeDocument/2006/relationships/footer" Target="footer36.xml"/><Relationship Id="rId55" Type="http://schemas.openxmlformats.org/officeDocument/2006/relationships/header" Target="header9.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footer" Target="footer40.xml"/><Relationship Id="rId60" Type="http://schemas.openxmlformats.org/officeDocument/2006/relationships/footer" Target="footer41.xml"/><Relationship Id="rId61" Type="http://schemas.openxmlformats.org/officeDocument/2006/relationships/footer" Target="footer42.xml"/><Relationship Id="rId62" Type="http://schemas.openxmlformats.org/officeDocument/2006/relationships/header" Target="header10.xml"/><Relationship Id="rId63" Type="http://schemas.openxmlformats.org/officeDocument/2006/relationships/footer" Target="footer43.xml"/><Relationship Id="rId64" Type="http://schemas.openxmlformats.org/officeDocument/2006/relationships/footer" Target="footer44.xml"/><Relationship Id="rId65" Type="http://schemas.openxmlformats.org/officeDocument/2006/relationships/footer" Target="footer45.xml"/><Relationship Id="rId66" Type="http://schemas.openxmlformats.org/officeDocument/2006/relationships/footer" Target="footer46.xml"/><Relationship Id="rId67" Type="http://schemas.openxmlformats.org/officeDocument/2006/relationships/footer" Target="footer47.xml"/><Relationship Id="rId68" Type="http://schemas.openxmlformats.org/officeDocument/2006/relationships/footer" Target="footer48.xml"/><Relationship Id="rId69" Type="http://schemas.openxmlformats.org/officeDocument/2006/relationships/header" Target="header11.xml"/><Relationship Id="rId70" Type="http://schemas.openxmlformats.org/officeDocument/2006/relationships/footer" Target="footer49.xml"/><Relationship Id="rId71" Type="http://schemas.openxmlformats.org/officeDocument/2006/relationships/header" Target="header12.xml"/><Relationship Id="rId72" Type="http://schemas.openxmlformats.org/officeDocument/2006/relationships/footer" Target="footer50.xml"/><Relationship Id="rId73" Type="http://schemas.openxmlformats.org/officeDocument/2006/relationships/footer" Target="footer51.xml"/><Relationship Id="rId7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gongyajie</dc:creator>
  <dc:title>北京超图软件股份有限公司                   300036                           2009年度报告</dc:title>
  <dcterms:created xsi:type="dcterms:W3CDTF">2020-05-03T16:13:12Z</dcterms:created>
  <dcterms:modified xsi:type="dcterms:W3CDTF">2020-05-03T16:13:12Z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2012-03-12T00:00:00Z</vt:filetime>
  </property>
  <property fmtid="{D5CDD505-2E9C-101B-9397-08002B2CF9AE}" pid="3" name="Creator">
    <vt:lpwstr>Microsoft® Office Word 2007</vt:lpwstr>
  </property>
  <property fmtid="{D5CDD505-2E9C-101B-9397-08002B2CF9AE}" pid="4" name="LastSaved">
    <vt:filetime>2020-05-03T00:00:00Z</vt:filetime>
  </property>
</Properties>
</file>